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哈密辖区中国京剧艺术普通纪念币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预约兑换分配数量表</w:t>
      </w:r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                    单位：枚</w:t>
      </w:r>
    </w:p>
    <w:tbl>
      <w:tblPr>
        <w:tblStyle w:val="3"/>
        <w:tblpPr w:leftFromText="180" w:rightFromText="180" w:vertAnchor="text" w:horzAnchor="page" w:tblpX="2188" w:tblpY="10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0"/>
        <w:gridCol w:w="1470"/>
        <w:gridCol w:w="1155"/>
        <w:gridCol w:w="1050"/>
        <w:gridCol w:w="1035"/>
        <w:gridCol w:w="120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  <w:t>地区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中国农业银行</w:t>
            </w:r>
            <w:r>
              <w:rPr>
                <w:rFonts w:hint="eastAsia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哈密</w:t>
            </w: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分行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农行新星兵团分行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中国工商银行</w:t>
            </w:r>
            <w:r>
              <w:rPr>
                <w:rFonts w:hint="eastAsia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哈密</w:t>
            </w: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分行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中国邮政储蓄银行</w:t>
            </w:r>
            <w:r>
              <w:rPr>
                <w:rFonts w:hint="eastAsia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哈密</w:t>
            </w:r>
            <w:r>
              <w:rPr>
                <w:rFonts w:hint="default" w:ascii="仿宋_GB2312" w:hAnsi="仿宋_GB2312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分行</w:t>
            </w: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分配总数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70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  <w:t>伊州区</w:t>
            </w:r>
          </w:p>
        </w:tc>
        <w:tc>
          <w:tcPr>
            <w:tcW w:w="11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13,000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16,000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2,000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31,000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  <w:t>新星兵团</w:t>
            </w:r>
          </w:p>
        </w:tc>
        <w:tc>
          <w:tcPr>
            <w:tcW w:w="11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2,000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2,000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3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  <w:t>巴里坤县</w:t>
            </w:r>
          </w:p>
        </w:tc>
        <w:tc>
          <w:tcPr>
            <w:tcW w:w="11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500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7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eastAsia="zh-CN"/>
              </w:rPr>
              <w:t>伊吾县</w:t>
            </w:r>
          </w:p>
        </w:tc>
        <w:tc>
          <w:tcPr>
            <w:tcW w:w="11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500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30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color w:val="000000"/>
                <w:sz w:val="30"/>
                <w:u w:val="none"/>
                <w:lang w:eastAsia="zh-CN"/>
              </w:rPr>
              <w:t>合计</w:t>
            </w:r>
          </w:p>
        </w:tc>
        <w:tc>
          <w:tcPr>
            <w:tcW w:w="115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sz w:val="30"/>
                <w:u w:val="none"/>
                <w:lang w:val="en-US" w:eastAsia="zh-CN"/>
              </w:rPr>
              <w:t>14,000</w:t>
            </w:r>
          </w:p>
        </w:tc>
        <w:tc>
          <w:tcPr>
            <w:tcW w:w="10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sz w:val="30"/>
                <w:u w:val="none"/>
                <w:lang w:val="en-US" w:eastAsia="zh-CN"/>
              </w:rPr>
              <w:t>2,000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sz w:val="30"/>
                <w:u w:val="none"/>
                <w:lang w:val="en-US" w:eastAsia="zh-CN"/>
              </w:rPr>
              <w:t>16,000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sz w:val="30"/>
                <w:u w:val="none"/>
                <w:lang w:val="en-US" w:eastAsia="zh-CN"/>
              </w:rPr>
              <w:t>2,000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sz w:val="30"/>
                <w:u w:val="none"/>
                <w:lang w:val="en-US" w:eastAsia="zh-CN"/>
              </w:rPr>
              <w:t>34,000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7864"/>
    <w:rsid w:val="24A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2025-11-14T05:16:00Z</dcterms:created>
  <dc:creator>Administrator</dc:creator>
  <cp:lastModifiedBy>Administrator</cp:lastModifiedBy>
  <dcterms:modified xsi:type="dcterms:W3CDTF">2025-11-14T05:17:46Z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