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方正小标宋简体" w:hAnsi="方正小标宋简体" w:eastAsia="方正小标宋简体" w:cs="方正小标宋简体"/>
          <w:b w:val="0"/>
          <w:bCs w:val="0"/>
          <w:sz w:val="44"/>
          <w:szCs w:val="44"/>
          <w:lang w:eastAsia="zh-CN"/>
        </w:rPr>
      </w:pPr>
      <w:bookmarkStart w:id="0" w:name="OLE_LINK1"/>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eastAsia="zh-CN"/>
        </w:rPr>
        <w:t>哈密</w:t>
      </w:r>
      <w:r>
        <w:rPr>
          <w:rFonts w:hint="eastAsia" w:ascii="方正小标宋简体" w:hAnsi="方正小标宋简体" w:eastAsia="方正小标宋简体" w:cs="方正小标宋简体"/>
          <w:b w:val="0"/>
          <w:bCs w:val="0"/>
          <w:sz w:val="44"/>
          <w:szCs w:val="44"/>
          <w:lang w:eastAsia="zh-Hans"/>
        </w:rPr>
        <w:t>市</w:t>
      </w:r>
      <w:r>
        <w:rPr>
          <w:rFonts w:hint="eastAsia" w:ascii="方正小标宋简体" w:hAnsi="方正小标宋简体" w:eastAsia="方正小标宋简体" w:cs="方正小标宋简体"/>
          <w:b w:val="0"/>
          <w:bCs w:val="0"/>
          <w:sz w:val="44"/>
          <w:szCs w:val="44"/>
          <w:lang w:val="en-US" w:eastAsia="zh-CN"/>
        </w:rPr>
        <w:t>城市</w:t>
      </w:r>
      <w:r>
        <w:rPr>
          <w:rFonts w:hint="eastAsia" w:ascii="方正小标宋简体" w:hAnsi="方正小标宋简体" w:eastAsia="方正小标宋简体" w:cs="方正小标宋简体"/>
          <w:b w:val="0"/>
          <w:bCs w:val="0"/>
          <w:sz w:val="44"/>
          <w:szCs w:val="44"/>
        </w:rPr>
        <w:t>生活垃圾分类指导</w:t>
      </w:r>
      <w:r>
        <w:rPr>
          <w:rFonts w:hint="eastAsia" w:ascii="方正小标宋简体" w:hAnsi="方正小标宋简体" w:eastAsia="方正小标宋简体" w:cs="方正小标宋简体"/>
          <w:b w:val="0"/>
          <w:bCs w:val="0"/>
          <w:sz w:val="44"/>
          <w:szCs w:val="44"/>
          <w:lang w:val="en-US" w:eastAsia="zh-CN"/>
        </w:rPr>
        <w:t>目</w:t>
      </w:r>
      <w:r>
        <w:rPr>
          <w:rFonts w:hint="eastAsia" w:ascii="方正小标宋简体" w:hAnsi="方正小标宋简体" w:eastAsia="方正小标宋简体" w:cs="方正小标宋简体"/>
          <w:b w:val="0"/>
          <w:bCs w:val="0"/>
          <w:sz w:val="44"/>
          <w:szCs w:val="44"/>
        </w:rPr>
        <w:t>录</w:t>
      </w:r>
    </w:p>
    <w:p>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Microsoft Sans Serif" w:hAnsi="Microsoft Sans Serif" w:eastAsia="仿宋" w:cs="Microsoft Sans Serif"/>
          <w:b/>
          <w:bCs/>
          <w:sz w:val="44"/>
          <w:szCs w:val="44"/>
          <w:lang w:val="en-US" w:eastAsia="zh-CN"/>
        </w:rPr>
      </w:pPr>
      <w:r>
        <w:rPr>
          <w:rFonts w:hint="eastAsia" w:ascii="Microsoft Sans Serif" w:hAnsi="Microsoft Sans Serif" w:eastAsia="仿宋" w:cs="Microsoft Sans Serif"/>
          <w:b/>
          <w:bCs/>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val="en-US" w:eastAsia="zh-CN"/>
        </w:rPr>
        <w:t>为规范生活垃圾分类投放，进一步提高投放质量，按照国家标准相关要求，确定我市“四分类”具体内容，指导全市党政机关、企事业单位、公共区域及居民</w:t>
      </w:r>
      <w:r>
        <w:rPr>
          <w:rFonts w:hint="eastAsia" w:ascii="仿宋_GB2312" w:hAnsi="仿宋_GB2312" w:eastAsia="仿宋_GB2312" w:cs="仿宋_GB2312"/>
          <w:sz w:val="32"/>
          <w:szCs w:val="32"/>
          <w:lang w:val="en-US" w:eastAsia="zh-Hans"/>
        </w:rPr>
        <w:t>小区</w:t>
      </w:r>
      <w:r>
        <w:rPr>
          <w:rFonts w:hint="eastAsia" w:ascii="仿宋_GB2312" w:hAnsi="仿宋_GB2312" w:eastAsia="仿宋_GB2312" w:cs="仿宋_GB2312"/>
          <w:sz w:val="32"/>
          <w:szCs w:val="32"/>
          <w:lang w:val="en-US" w:eastAsia="zh-CN"/>
        </w:rPr>
        <w:t>正确分类投放，特制定本目录。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highlight w:val="none"/>
          <w:lang w:val="en-US" w:eastAsia="zh-Hans"/>
        </w:rPr>
      </w:pPr>
      <w:r>
        <w:rPr>
          <w:rFonts w:hint="eastAsia" w:ascii="黑体" w:hAnsi="黑体" w:eastAsia="黑体" w:cs="黑体"/>
          <w:sz w:val="32"/>
          <w:szCs w:val="32"/>
          <w:highlight w:val="none"/>
          <w:lang w:val="en-US" w:eastAsia="zh-CN"/>
        </w:rPr>
        <w:t>一、</w:t>
      </w:r>
      <w:r>
        <w:rPr>
          <w:rFonts w:hint="eastAsia" w:ascii="黑体" w:hAnsi="黑体" w:eastAsia="黑体" w:cs="黑体"/>
          <w:sz w:val="32"/>
          <w:szCs w:val="32"/>
          <w:highlight w:val="none"/>
          <w:lang w:val="en-US" w:eastAsia="zh-Hans"/>
        </w:rPr>
        <w:t>垃圾分类标准</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哈密</w:t>
      </w:r>
      <w:r>
        <w:rPr>
          <w:rFonts w:hint="eastAsia" w:ascii="仿宋_GB2312" w:hAnsi="仿宋_GB2312" w:eastAsia="仿宋_GB2312" w:cs="仿宋_GB2312"/>
          <w:sz w:val="32"/>
          <w:szCs w:val="32"/>
          <w:lang w:eastAsia="zh-Hans"/>
        </w:rPr>
        <w:t>市生活垃圾分类实施“四分类”</w:t>
      </w:r>
      <w:r>
        <w:rPr>
          <w:rFonts w:hint="eastAsia" w:ascii="仿宋_GB2312" w:hAnsi="仿宋_GB2312" w:eastAsia="仿宋_GB2312" w:cs="仿宋_GB2312"/>
          <w:sz w:val="32"/>
          <w:szCs w:val="32"/>
          <w:lang w:val="en-US" w:eastAsia="zh-CN"/>
        </w:rPr>
        <w:t>标准</w:t>
      </w:r>
      <w:r>
        <w:rPr>
          <w:rFonts w:hint="eastAsia" w:ascii="仿宋_GB2312" w:hAnsi="仿宋_GB2312" w:eastAsia="仿宋_GB2312" w:cs="仿宋_GB2312"/>
          <w:sz w:val="32"/>
          <w:szCs w:val="32"/>
          <w:lang w:eastAsia="zh-Hans"/>
        </w:rPr>
        <w:t>，即可回收物、有害垃圾、厨余垃圾和其他垃圾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Hans"/>
        </w:rPr>
        <w:t>“四分类”标志见表1</w:t>
      </w:r>
      <w:r>
        <w:rPr>
          <w:rFonts w:hint="eastAsia" w:ascii="仿宋_GB2312" w:hAnsi="仿宋_GB2312" w:eastAsia="仿宋_GB2312" w:cs="仿宋_GB2312"/>
          <w:sz w:val="32"/>
          <w:szCs w:val="32"/>
          <w:lang w:eastAsia="zh-CN"/>
        </w:rPr>
        <w:t>）。</w:t>
      </w:r>
    </w:p>
    <w:p>
      <w:pPr>
        <w:spacing w:before="111" w:line="179" w:lineRule="auto"/>
        <w:jc w:val="center"/>
        <w:rPr>
          <w:rFonts w:hint="eastAsia" w:ascii="仿宋_GB2312" w:hAnsi="仿宋_GB2312" w:eastAsia="仿宋_GB2312" w:cs="仿宋_GB2312"/>
          <w:b/>
          <w:bCs/>
          <w:sz w:val="32"/>
          <w:szCs w:val="32"/>
          <w:lang w:eastAsia="zh-Hans"/>
        </w:rPr>
      </w:pPr>
      <w:r>
        <w:rPr>
          <w:rFonts w:hint="eastAsia" w:ascii="仿宋_GB2312" w:hAnsi="仿宋_GB2312" w:eastAsia="仿宋_GB2312" w:cs="仿宋_GB2312"/>
          <w:b/>
          <w:bCs/>
          <w:sz w:val="32"/>
          <w:szCs w:val="32"/>
          <w:lang w:eastAsia="zh-Hans"/>
        </w:rPr>
        <w:t>表1 生活垃圾分类标志及配色标准</w:t>
      </w:r>
    </w:p>
    <w:tbl>
      <w:tblPr>
        <w:tblStyle w:val="7"/>
        <w:tblW w:w="8318" w:type="dxa"/>
        <w:jc w:val="center"/>
        <w:tblLayout w:type="fixed"/>
        <w:tblCellMar>
          <w:top w:w="15" w:type="dxa"/>
          <w:left w:w="15" w:type="dxa"/>
          <w:bottom w:w="15" w:type="dxa"/>
          <w:right w:w="15" w:type="dxa"/>
        </w:tblCellMar>
      </w:tblPr>
      <w:tblGrid>
        <w:gridCol w:w="2759"/>
        <w:gridCol w:w="2417"/>
        <w:gridCol w:w="3142"/>
      </w:tblGrid>
      <w:tr>
        <w:tblPrEx>
          <w:tblCellMar>
            <w:top w:w="15" w:type="dxa"/>
            <w:left w:w="15" w:type="dxa"/>
            <w:bottom w:w="15" w:type="dxa"/>
            <w:right w:w="15" w:type="dxa"/>
          </w:tblCellMar>
        </w:tblPrEx>
        <w:trPr>
          <w:trHeight w:val="608" w:hRule="atLeast"/>
          <w:jc w:val="center"/>
        </w:trPr>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生活垃圾分类种类</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分类标志</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配色标准</w:t>
            </w:r>
          </w:p>
        </w:tc>
      </w:tr>
      <w:tr>
        <w:tblPrEx>
          <w:tblCellMar>
            <w:top w:w="15" w:type="dxa"/>
            <w:left w:w="15" w:type="dxa"/>
            <w:bottom w:w="15" w:type="dxa"/>
            <w:right w:w="15" w:type="dxa"/>
          </w:tblCellMar>
        </w:tblPrEx>
        <w:trPr>
          <w:trHeight w:val="2322" w:hRule="atLeast"/>
          <w:jc w:val="center"/>
        </w:trPr>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可回收物</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drawing>
                <wp:inline distT="0" distB="0" distL="114300" distR="114300">
                  <wp:extent cx="1258570" cy="1666875"/>
                  <wp:effectExtent l="0" t="0" r="11430" b="9525"/>
                  <wp:docPr id="6" name="IM 3"/>
                  <wp:cNvGraphicFramePr/>
                  <a:graphic xmlns:a="http://schemas.openxmlformats.org/drawingml/2006/main">
                    <a:graphicData uri="http://schemas.openxmlformats.org/drawingml/2006/picture">
                      <pic:pic xmlns:pic="http://schemas.openxmlformats.org/drawingml/2006/picture">
                        <pic:nvPicPr>
                          <pic:cNvPr id="6" name="IM 3"/>
                          <pic:cNvPicPr/>
                        </pic:nvPicPr>
                        <pic:blipFill>
                          <a:blip r:embed="rId5"/>
                          <a:stretch>
                            <a:fillRect/>
                          </a:stretch>
                        </pic:blipFill>
                        <pic:spPr>
                          <a:xfrm>
                            <a:off x="0" y="0"/>
                            <a:ext cx="1258570" cy="1666875"/>
                          </a:xfrm>
                          <a:prstGeom prst="rect">
                            <a:avLst/>
                          </a:prstGeom>
                          <a:ln>
                            <a:noFill/>
                          </a:ln>
                        </pic:spPr>
                      </pic:pic>
                    </a:graphicData>
                  </a:graphic>
                </wp:inline>
              </w:drawing>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蓝色色标：PANTONE647C(C:100, M:60,Y:0,K:20)</w:t>
            </w:r>
          </w:p>
        </w:tc>
      </w:tr>
      <w:tr>
        <w:tblPrEx>
          <w:tblCellMar>
            <w:top w:w="15" w:type="dxa"/>
            <w:left w:w="15" w:type="dxa"/>
            <w:bottom w:w="15" w:type="dxa"/>
            <w:right w:w="15" w:type="dxa"/>
          </w:tblCellMar>
        </w:tblPrEx>
        <w:trPr>
          <w:trHeight w:val="2616" w:hRule="atLeast"/>
          <w:jc w:val="center"/>
        </w:trPr>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有害垃圾</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drawing>
                <wp:inline distT="0" distB="0" distL="114300" distR="114300">
                  <wp:extent cx="1270635" cy="1659890"/>
                  <wp:effectExtent l="0" t="0" r="24765" b="16510"/>
                  <wp:docPr id="7" name="IM 4"/>
                  <wp:cNvGraphicFramePr/>
                  <a:graphic xmlns:a="http://schemas.openxmlformats.org/drawingml/2006/main">
                    <a:graphicData uri="http://schemas.openxmlformats.org/drawingml/2006/picture">
                      <pic:pic xmlns:pic="http://schemas.openxmlformats.org/drawingml/2006/picture">
                        <pic:nvPicPr>
                          <pic:cNvPr id="7" name="IM 4"/>
                          <pic:cNvPicPr/>
                        </pic:nvPicPr>
                        <pic:blipFill>
                          <a:blip r:embed="rId6"/>
                          <a:stretch>
                            <a:fillRect/>
                          </a:stretch>
                        </pic:blipFill>
                        <pic:spPr>
                          <a:xfrm>
                            <a:off x="0" y="0"/>
                            <a:ext cx="1270635" cy="1659890"/>
                          </a:xfrm>
                          <a:prstGeom prst="rect">
                            <a:avLst/>
                          </a:prstGeom>
                          <a:ln>
                            <a:noFill/>
                          </a:ln>
                        </pic:spPr>
                      </pic:pic>
                    </a:graphicData>
                  </a:graphic>
                </wp:inline>
              </w:drawing>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红色色标：</w:t>
            </w: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sz w:val="32"/>
                <w:szCs w:val="32"/>
              </w:rPr>
              <w:t>PANTONE485C(C:0,M :100,Y:100,K:0)</w:t>
            </w:r>
          </w:p>
        </w:tc>
      </w:tr>
      <w:tr>
        <w:tblPrEx>
          <w:tblCellMar>
            <w:top w:w="15" w:type="dxa"/>
            <w:left w:w="15" w:type="dxa"/>
            <w:bottom w:w="15" w:type="dxa"/>
            <w:right w:w="15" w:type="dxa"/>
          </w:tblCellMar>
        </w:tblPrEx>
        <w:trPr>
          <w:trHeight w:val="2616" w:hRule="atLeast"/>
          <w:jc w:val="center"/>
        </w:trPr>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厨余垃圾（包含餐厨垃圾、家庭厨余垃圾、其他厨余垃圾）</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drawing>
                <wp:inline distT="0" distB="0" distL="114300" distR="114300">
                  <wp:extent cx="1247140" cy="1332865"/>
                  <wp:effectExtent l="0" t="0" r="2540" b="8255"/>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7"/>
                          <a:stretch>
                            <a:fillRect/>
                          </a:stretch>
                        </pic:blipFill>
                        <pic:spPr>
                          <a:xfrm>
                            <a:off x="0" y="0"/>
                            <a:ext cx="1247140" cy="1332865"/>
                          </a:xfrm>
                          <a:prstGeom prst="rect">
                            <a:avLst/>
                          </a:prstGeom>
                          <a:ln>
                            <a:noFill/>
                          </a:ln>
                        </pic:spPr>
                      </pic:pic>
                    </a:graphicData>
                  </a:graphic>
                </wp:inline>
              </w:drawing>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绿色色标：</w:t>
            </w: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sz w:val="32"/>
                <w:szCs w:val="32"/>
              </w:rPr>
              <w:t>PANTONE2259C(C:10 0,M:0,Y:100,K:30)</w:t>
            </w:r>
          </w:p>
        </w:tc>
      </w:tr>
      <w:tr>
        <w:tblPrEx>
          <w:tblCellMar>
            <w:top w:w="15" w:type="dxa"/>
            <w:left w:w="15" w:type="dxa"/>
            <w:bottom w:w="15" w:type="dxa"/>
            <w:right w:w="15" w:type="dxa"/>
          </w:tblCellMar>
        </w:tblPrEx>
        <w:trPr>
          <w:trHeight w:val="2694" w:hRule="atLeast"/>
          <w:jc w:val="center"/>
        </w:trPr>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其他垃圾</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drawing>
                <wp:inline distT="0" distB="0" distL="114300" distR="114300">
                  <wp:extent cx="1256030" cy="1683385"/>
                  <wp:effectExtent l="0" t="0" r="13970" b="18415"/>
                  <wp:docPr id="8" name="IM 6"/>
                  <wp:cNvGraphicFramePr/>
                  <a:graphic xmlns:a="http://schemas.openxmlformats.org/drawingml/2006/main">
                    <a:graphicData uri="http://schemas.openxmlformats.org/drawingml/2006/picture">
                      <pic:pic xmlns:pic="http://schemas.openxmlformats.org/drawingml/2006/picture">
                        <pic:nvPicPr>
                          <pic:cNvPr id="8" name="IM 6"/>
                          <pic:cNvPicPr/>
                        </pic:nvPicPr>
                        <pic:blipFill>
                          <a:blip r:embed="rId8"/>
                          <a:stretch>
                            <a:fillRect/>
                          </a:stretch>
                        </pic:blipFill>
                        <pic:spPr>
                          <a:xfrm>
                            <a:off x="0" y="0"/>
                            <a:ext cx="1256030" cy="1683385"/>
                          </a:xfrm>
                          <a:prstGeom prst="rect">
                            <a:avLst/>
                          </a:prstGeom>
                          <a:ln>
                            <a:noFill/>
                          </a:ln>
                        </pic:spPr>
                      </pic:pic>
                    </a:graphicData>
                  </a:graphic>
                </wp:inline>
              </w:drawing>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黑色色标：</w:t>
            </w: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sz w:val="32"/>
                <w:szCs w:val="32"/>
              </w:rPr>
              <w:t>PANTONE Black         7C(C:0,M:0,Y:0,K:100)</w:t>
            </w:r>
          </w:p>
        </w:tc>
      </w:tr>
    </w:tbl>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highlight w:val="none"/>
          <w:lang w:val="en-US" w:eastAsia="zh-Hans"/>
        </w:rPr>
      </w:pPr>
      <w:r>
        <w:rPr>
          <w:rFonts w:hint="eastAsia" w:ascii="黑体" w:hAnsi="黑体" w:eastAsia="黑体" w:cs="黑体"/>
          <w:sz w:val="32"/>
          <w:szCs w:val="32"/>
          <w:highlight w:val="none"/>
          <w:lang w:val="en-US" w:eastAsia="zh-CN"/>
        </w:rPr>
        <w:t>二、</w:t>
      </w:r>
      <w:r>
        <w:rPr>
          <w:rFonts w:hint="eastAsia" w:ascii="黑体" w:hAnsi="黑体" w:eastAsia="黑体" w:cs="黑体"/>
          <w:sz w:val="32"/>
          <w:szCs w:val="32"/>
          <w:highlight w:val="none"/>
          <w:lang w:val="en-US" w:eastAsia="zh-Hans"/>
        </w:rPr>
        <w:t>垃圾分类及投放要求</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 w:hAnsi="楷体" w:eastAsia="楷体" w:cs="楷体"/>
          <w:sz w:val="32"/>
          <w:szCs w:val="32"/>
          <w:highlight w:val="none"/>
          <w:lang w:val="en-US" w:eastAsia="zh-Hans"/>
        </w:rPr>
      </w:pPr>
      <w:r>
        <w:rPr>
          <w:rFonts w:hint="eastAsia" w:ascii="楷体" w:hAnsi="楷体" w:eastAsia="楷体" w:cs="楷体"/>
          <w:sz w:val="32"/>
          <w:szCs w:val="32"/>
          <w:highlight w:val="none"/>
          <w:lang w:val="en-US" w:eastAsia="zh-CN"/>
        </w:rPr>
        <w:t>（一）</w:t>
      </w:r>
      <w:r>
        <w:rPr>
          <w:rFonts w:hint="eastAsia" w:ascii="楷体" w:hAnsi="楷体" w:eastAsia="楷体" w:cs="楷体"/>
          <w:sz w:val="32"/>
          <w:szCs w:val="32"/>
          <w:highlight w:val="none"/>
          <w:lang w:val="en-US" w:eastAsia="zh-Hans"/>
        </w:rPr>
        <w:t>可回收物</w:t>
      </w:r>
    </w:p>
    <w:p>
      <w:pPr>
        <w:spacing w:line="560" w:lineRule="exact"/>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可回收物是指适宜回收利用的生活垃圾，包括纸类、塑料、金属、玻璃、织物等（实物列举见表2）。</w:t>
      </w:r>
    </w:p>
    <w:p>
      <w:pPr>
        <w:spacing w:line="560" w:lineRule="exact"/>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投放要求：可回收物进行分类投放时，应保持清洁干燥，避免污染，废纸应保持平整，立体包装物应</w:t>
      </w:r>
      <w:r>
        <w:rPr>
          <w:rFonts w:hint="eastAsia" w:ascii="仿宋_GB2312" w:hAnsi="仿宋_GB2312" w:eastAsia="仿宋_GB2312" w:cs="仿宋_GB2312"/>
          <w:sz w:val="32"/>
          <w:szCs w:val="32"/>
          <w:lang w:val="en-US" w:eastAsia="zh-CN"/>
        </w:rPr>
        <w:t>清</w:t>
      </w:r>
      <w:r>
        <w:rPr>
          <w:rFonts w:hint="eastAsia" w:ascii="仿宋_GB2312" w:hAnsi="仿宋_GB2312" w:eastAsia="仿宋_GB2312" w:cs="仿宋_GB2312"/>
          <w:sz w:val="32"/>
          <w:szCs w:val="32"/>
          <w:lang w:eastAsia="zh-Hans"/>
        </w:rPr>
        <w:t>空内容</w:t>
      </w:r>
      <w:r>
        <w:rPr>
          <w:rFonts w:hint="eastAsia" w:ascii="仿宋_GB2312" w:hAnsi="仿宋_GB2312" w:eastAsia="仿宋_GB2312" w:cs="仿宋_GB2312"/>
          <w:sz w:val="32"/>
          <w:szCs w:val="32"/>
          <w:lang w:val="en-US" w:eastAsia="zh-CN"/>
        </w:rPr>
        <w:t>物</w:t>
      </w:r>
      <w:r>
        <w:rPr>
          <w:rFonts w:hint="eastAsia" w:ascii="仿宋_GB2312" w:hAnsi="仿宋_GB2312" w:eastAsia="仿宋_GB2312" w:cs="仿宋_GB2312"/>
          <w:sz w:val="32"/>
          <w:szCs w:val="32"/>
          <w:lang w:eastAsia="zh-Hans"/>
        </w:rPr>
        <w:t>，清洁后压扁投放，废玻璃制品应轻投轻放，有尖锐边角等应包裹后投放；用于捐赠等旧纺织物宜清洗干净，打包后投放至专用回收箱或捐赠点。</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bCs/>
          <w:sz w:val="32"/>
          <w:szCs w:val="32"/>
          <w:lang w:eastAsia="zh-Hans"/>
        </w:rPr>
      </w:pPr>
      <w:r>
        <w:rPr>
          <w:rFonts w:hint="eastAsia" w:ascii="仿宋_GB2312" w:hAnsi="仿宋_GB2312" w:eastAsia="仿宋_GB2312" w:cs="仿宋_GB2312"/>
          <w:b/>
          <w:bCs/>
          <w:sz w:val="32"/>
          <w:szCs w:val="32"/>
          <w:lang w:eastAsia="zh-Hans"/>
        </w:rPr>
        <w:t>表2 可回收物实物列举</w:t>
      </w:r>
    </w:p>
    <w:tbl>
      <w:tblPr>
        <w:tblStyle w:val="7"/>
        <w:tblW w:w="8298" w:type="dxa"/>
        <w:jc w:val="center"/>
        <w:tblLayout w:type="autofit"/>
        <w:tblCellMar>
          <w:top w:w="15" w:type="dxa"/>
          <w:left w:w="15" w:type="dxa"/>
          <w:bottom w:w="15" w:type="dxa"/>
          <w:right w:w="15" w:type="dxa"/>
        </w:tblCellMar>
      </w:tblPr>
      <w:tblGrid>
        <w:gridCol w:w="693"/>
        <w:gridCol w:w="916"/>
        <w:gridCol w:w="3798"/>
        <w:gridCol w:w="2891"/>
      </w:tblGrid>
      <w:tr>
        <w:tblPrEx>
          <w:tblCellMar>
            <w:top w:w="15" w:type="dxa"/>
            <w:left w:w="15" w:type="dxa"/>
            <w:bottom w:w="15" w:type="dxa"/>
            <w:right w:w="15" w:type="dxa"/>
          </w:tblCellMar>
        </w:tblPrEx>
        <w:trPr>
          <w:trHeight w:val="76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000000"/>
                <w:sz w:val="32"/>
                <w:szCs w:val="32"/>
              </w:rPr>
            </w:pPr>
            <w:bookmarkStart w:id="2" w:name="_GoBack"/>
            <w:bookmarkStart w:id="1" w:name="OLE_LINK2"/>
            <w:r>
              <w:rPr>
                <w:rFonts w:hint="eastAsia" w:ascii="仿宋_GB2312" w:hAnsi="仿宋_GB2312" w:eastAsia="仿宋_GB2312" w:cs="仿宋_GB2312"/>
                <w:color w:val="000000"/>
                <w:kern w:val="0"/>
                <w:sz w:val="32"/>
                <w:szCs w:val="32"/>
                <w:lang w:bidi="ar"/>
              </w:rPr>
              <w:t>类别</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细分</w:t>
            </w:r>
          </w:p>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类别</w:t>
            </w:r>
          </w:p>
        </w:tc>
        <w:tc>
          <w:tcPr>
            <w:tcW w:w="3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实物列举</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备注</w:t>
            </w:r>
          </w:p>
        </w:tc>
      </w:tr>
      <w:tr>
        <w:tblPrEx>
          <w:tblCellMar>
            <w:top w:w="15" w:type="dxa"/>
            <w:left w:w="15" w:type="dxa"/>
            <w:bottom w:w="15" w:type="dxa"/>
            <w:right w:w="15" w:type="dxa"/>
          </w:tblCellMar>
        </w:tblPrEx>
        <w:trPr>
          <w:trHeight w:val="1071" w:hRule="atLeast"/>
          <w:jc w:val="center"/>
        </w:trPr>
        <w:tc>
          <w:tcPr>
            <w:tcW w:w="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可回收物</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纸类</w:t>
            </w:r>
          </w:p>
        </w:tc>
        <w:tc>
          <w:tcPr>
            <w:tcW w:w="3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废弃报纸、传单、书本杂志，废纸盒、纸箱、纸板、利乐包，不直接接触药品的纸质外包装等。</w:t>
            </w:r>
          </w:p>
        </w:tc>
        <w:tc>
          <w:tcPr>
            <w:tcW w:w="2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bidi="ar"/>
              </w:rPr>
              <w:t>1.化妆品、洗护用品、食品等的立体包装物(瓶、罐、盒等)投放前，应清空内容物，尽量清洗干净、压扁。</w:t>
            </w:r>
          </w:p>
          <w:p>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bidi="ar"/>
              </w:rPr>
              <w:t>2.带电池的玩具需要先拆除电池再投放。</w:t>
            </w:r>
          </w:p>
          <w:p>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bidi="ar"/>
              </w:rPr>
              <w:t>3.鞋子一般由塑料、橡胶等多种材质构成，难以利用，归属其他垃圾。</w:t>
            </w:r>
          </w:p>
          <w:p>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bidi="ar"/>
              </w:rPr>
              <w:t>4.外卖餐盒，食材托盘，化妆品、洗护用品、食品等的塑料包装袋，清洗干净后可以归属可回收物。</w:t>
            </w:r>
          </w:p>
          <w:p>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bidi="ar"/>
              </w:rPr>
              <w:t>5.贴有胶带的快递塑料外包装，归属其他垃圾。</w:t>
            </w:r>
          </w:p>
          <w:p>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bidi="ar"/>
              </w:rPr>
              <w:t>6.牙刷、牙线、塑料花盆等由两种或两种以上材料组成且通过物理手段难以分离的符合材料物品，归属其</w:t>
            </w:r>
            <w:r>
              <w:rPr>
                <w:rFonts w:hint="eastAsia" w:ascii="仿宋_GB2312" w:hAnsi="仿宋_GB2312" w:eastAsia="仿宋_GB2312" w:cs="仿宋_GB2312"/>
                <w:color w:val="000000"/>
                <w:kern w:val="0"/>
                <w:sz w:val="32"/>
                <w:szCs w:val="32"/>
                <w:lang w:eastAsia="zh-CN" w:bidi="ar"/>
              </w:rPr>
              <w:t>他</w:t>
            </w:r>
            <w:r>
              <w:rPr>
                <w:rFonts w:hint="eastAsia" w:ascii="仿宋_GB2312" w:hAnsi="仿宋_GB2312" w:eastAsia="仿宋_GB2312" w:cs="仿宋_GB2312"/>
                <w:color w:val="000000"/>
                <w:kern w:val="0"/>
                <w:sz w:val="32"/>
                <w:szCs w:val="32"/>
                <w:lang w:bidi="ar"/>
              </w:rPr>
              <w:t>垃圾。</w:t>
            </w:r>
          </w:p>
          <w:p>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bidi="ar"/>
              </w:rPr>
              <w:t>7.遮光布及遮光窗帘、</w:t>
            </w:r>
            <w:r>
              <w:rPr>
                <w:rFonts w:hint="eastAsia" w:ascii="仿宋_GB2312" w:hAnsi="仿宋_GB2312" w:eastAsia="仿宋_GB2312" w:cs="仿宋_GB2312"/>
                <w:color w:val="000000"/>
                <w:kern w:val="0"/>
                <w:sz w:val="32"/>
                <w:szCs w:val="32"/>
                <w:lang w:val="en-US" w:eastAsia="zh-CN" w:bidi="ar"/>
              </w:rPr>
              <w:t>布</w:t>
            </w:r>
            <w:r>
              <w:rPr>
                <w:rFonts w:hint="eastAsia" w:ascii="仿宋_GB2312" w:hAnsi="仿宋_GB2312" w:eastAsia="仿宋_GB2312" w:cs="仿宋_GB2312"/>
                <w:color w:val="000000"/>
                <w:kern w:val="0"/>
                <w:sz w:val="32"/>
                <w:szCs w:val="32"/>
                <w:lang w:bidi="ar"/>
              </w:rPr>
              <w:t>衣、帐篷等含防水涂料不能回收，归属其他垃圾。</w:t>
            </w:r>
          </w:p>
          <w:p>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bidi="ar"/>
              </w:rPr>
              <w:t>8.毛绒玩具、棉被等利用价值低，归属其他垃圾。</w:t>
            </w:r>
          </w:p>
          <w:p>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9.受过污染、无二次利用价值的废旧衣物归为其</w:t>
            </w:r>
            <w:r>
              <w:rPr>
                <w:rFonts w:hint="eastAsia" w:ascii="仿宋_GB2312" w:hAnsi="仿宋_GB2312" w:eastAsia="仿宋_GB2312" w:cs="仿宋_GB2312"/>
                <w:color w:val="000000"/>
                <w:kern w:val="0"/>
                <w:sz w:val="32"/>
                <w:szCs w:val="32"/>
                <w:lang w:eastAsia="zh-CN" w:bidi="ar"/>
              </w:rPr>
              <w:t>他</w:t>
            </w:r>
            <w:r>
              <w:rPr>
                <w:rFonts w:hint="eastAsia" w:ascii="仿宋_GB2312" w:hAnsi="仿宋_GB2312" w:eastAsia="仿宋_GB2312" w:cs="仿宋_GB2312"/>
                <w:color w:val="000000"/>
                <w:kern w:val="0"/>
                <w:sz w:val="32"/>
                <w:szCs w:val="32"/>
                <w:lang w:bidi="ar"/>
              </w:rPr>
              <w:t>垃圾。</w:t>
            </w:r>
          </w:p>
        </w:tc>
      </w:tr>
      <w:tr>
        <w:tblPrEx>
          <w:tblCellMar>
            <w:top w:w="15" w:type="dxa"/>
            <w:left w:w="15" w:type="dxa"/>
            <w:bottom w:w="15" w:type="dxa"/>
            <w:right w:w="15" w:type="dxa"/>
          </w:tblCellMar>
        </w:tblPrEx>
        <w:trPr>
          <w:trHeight w:val="2565" w:hRule="atLeast"/>
          <w:jc w:val="center"/>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塑料类</w:t>
            </w:r>
          </w:p>
        </w:tc>
        <w:tc>
          <w:tcPr>
            <w:tcW w:w="3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塑料收纳箱、塑料盒，塑料容器(化妆品、洗护用品、食品饮料等容器)，塑料盆，塑料饭盒、塑料杯，塑料玩具(雪花片、乐高、塑料车、海洋球等)，塑料花架，泡</w:t>
            </w:r>
            <w:r>
              <w:rPr>
                <w:rFonts w:hint="eastAsia" w:ascii="仿宋_GB2312" w:hAnsi="仿宋_GB2312" w:eastAsia="仿宋_GB2312" w:cs="仿宋_GB2312"/>
                <w:color w:val="000000"/>
                <w:kern w:val="0"/>
                <w:sz w:val="32"/>
                <w:szCs w:val="32"/>
                <w:lang w:val="en-US" w:eastAsia="zh-CN" w:bidi="ar"/>
              </w:rPr>
              <w:t>沫</w:t>
            </w:r>
            <w:r>
              <w:rPr>
                <w:rFonts w:hint="eastAsia" w:ascii="仿宋_GB2312" w:hAnsi="仿宋_GB2312" w:eastAsia="仿宋_GB2312" w:cs="仿宋_GB2312"/>
                <w:color w:val="000000"/>
                <w:kern w:val="0"/>
                <w:sz w:val="32"/>
                <w:szCs w:val="32"/>
                <w:lang w:bidi="ar"/>
              </w:rPr>
              <w:t>填充物，笔的外壳，塑料文件夹、文件盒、文件套，塑料画笔、画板、相框(画框)，塑料衣架，塑料挂钩，U盘、硬盘、网线、光盘、磁带、磁盘、唱片、充电头等。</w:t>
            </w:r>
          </w:p>
        </w:tc>
        <w:tc>
          <w:tcPr>
            <w:tcW w:w="2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rPr>
                <w:rFonts w:hint="eastAsia" w:ascii="仿宋_GB2312" w:hAnsi="仿宋_GB2312" w:eastAsia="仿宋_GB2312" w:cs="仿宋_GB2312"/>
                <w:color w:val="000000"/>
                <w:sz w:val="32"/>
                <w:szCs w:val="32"/>
              </w:rPr>
            </w:pPr>
          </w:p>
        </w:tc>
      </w:tr>
      <w:tr>
        <w:tblPrEx>
          <w:tblCellMar>
            <w:top w:w="15" w:type="dxa"/>
            <w:left w:w="15" w:type="dxa"/>
            <w:bottom w:w="15" w:type="dxa"/>
            <w:right w:w="15" w:type="dxa"/>
          </w:tblCellMar>
        </w:tblPrEx>
        <w:trPr>
          <w:trHeight w:val="3196" w:hRule="atLeast"/>
          <w:jc w:val="center"/>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金属类</w:t>
            </w:r>
          </w:p>
        </w:tc>
        <w:tc>
          <w:tcPr>
            <w:tcW w:w="3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易拉罐，金属容器(化妆品、洗护用品、食品饮料等容器)，金属盆，金属饭盒、保温杯、保温壶，金属餐具炊具(碗筷、汤勺、碟子、刀、锅、烤盘、烧烤架)，杠铃、哑铃，金属衣架，手电</w:t>
            </w:r>
            <w:r>
              <w:rPr>
                <w:rFonts w:hint="eastAsia" w:ascii="仿宋_GB2312" w:hAnsi="仿宋_GB2312" w:eastAsia="仿宋_GB2312" w:cs="仿宋_GB2312"/>
                <w:color w:val="000000"/>
                <w:kern w:val="0"/>
                <w:sz w:val="32"/>
                <w:szCs w:val="32"/>
                <w:lang w:eastAsia="zh-CN" w:bidi="ar"/>
              </w:rPr>
              <w:t>筒</w:t>
            </w:r>
            <w:r>
              <w:rPr>
                <w:rFonts w:hint="eastAsia" w:ascii="仿宋_GB2312" w:hAnsi="仿宋_GB2312" w:eastAsia="仿宋_GB2312" w:cs="仿宋_GB2312"/>
                <w:color w:val="000000"/>
                <w:kern w:val="0"/>
                <w:sz w:val="32"/>
                <w:szCs w:val="32"/>
                <w:lang w:bidi="ar"/>
              </w:rPr>
              <w:t>、自行车(车铃、车篮)，</w:t>
            </w:r>
            <w:r>
              <w:rPr>
                <w:rFonts w:hint="eastAsia" w:ascii="仿宋_GB2312" w:hAnsi="仿宋_GB2312" w:eastAsia="仿宋_GB2312" w:cs="仿宋_GB2312"/>
                <w:color w:val="000000"/>
                <w:kern w:val="0"/>
                <w:sz w:val="32"/>
                <w:szCs w:val="32"/>
                <w:lang w:eastAsia="zh-CN" w:bidi="ar"/>
              </w:rPr>
              <w:t>晾</w:t>
            </w:r>
            <w:r>
              <w:rPr>
                <w:rFonts w:hint="eastAsia" w:ascii="仿宋_GB2312" w:hAnsi="仿宋_GB2312" w:eastAsia="仿宋_GB2312" w:cs="仿宋_GB2312"/>
                <w:color w:val="000000"/>
                <w:kern w:val="0"/>
                <w:sz w:val="32"/>
                <w:szCs w:val="32"/>
                <w:lang w:bidi="ar"/>
              </w:rPr>
              <w:t>衣杆、毛巾架、金属花架，园艺工具，螺丝、螺帽、电钻、卷尺、锁、钥匙、</w:t>
            </w:r>
            <w:r>
              <w:rPr>
                <w:rFonts w:hint="eastAsia" w:ascii="仿宋_GB2312" w:hAnsi="仿宋_GB2312" w:eastAsia="仿宋_GB2312" w:cs="仿宋_GB2312"/>
                <w:color w:val="000000"/>
                <w:kern w:val="0"/>
                <w:sz w:val="32"/>
                <w:szCs w:val="32"/>
                <w:lang w:val="en-US" w:eastAsia="zh-CN" w:bidi="ar"/>
              </w:rPr>
              <w:t>铰</w:t>
            </w:r>
            <w:r>
              <w:rPr>
                <w:rFonts w:hint="eastAsia" w:ascii="仿宋_GB2312" w:hAnsi="仿宋_GB2312" w:eastAsia="仿宋_GB2312" w:cs="仿宋_GB2312"/>
                <w:color w:val="000000"/>
                <w:kern w:val="0"/>
                <w:sz w:val="32"/>
                <w:szCs w:val="32"/>
                <w:lang w:bidi="ar"/>
              </w:rPr>
              <w:t>链，脚踏车、滑板车、金属相框(画框)、票夹、美工刀、金属挂钩、金属登山杖等。</w:t>
            </w:r>
          </w:p>
        </w:tc>
        <w:tc>
          <w:tcPr>
            <w:tcW w:w="2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rPr>
                <w:rFonts w:hint="eastAsia" w:ascii="仿宋_GB2312" w:hAnsi="仿宋_GB2312" w:eastAsia="仿宋_GB2312" w:cs="仿宋_GB2312"/>
                <w:color w:val="000000"/>
                <w:sz w:val="32"/>
                <w:szCs w:val="32"/>
              </w:rPr>
            </w:pPr>
          </w:p>
        </w:tc>
      </w:tr>
      <w:tr>
        <w:tblPrEx>
          <w:tblCellMar>
            <w:top w:w="15" w:type="dxa"/>
            <w:left w:w="15" w:type="dxa"/>
            <w:bottom w:w="15" w:type="dxa"/>
            <w:right w:w="15" w:type="dxa"/>
          </w:tblCellMar>
        </w:tblPrEx>
        <w:trPr>
          <w:trHeight w:val="987" w:hRule="atLeast"/>
          <w:jc w:val="center"/>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玻璃类</w:t>
            </w:r>
          </w:p>
        </w:tc>
        <w:tc>
          <w:tcPr>
            <w:tcW w:w="3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平板玻璃、玻璃容器(化妆品、清洗用品、食品等容器)，玻璃饭盒、玻璃杯、玻璃弹珠等。</w:t>
            </w:r>
          </w:p>
        </w:tc>
        <w:tc>
          <w:tcPr>
            <w:tcW w:w="2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rPr>
                <w:rFonts w:hint="eastAsia" w:ascii="仿宋_GB2312" w:hAnsi="仿宋_GB2312" w:eastAsia="仿宋_GB2312" w:cs="仿宋_GB2312"/>
                <w:color w:val="000000"/>
                <w:sz w:val="32"/>
                <w:szCs w:val="32"/>
              </w:rPr>
            </w:pPr>
          </w:p>
        </w:tc>
      </w:tr>
      <w:tr>
        <w:tblPrEx>
          <w:tblCellMar>
            <w:top w:w="15" w:type="dxa"/>
            <w:left w:w="15" w:type="dxa"/>
            <w:bottom w:w="15" w:type="dxa"/>
            <w:right w:w="15" w:type="dxa"/>
          </w:tblCellMar>
        </w:tblPrEx>
        <w:trPr>
          <w:trHeight w:val="1131" w:hRule="atLeast"/>
          <w:jc w:val="center"/>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织物类</w:t>
            </w:r>
          </w:p>
        </w:tc>
        <w:tc>
          <w:tcPr>
            <w:tcW w:w="3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床单、纯棉或涤纶窗帘、围巾、围脖、纯棉类和涤纶类的衣物、无纺布及帆布材质的包和手提袋、羽绒衣等。</w:t>
            </w:r>
          </w:p>
        </w:tc>
        <w:tc>
          <w:tcPr>
            <w:tcW w:w="2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rPr>
                <w:rFonts w:hint="eastAsia" w:ascii="仿宋_GB2312" w:hAnsi="仿宋_GB2312" w:eastAsia="仿宋_GB2312" w:cs="仿宋_GB2312"/>
                <w:color w:val="000000"/>
                <w:sz w:val="32"/>
                <w:szCs w:val="32"/>
              </w:rPr>
            </w:pPr>
          </w:p>
        </w:tc>
      </w:tr>
      <w:bookmarkEnd w:id="2"/>
      <w:bookmarkEnd w:id="1"/>
    </w:tbl>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_GB2312" w:hAnsi="楷体_GB2312" w:eastAsia="楷体_GB2312" w:cs="楷体_GB2312"/>
          <w:sz w:val="32"/>
          <w:szCs w:val="32"/>
          <w:highlight w:val="none"/>
          <w:lang w:val="en-US" w:eastAsia="zh-Hans"/>
        </w:rPr>
      </w:pPr>
      <w:r>
        <w:rPr>
          <w:rFonts w:hint="eastAsia" w:ascii="楷体_GB2312" w:hAnsi="楷体_GB2312" w:eastAsia="楷体_GB2312" w:cs="楷体_GB2312"/>
          <w:sz w:val="32"/>
          <w:szCs w:val="32"/>
          <w:highlight w:val="none"/>
          <w:lang w:val="en-US" w:eastAsia="zh-CN"/>
        </w:rPr>
        <w:t>（二）</w:t>
      </w:r>
      <w:r>
        <w:rPr>
          <w:rFonts w:hint="eastAsia" w:ascii="楷体_GB2312" w:hAnsi="楷体_GB2312" w:eastAsia="楷体_GB2312" w:cs="楷体_GB2312"/>
          <w:sz w:val="32"/>
          <w:szCs w:val="32"/>
          <w:highlight w:val="none"/>
          <w:lang w:val="en-US" w:eastAsia="zh-Hans"/>
        </w:rPr>
        <w:t>有害垃圾</w:t>
      </w:r>
    </w:p>
    <w:p>
      <w:pPr>
        <w:spacing w:line="560" w:lineRule="exact"/>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有害垃圾是指纳入《国家危险废物名录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2025年版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Hans"/>
        </w:rPr>
        <w:t>》中的家庭源危险废物，属于有害物质、需要特殊安全处理的生活垃圾，对人体健康或自然环境造成直接或潜在危害，包括废灯管、废电池、废药品、废温度计、废杀虫剂和消毒剂、废油漆及其包装物等(实物列举见表3)。</w:t>
      </w:r>
    </w:p>
    <w:p>
      <w:pPr>
        <w:spacing w:line="560" w:lineRule="exact"/>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投放要求：分类投放有害垃圾时，应注意轻拿轻放。废灯管等易破损的有害垃圾应连带包装或包裹后投放；废弃药品宜连带包装一起投放；杀虫剂等压力罐装容器应排空内容物投放；在公共场所产生有害垃圾且未发现对应投放容器时，应携带至有害垃圾投放点妥善投放。镉镍电池、氧化汞电池、铅蓄电池等投放时应保持完好，投放至有害垃圾收集容器；破损的电池应用透明塑料袋封装后再投放至有害垃圾收集容器；弃置药品及药具应保持原包装，并应连同包装一并投放至有害垃圾收集容器，未受污染的纸盒等外包装可投放至可回收物收集容器。</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bCs/>
          <w:sz w:val="32"/>
          <w:szCs w:val="32"/>
          <w:lang w:eastAsia="zh-Hans"/>
        </w:rPr>
      </w:pPr>
      <w:r>
        <w:rPr>
          <w:rFonts w:hint="eastAsia" w:ascii="仿宋_GB2312" w:hAnsi="仿宋_GB2312" w:eastAsia="仿宋_GB2312" w:cs="仿宋_GB2312"/>
          <w:b/>
          <w:bCs/>
          <w:sz w:val="32"/>
          <w:szCs w:val="32"/>
          <w:lang w:eastAsia="zh-Hans"/>
        </w:rPr>
        <w:t>表3 有害垃圾实物列举</w:t>
      </w:r>
    </w:p>
    <w:tbl>
      <w:tblPr>
        <w:tblStyle w:val="7"/>
        <w:tblW w:w="8299" w:type="dxa"/>
        <w:jc w:val="center"/>
        <w:tblLayout w:type="autofit"/>
        <w:tblCellMar>
          <w:top w:w="15" w:type="dxa"/>
          <w:left w:w="15" w:type="dxa"/>
          <w:bottom w:w="15" w:type="dxa"/>
          <w:right w:w="15" w:type="dxa"/>
        </w:tblCellMar>
      </w:tblPr>
      <w:tblGrid>
        <w:gridCol w:w="1009"/>
        <w:gridCol w:w="4150"/>
        <w:gridCol w:w="3140"/>
      </w:tblGrid>
      <w:tr>
        <w:trPr>
          <w:trHeight w:val="441" w:hRule="atLeast"/>
          <w:jc w:val="center"/>
        </w:trPr>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类别</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实物列举</w:t>
            </w:r>
          </w:p>
        </w:tc>
        <w:tc>
          <w:tcPr>
            <w:tcW w:w="3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备注</w:t>
            </w:r>
          </w:p>
        </w:tc>
      </w:tr>
      <w:tr>
        <w:tblPrEx>
          <w:tblCellMar>
            <w:top w:w="15" w:type="dxa"/>
            <w:left w:w="15" w:type="dxa"/>
            <w:bottom w:w="15" w:type="dxa"/>
            <w:right w:w="15" w:type="dxa"/>
          </w:tblCellMar>
        </w:tblPrEx>
        <w:trPr>
          <w:trHeight w:val="853" w:hRule="atLeast"/>
          <w:jc w:val="center"/>
        </w:trPr>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有害垃圾</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bidi="ar"/>
              </w:rPr>
              <w:t>1.废弃电池： 主要包括废铅蓄电池(如汽车、电动自行车等使用的电池)、废镉镍电池(如遥控汽车等电动玩具使用的电池)、氧化汞电池。锂电池(如手机电池、电子表等小型电子设备中的扣式电池等)、废电子产品不属于有害垃圾。</w:t>
            </w:r>
          </w:p>
          <w:p>
            <w:pPr>
              <w:widowControl/>
              <w:jc w:val="left"/>
              <w:textAlignment w:val="center"/>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bidi="ar"/>
              </w:rPr>
              <w:t>2.荧光灯管、温度计、血压计</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废弃日光灯、节能灯、荧光灯、水银温度计、水银血压计。</w:t>
            </w:r>
          </w:p>
          <w:p>
            <w:pPr>
              <w:widowControl/>
              <w:jc w:val="left"/>
              <w:textAlignment w:val="center"/>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bidi="ar"/>
              </w:rPr>
              <w:t>3. 药品：主要包括过期药品、废弃棉签、创可贴、与废药品直接接触的包装物等。</w:t>
            </w:r>
          </w:p>
          <w:p>
            <w:pPr>
              <w:widowControl/>
              <w:jc w:val="left"/>
              <w:textAlignment w:val="center"/>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bidi="ar"/>
              </w:rPr>
              <w:t xml:space="preserve"> 4. 油漆、溶剂：主要包括废弃油漆、有机溶剂及其直接承装容器。</w:t>
            </w:r>
          </w:p>
          <w:p>
            <w:pPr>
              <w:widowControl/>
              <w:jc w:val="left"/>
              <w:textAlignment w:val="center"/>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bidi="ar"/>
              </w:rPr>
              <w:t>5.化学农药、消毒剂：主要包括废弃农药、消毒剂、杀虫剂及其直接承装容器。</w:t>
            </w:r>
          </w:p>
          <w:p>
            <w:pPr>
              <w:widowControl/>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6.胶片、相纸：主要包括废胶卷、废相纸、废X光、CT胶片等。</w:t>
            </w:r>
          </w:p>
        </w:tc>
        <w:tc>
          <w:tcPr>
            <w:tcW w:w="3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bidi="ar"/>
              </w:rPr>
              <w:t>1.废弃白炽灯泡、LED 灯、电子温度计、电子血压计不属于有害垃圾。</w:t>
            </w:r>
          </w:p>
          <w:p>
            <w:pPr>
              <w:widowControl/>
              <w:jc w:val="left"/>
              <w:textAlignment w:val="center"/>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bidi="ar"/>
              </w:rPr>
              <w:t xml:space="preserve">2. 药品的外包装不属于有害垃圾。 </w:t>
            </w:r>
          </w:p>
          <w:p>
            <w:pPr>
              <w:widowControl/>
              <w:jc w:val="left"/>
              <w:textAlignment w:val="center"/>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bidi="ar"/>
              </w:rPr>
              <w:t>3.废弃洗发水、沐浴露等日化用品及其直接承装容器不属于有害垃圾。</w:t>
            </w:r>
          </w:p>
          <w:p>
            <w:pPr>
              <w:widowControl/>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4.农药、消毒剂、杀虫剂的外包装不属于有害垃圾。</w:t>
            </w:r>
          </w:p>
        </w:tc>
      </w:tr>
    </w:tbl>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_GB2312" w:hAnsi="楷体_GB2312" w:eastAsia="楷体_GB2312" w:cs="楷体_GB2312"/>
          <w:sz w:val="32"/>
          <w:szCs w:val="32"/>
          <w:highlight w:val="none"/>
          <w:lang w:val="en-US" w:eastAsia="zh-Hans"/>
        </w:rPr>
      </w:pPr>
      <w:r>
        <w:rPr>
          <w:rFonts w:hint="eastAsia" w:ascii="楷体_GB2312" w:hAnsi="楷体_GB2312" w:eastAsia="楷体_GB2312" w:cs="楷体_GB2312"/>
          <w:sz w:val="32"/>
          <w:szCs w:val="32"/>
          <w:highlight w:val="none"/>
          <w:lang w:val="en-US" w:eastAsia="zh-CN"/>
        </w:rPr>
        <w:t>（三）</w:t>
      </w:r>
      <w:r>
        <w:rPr>
          <w:rFonts w:hint="eastAsia" w:ascii="楷体_GB2312" w:hAnsi="楷体_GB2312" w:eastAsia="楷体_GB2312" w:cs="楷体_GB2312"/>
          <w:sz w:val="32"/>
          <w:szCs w:val="32"/>
          <w:highlight w:val="none"/>
          <w:lang w:val="en-US" w:eastAsia="zh-Hans"/>
        </w:rPr>
        <w:t>厨余垃圾</w:t>
      </w:r>
    </w:p>
    <w:p>
      <w:pPr>
        <w:spacing w:line="560" w:lineRule="exact"/>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厨余垃圾是指以有机质为主要成分，具有易腐烂发酵发臭等特点的生活垃圾。包括居民家庭日常生活过程中产生的家庭厨余垃圾，相关企业和公共机构在食品加工、饮食服务、单位供餐等活动中产生的餐厨垃圾，以及农贸市场、农产品批发市场、菜市场产生的其他厨余垃圾。包括食材废料、剩菜剩饭、蔬菜水果、果皮茶渣等(实物列举见表4)。</w:t>
      </w:r>
    </w:p>
    <w:p>
      <w:pPr>
        <w:spacing w:line="560" w:lineRule="exact"/>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投放要求：厨余垃圾应从产生时就应与其他品种垃圾分开收集，投放前尽量沥干水分，有包装物的厨余垃圾应将包装物去除后分类投放，包装物应投放到对应的其他垃圾投放容器，盛放厨余垃圾的容器，如塑料袋等，在投放时应予以去除。</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bCs/>
          <w:sz w:val="32"/>
          <w:szCs w:val="32"/>
          <w:lang w:eastAsia="zh-Hans"/>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bCs/>
          <w:sz w:val="32"/>
          <w:szCs w:val="32"/>
          <w:lang w:eastAsia="zh-Hans"/>
        </w:rPr>
      </w:pPr>
      <w:r>
        <w:rPr>
          <w:rFonts w:hint="eastAsia" w:ascii="仿宋_GB2312" w:hAnsi="仿宋_GB2312" w:eastAsia="仿宋_GB2312" w:cs="仿宋_GB2312"/>
          <w:b/>
          <w:bCs/>
          <w:sz w:val="32"/>
          <w:szCs w:val="32"/>
          <w:lang w:eastAsia="zh-Hans"/>
        </w:rPr>
        <w:t>表4 厨余垃圾实物列举</w:t>
      </w:r>
    </w:p>
    <w:tbl>
      <w:tblPr>
        <w:tblStyle w:val="7"/>
        <w:tblW w:w="8318" w:type="dxa"/>
        <w:jc w:val="center"/>
        <w:tblLayout w:type="autofit"/>
        <w:tblCellMar>
          <w:top w:w="15" w:type="dxa"/>
          <w:left w:w="15" w:type="dxa"/>
          <w:bottom w:w="15" w:type="dxa"/>
          <w:right w:w="15" w:type="dxa"/>
        </w:tblCellMar>
      </w:tblPr>
      <w:tblGrid>
        <w:gridCol w:w="909"/>
        <w:gridCol w:w="934"/>
        <w:gridCol w:w="4000"/>
        <w:gridCol w:w="2475"/>
      </w:tblGrid>
      <w:tr>
        <w:tblPrEx>
          <w:tblCellMar>
            <w:top w:w="15" w:type="dxa"/>
            <w:left w:w="15" w:type="dxa"/>
            <w:bottom w:w="15" w:type="dxa"/>
            <w:right w:w="15" w:type="dxa"/>
          </w:tblCellMar>
        </w:tblPrEx>
        <w:trPr>
          <w:trHeight w:val="644" w:hRule="atLeast"/>
          <w:jc w:val="center"/>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类别</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细分类别</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实物列举</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备注</w:t>
            </w:r>
          </w:p>
        </w:tc>
      </w:tr>
      <w:tr>
        <w:tblPrEx>
          <w:tblCellMar>
            <w:top w:w="15" w:type="dxa"/>
            <w:left w:w="15" w:type="dxa"/>
            <w:bottom w:w="15" w:type="dxa"/>
            <w:right w:w="15" w:type="dxa"/>
          </w:tblCellMar>
        </w:tblPrEx>
        <w:trPr>
          <w:trHeight w:val="845" w:hRule="atLeast"/>
          <w:jc w:val="center"/>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厨余</w:t>
            </w:r>
          </w:p>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垃圾</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家庭</w:t>
            </w:r>
          </w:p>
          <w:p>
            <w:pPr>
              <w:widowControl/>
              <w:jc w:val="center"/>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厨余</w:t>
            </w:r>
          </w:p>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垃圾</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left"/>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谷物及其加工食品(米、米饭、面、面包、豆类)、肉蛋及其加工食品(鸡、鸭、猪、牛、羊肉、蛋、动物内脏、腊肉、午餐肉、蛋壳)、水产及其加工食品(鱼、鱼鳞、虾、虾壳、鱿鱼)、蔬菜(绿叶菜、根茎蔬菜、菌菇)，废弃食用油脂，过期食品等。</w:t>
            </w:r>
          </w:p>
          <w:p>
            <w:pPr>
              <w:widowControl/>
              <w:numPr>
                <w:ilvl w:val="0"/>
                <w:numId w:val="1"/>
              </w:numPr>
              <w:jc w:val="left"/>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剩菜剩饭，鱼骨、碎骨、茶叶渣、咖啡渣等食物残渣等。</w:t>
            </w:r>
          </w:p>
          <w:p>
            <w:pPr>
              <w:widowControl/>
              <w:numPr>
                <w:ilvl w:val="0"/>
                <w:numId w:val="1"/>
              </w:numPr>
              <w:jc w:val="left"/>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糕饼、糖果、坚果等零食，各式罐头食品内容物，奶粉、面粉、面包粉、糖、香料等各式粉末状可食用品，果酱、番茄酱等各式调味品，宠物饲料等。 </w:t>
            </w:r>
          </w:p>
          <w:p>
            <w:pPr>
              <w:widowControl/>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4.水果果肉、水果果皮(西瓜皮、桔子皮、苹果皮)、水果茎枝 (葡萄枝)、果实果核等。</w:t>
            </w:r>
          </w:p>
        </w:tc>
        <w:tc>
          <w:tcPr>
            <w:tcW w:w="24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bidi="ar"/>
              </w:rPr>
              <w:t>1.食材食品的包装物，纸巾餐具、厨房用具等不属于厨余垃圾(餐厨垃圾)。</w:t>
            </w:r>
          </w:p>
          <w:p>
            <w:pPr>
              <w:widowControl/>
              <w:jc w:val="left"/>
              <w:textAlignment w:val="center"/>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bidi="ar"/>
              </w:rPr>
              <w:t>2.茶包袋、袋饰及棉线等归属其他垃圾。</w:t>
            </w:r>
          </w:p>
          <w:p>
            <w:pPr>
              <w:widowControl/>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3.贝壳、大骨头、毛发等归属其他垃圾。</w:t>
            </w:r>
          </w:p>
        </w:tc>
      </w:tr>
      <w:tr>
        <w:tblPrEx>
          <w:tblCellMar>
            <w:top w:w="15" w:type="dxa"/>
            <w:left w:w="15" w:type="dxa"/>
            <w:bottom w:w="15" w:type="dxa"/>
            <w:right w:w="15" w:type="dxa"/>
          </w:tblCellMar>
        </w:tblPrEx>
        <w:trPr>
          <w:trHeight w:val="947" w:hRule="atLeast"/>
          <w:jc w:val="center"/>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32"/>
                <w:szCs w:val="32"/>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餐厨</w:t>
            </w:r>
          </w:p>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垃圾</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相关企业和公共机构在食品加工、饮食服务、单位供餐等活动中产生的食物残渣、食品加工废料和废弃食用油脂等。</w:t>
            </w:r>
          </w:p>
        </w:tc>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color w:val="000000"/>
                <w:sz w:val="32"/>
                <w:szCs w:val="32"/>
              </w:rPr>
            </w:pPr>
          </w:p>
        </w:tc>
      </w:tr>
      <w:tr>
        <w:tblPrEx>
          <w:tblCellMar>
            <w:top w:w="15" w:type="dxa"/>
            <w:left w:w="15" w:type="dxa"/>
            <w:bottom w:w="15" w:type="dxa"/>
            <w:right w:w="15" w:type="dxa"/>
          </w:tblCellMar>
        </w:tblPrEx>
        <w:trPr>
          <w:trHeight w:val="660" w:hRule="atLeast"/>
          <w:jc w:val="center"/>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32"/>
                <w:szCs w:val="32"/>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其他</w:t>
            </w:r>
          </w:p>
          <w:p>
            <w:pPr>
              <w:widowControl/>
              <w:jc w:val="center"/>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厨余</w:t>
            </w:r>
          </w:p>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垃圾</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花卉、盆栽植物残枝落叶、枯枝、残花枯草等。</w:t>
            </w:r>
          </w:p>
        </w:tc>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color w:val="000000"/>
                <w:sz w:val="32"/>
                <w:szCs w:val="32"/>
              </w:rPr>
            </w:pPr>
          </w:p>
        </w:tc>
      </w:tr>
    </w:tbl>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_GB2312" w:hAnsi="楷体_GB2312" w:eastAsia="楷体_GB2312" w:cs="楷体_GB2312"/>
          <w:sz w:val="32"/>
          <w:szCs w:val="32"/>
          <w:highlight w:val="none"/>
          <w:lang w:val="en-US" w:eastAsia="zh-Hans"/>
        </w:rPr>
      </w:pPr>
      <w:r>
        <w:rPr>
          <w:rFonts w:hint="eastAsia" w:ascii="楷体_GB2312" w:hAnsi="楷体_GB2312" w:eastAsia="楷体_GB2312" w:cs="楷体_GB2312"/>
          <w:sz w:val="32"/>
          <w:szCs w:val="32"/>
          <w:highlight w:val="none"/>
          <w:lang w:val="en-US" w:eastAsia="zh-CN"/>
        </w:rPr>
        <w:t>（四）</w:t>
      </w:r>
      <w:r>
        <w:rPr>
          <w:rFonts w:hint="eastAsia" w:ascii="楷体_GB2312" w:hAnsi="楷体_GB2312" w:eastAsia="楷体_GB2312" w:cs="楷体_GB2312"/>
          <w:sz w:val="32"/>
          <w:szCs w:val="32"/>
          <w:highlight w:val="none"/>
          <w:lang w:val="en-US" w:eastAsia="zh-Hans"/>
        </w:rPr>
        <w:t>其他垃圾</w:t>
      </w:r>
    </w:p>
    <w:p>
      <w:pPr>
        <w:spacing w:line="560" w:lineRule="exact"/>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其他垃圾是指除厨余垃圾、可回收物和有害垃圾以外的生活垃圾。主要是不可再生利用、低附加值或混杂且受污染并难以分类的其他类别垃圾(实物列举见表5 )。</w:t>
      </w:r>
    </w:p>
    <w:p>
      <w:pPr>
        <w:spacing w:line="560" w:lineRule="exact"/>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投放要求：其他垃圾应投入其他垃圾投放容器，投放容器应保持干净整洁，无污渍。</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bCs/>
          <w:sz w:val="32"/>
          <w:szCs w:val="32"/>
          <w:lang w:eastAsia="zh-Hans"/>
        </w:rPr>
      </w:pPr>
      <w:r>
        <w:rPr>
          <w:rFonts w:hint="eastAsia" w:ascii="仿宋_GB2312" w:hAnsi="仿宋_GB2312" w:eastAsia="仿宋_GB2312" w:cs="仿宋_GB2312"/>
          <w:b/>
          <w:bCs/>
          <w:sz w:val="32"/>
          <w:szCs w:val="32"/>
          <w:lang w:eastAsia="zh-Hans"/>
        </w:rPr>
        <w:t>表5 其他垃圾实物列举</w:t>
      </w:r>
    </w:p>
    <w:tbl>
      <w:tblPr>
        <w:tblStyle w:val="7"/>
        <w:tblW w:w="8318" w:type="dxa"/>
        <w:jc w:val="center"/>
        <w:tblLayout w:type="autofit"/>
        <w:tblCellMar>
          <w:top w:w="15" w:type="dxa"/>
          <w:left w:w="15" w:type="dxa"/>
          <w:bottom w:w="15" w:type="dxa"/>
          <w:right w:w="15" w:type="dxa"/>
        </w:tblCellMar>
      </w:tblPr>
      <w:tblGrid>
        <w:gridCol w:w="1011"/>
        <w:gridCol w:w="4765"/>
        <w:gridCol w:w="2542"/>
      </w:tblGrid>
      <w:tr>
        <w:trPr>
          <w:trHeight w:val="446" w:hRule="atLeast"/>
          <w:jc w:val="center"/>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类别</w:t>
            </w:r>
          </w:p>
        </w:tc>
        <w:tc>
          <w:tcPr>
            <w:tcW w:w="4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实物列举</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备注</w:t>
            </w:r>
          </w:p>
        </w:tc>
      </w:tr>
      <w:tr>
        <w:tblPrEx>
          <w:tblCellMar>
            <w:top w:w="15" w:type="dxa"/>
            <w:left w:w="15" w:type="dxa"/>
            <w:bottom w:w="15" w:type="dxa"/>
            <w:right w:w="15" w:type="dxa"/>
          </w:tblCellMar>
        </w:tblPrEx>
        <w:trPr>
          <w:trHeight w:val="1305" w:hRule="atLeast"/>
          <w:jc w:val="center"/>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其他</w:t>
            </w:r>
          </w:p>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垃圾</w:t>
            </w:r>
          </w:p>
        </w:tc>
        <w:tc>
          <w:tcPr>
            <w:tcW w:w="4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bidi="ar"/>
              </w:rPr>
              <w:t>1.卫生纸、纸巾、其他受污染的纸类物质。</w:t>
            </w:r>
          </w:p>
          <w:p>
            <w:pPr>
              <w:widowControl/>
              <w:jc w:val="left"/>
              <w:textAlignment w:val="center"/>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bidi="ar"/>
              </w:rPr>
              <w:t>2.不宜再生利用的生活用品：牙膏、牙线、浴球、浴帽、海绵、搓澡巾、剃须刀等护用品，各类刷子，面膜，化妆刷、化妆棉等化妆用品，一次性用品(桌布、餐具、杯子)，棉被、内衣裤、袜子、鞋垫、帽子、手套、口罩、遮光布、毛绒玩具、枕头，干燥剂、镜子、瓶塞、非金属筷子、汤勺、碟子，烘焙用具，各类球，球拍，瑜伽垫、沙袋、拳击手套，帐篷、睡袋、指南针，雨伞、雨衣、火柴、蜡烛、碱性电池、碳性电池、普通塑料购物袋、LED灯、各类绳子、防尘罩、地毯、踏垫、钢丝球、清洁球、抹布</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自行车轮胎，铅笔、橡皮、印泥、胶水、双面胶、透明胶、鼠标垫、塑封膜、橡皮筋，快递塑料外包装，花盆、托盘，数据线、充电线，拖把、扫帚</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 xml:space="preserve">橡皮鸭、磁力玩具、木制玩具(七巧板、积木等)、爬行垫、塑料拼垫、橡皮泥、颜料、弹力球等玩具。 </w:t>
            </w:r>
          </w:p>
          <w:p>
            <w:pPr>
              <w:widowControl/>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3.烟蒂、灰土、陶瓷、动物大骨、动物粪便、贝壳及其他难以归类和无利用价值物品。</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bidi="ar"/>
              </w:rPr>
              <w:t xml:space="preserve">1.用过的纸巾、尿片等由于沾有各类污渍，且水溶性差，无回收利用价值，应作为其他垃圾进行投放。 </w:t>
            </w:r>
          </w:p>
          <w:p>
            <w:pPr>
              <w:widowControl/>
              <w:jc w:val="left"/>
              <w:textAlignment w:val="center"/>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bidi="ar"/>
              </w:rPr>
              <w:t xml:space="preserve">2.普通一次性电池(碱性电池)基本无汞，应作为其他垃圾投放。 </w:t>
            </w:r>
          </w:p>
          <w:p>
            <w:pPr>
              <w:widowControl/>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3. 暂时不明确具体分类类别的垃圾，应投放入其他垃圾收集容器内。</w:t>
            </w:r>
          </w:p>
        </w:tc>
      </w:tr>
    </w:tbl>
    <w:p>
      <w:pPr>
        <w:rPr>
          <w:rFonts w:ascii="仿宋" w:hAnsi="仿宋" w:eastAsia="仿宋" w:cstheme="majorEastAsia"/>
          <w:spacing w:val="8"/>
          <w:position w:val="3"/>
          <w:sz w:val="32"/>
          <w:szCs w:val="32"/>
          <w14:textOutline w14:w="6350" w14:cap="flat" w14:cmpd="sng" w14:algn="ctr">
            <w14:solidFill>
              <w14:srgbClr w14:val="000000"/>
            </w14:solidFill>
            <w14:prstDash w14:val="solid"/>
            <w14:miter w14:val="0"/>
          </w14:textOutline>
        </w:rPr>
      </w:pPr>
    </w:p>
    <w:p>
      <w:pPr>
        <w:rPr>
          <w:rFonts w:ascii="仿宋" w:hAnsi="仿宋" w:eastAsia="仿宋" w:cstheme="majorEastAsia"/>
          <w:spacing w:val="8"/>
          <w:position w:val="3"/>
          <w:sz w:val="32"/>
          <w:szCs w:val="32"/>
          <w14:textOutline w14:w="6350" w14:cap="flat" w14:cmpd="sng" w14:algn="ctr">
            <w14:solidFill>
              <w14:srgbClr w14:val="000000"/>
            </w14:solidFill>
            <w14:prstDash w14:val="solid"/>
            <w14:miter w14:val="0"/>
          </w14:textOutline>
        </w:rPr>
      </w:pPr>
    </w:p>
    <w:bookmarkEnd w:id="0"/>
    <w:p>
      <w:pPr>
        <w:spacing w:line="560" w:lineRule="exact"/>
        <w:jc w:val="center"/>
        <w:rPr>
          <w:rFonts w:ascii="仿宋" w:hAnsi="仿宋" w:eastAsia="仿宋" w:cs="仿宋_GB2312"/>
          <w:sz w:val="32"/>
          <w:szCs w:val="32"/>
          <w:lang w:eastAsia="zh-Hans"/>
        </w:rPr>
      </w:pPr>
    </w:p>
    <w:sectPr>
      <w:footerReference r:id="rId3" w:type="default"/>
      <w:pgSz w:w="11906" w:h="16838"/>
      <w:pgMar w:top="1531" w:right="1757" w:bottom="1531" w:left="181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DejaVu Sans">
    <w:altName w:val="Segoe Print"/>
    <w:panose1 w:val="00000000000000000000"/>
    <w:charset w:val="00"/>
    <w:family w:val="roman"/>
    <w:pitch w:val="default"/>
    <w:sig w:usb0="00000000" w:usb1="00000000" w:usb2="00000008" w:usb3="00000000" w:csb0="000001FF" w:csb1="00000000"/>
  </w:font>
  <w:font w:name="方正黑体_GBK">
    <w:panose1 w:val="02000000000000000000"/>
    <w:charset w:val="86"/>
    <w:family w:val="auto"/>
    <w:pitch w:val="default"/>
    <w:sig w:usb0="A00002BF" w:usb1="38CF7CFA" w:usb2="00082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Microsoft Sans Serif">
    <w:panose1 w:val="020B0604020202020204"/>
    <w:charset w:val="00"/>
    <w:family w:val="auto"/>
    <w:pitch w:val="default"/>
    <w:sig w:usb0="E1002AFF" w:usb1="C0000002" w:usb2="00000008" w:usb3="00000000" w:csb0="200101FF" w:csb1="2028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09C360"/>
    <w:multiLevelType w:val="singleLevel"/>
    <w:tmpl w:val="6309C36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wZDBhZDdiY2Y3MjJmZmZmM2Y1OTA2ZjJjNjgyMzIifQ=="/>
  </w:docVars>
  <w:rsids>
    <w:rsidRoot w:val="FC7DE39B"/>
    <w:rsid w:val="000B508B"/>
    <w:rsid w:val="000F3A16"/>
    <w:rsid w:val="00203975"/>
    <w:rsid w:val="00264B46"/>
    <w:rsid w:val="00372AEB"/>
    <w:rsid w:val="00454EC5"/>
    <w:rsid w:val="005D619F"/>
    <w:rsid w:val="00934A8C"/>
    <w:rsid w:val="00DA481E"/>
    <w:rsid w:val="0151263C"/>
    <w:rsid w:val="035261AA"/>
    <w:rsid w:val="10AD103E"/>
    <w:rsid w:val="119E39C9"/>
    <w:rsid w:val="176E3BFD"/>
    <w:rsid w:val="1920476C"/>
    <w:rsid w:val="1C431A95"/>
    <w:rsid w:val="1FEA78DD"/>
    <w:rsid w:val="27484CC0"/>
    <w:rsid w:val="29312254"/>
    <w:rsid w:val="2EA918CF"/>
    <w:rsid w:val="36531663"/>
    <w:rsid w:val="37EB798D"/>
    <w:rsid w:val="3CFFB37E"/>
    <w:rsid w:val="3EE54169"/>
    <w:rsid w:val="44F04EFA"/>
    <w:rsid w:val="4C5D11B6"/>
    <w:rsid w:val="4C6F4A12"/>
    <w:rsid w:val="4DE33601"/>
    <w:rsid w:val="525D77D7"/>
    <w:rsid w:val="52A344D0"/>
    <w:rsid w:val="584C4A41"/>
    <w:rsid w:val="59055E4F"/>
    <w:rsid w:val="5986212C"/>
    <w:rsid w:val="5BFD788F"/>
    <w:rsid w:val="683D373C"/>
    <w:rsid w:val="69FB4A56"/>
    <w:rsid w:val="6C1C72EC"/>
    <w:rsid w:val="6F0FAA46"/>
    <w:rsid w:val="6FA50C01"/>
    <w:rsid w:val="74E24692"/>
    <w:rsid w:val="775F80E2"/>
    <w:rsid w:val="78060B46"/>
    <w:rsid w:val="7BB5058C"/>
    <w:rsid w:val="7BBFE8CA"/>
    <w:rsid w:val="7CEE8964"/>
    <w:rsid w:val="7EFF252B"/>
    <w:rsid w:val="7FFD437B"/>
    <w:rsid w:val="AFBE67E4"/>
    <w:rsid w:val="AFED86DF"/>
    <w:rsid w:val="D41DDD54"/>
    <w:rsid w:val="EDCF7835"/>
    <w:rsid w:val="FC7DE39B"/>
    <w:rsid w:val="FCEEE8FC"/>
    <w:rsid w:val="FF5DF4EC"/>
    <w:rsid w:val="FF6B361A"/>
    <w:rsid w:val="FFE66DB1"/>
    <w:rsid w:val="FFF5D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DejaVu Sans" w:hAnsi="DejaVu Sans" w:eastAsia="方正黑体_GBK"/>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rPr>
      <w:rFonts w:eastAsia="华文中宋"/>
      <w:sz w:val="36"/>
      <w:szCs w:val="24"/>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0"/>
    <w:rPr>
      <w:b/>
    </w:rPr>
  </w:style>
  <w:style w:type="character" w:customStyle="1" w:styleId="10">
    <w:name w:val="页眉 字符"/>
    <w:basedOn w:val="8"/>
    <w:link w:val="6"/>
    <w:qFormat/>
    <w:uiPriority w:val="0"/>
    <w:rPr>
      <w:rFonts w:asciiTheme="minorHAnsi" w:hAnsiTheme="minorHAnsi" w:eastAsiaTheme="minorEastAsia" w:cstheme="minorBidi"/>
      <w:kern w:val="2"/>
      <w:sz w:val="18"/>
      <w:szCs w:val="18"/>
    </w:rPr>
  </w:style>
  <w:style w:type="character" w:customStyle="1" w:styleId="11">
    <w:name w:val="页脚 字符"/>
    <w:basedOn w:val="8"/>
    <w:link w:val="5"/>
    <w:qFormat/>
    <w:uiPriority w:val="0"/>
    <w:rPr>
      <w:rFonts w:asciiTheme="minorHAnsi" w:hAnsiTheme="minorHAnsi" w:eastAsiaTheme="minorEastAsia" w:cstheme="minorBidi"/>
      <w:kern w:val="2"/>
      <w:sz w:val="18"/>
      <w:szCs w:val="18"/>
    </w:rPr>
  </w:style>
  <w:style w:type="paragraph" w:customStyle="1" w:styleId="12">
    <w:name w:val="BodyText1I2"/>
    <w:basedOn w:val="13"/>
    <w:semiHidden/>
    <w:qFormat/>
    <w:uiPriority w:val="0"/>
    <w:pPr>
      <w:spacing w:line="560" w:lineRule="exact"/>
      <w:ind w:left="0" w:leftChars="0" w:firstLine="420" w:firstLineChars="200"/>
    </w:pPr>
    <w:rPr>
      <w:rFonts w:eastAsia="仿宋_GB2312"/>
      <w:sz w:val="32"/>
    </w:rPr>
  </w:style>
  <w:style w:type="paragraph" w:customStyle="1" w:styleId="13">
    <w:name w:val="BodyTextIndent"/>
    <w:basedOn w:val="1"/>
    <w:semiHidden/>
    <w:qFormat/>
    <w:uiPriority w:val="0"/>
    <w:pPr>
      <w:ind w:left="420" w:leftChars="200"/>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3309</Words>
  <Characters>3470</Characters>
  <Lines>27</Lines>
  <Paragraphs>7</Paragraphs>
  <TotalTime>340</TotalTime>
  <ScaleCrop>false</ScaleCrop>
  <LinksUpToDate>false</LinksUpToDate>
  <CharactersWithSpaces>3554</CharactersWithSpaces>
  <Application>WPS Office_11.8.2.12162_F1E327BC-269C-435d-A152-05C5408002CA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2022-08-29T12:40:00Z</dcterms:created>
  <dc:creator>baoxiurong</dc:creator>
  <cp:lastModifiedBy>Administrator</cp:lastModifiedBy>
  <cp:lastPrinted>2025-12-26T08:42:00Z</cp:lastPrinted>
  <dcterms:modified xsi:type="dcterms:W3CDTF">2025-12-29T02:32:34Z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2052-11.8.2.12162</vt:lpwstr>
  </property>
  <property fmtid="{D5CDD505-2E9C-101B-9397-08002B2CF9AE}" pid="3" name="ICV">
    <vt:lpwstr>6CC1A91927214E388E4CB3030378476D</vt:lpwstr>
  </property>
</Properties>
</file>