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6A88B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ap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aps/>
          <w:color w:val="auto"/>
          <w:sz w:val="44"/>
          <w:szCs w:val="44"/>
          <w:highlight w:val="none"/>
          <w:lang w:val="en-US" w:eastAsia="zh-CN"/>
        </w:rPr>
        <w:t>《哈密市中心城区供热专项规划</w:t>
      </w:r>
    </w:p>
    <w:p w14:paraId="4612F85E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ap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aps/>
          <w:color w:val="auto"/>
          <w:sz w:val="44"/>
          <w:szCs w:val="44"/>
          <w:highlight w:val="none"/>
          <w:lang w:val="en-US" w:eastAsia="zh-CN"/>
        </w:rPr>
        <w:t>（</w:t>
      </w:r>
      <w:r>
        <w:rPr>
          <w:rFonts w:hint="eastAsia" w:ascii="Times New Roman" w:hAnsi="Times New Roman" w:eastAsia="仿宋_GB2312" w:cs="Times New Roman"/>
          <w:bCs w:val="0"/>
          <w:color w:val="auto"/>
          <w:kern w:val="2"/>
          <w:sz w:val="44"/>
          <w:szCs w:val="44"/>
          <w:highlight w:val="none"/>
          <w:lang w:val="en-US" w:eastAsia="zh-CN" w:bidi="ar-SA"/>
        </w:rPr>
        <w:t>2023-2035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aps/>
          <w:color w:val="auto"/>
          <w:sz w:val="44"/>
          <w:szCs w:val="44"/>
          <w:highlight w:val="none"/>
          <w:lang w:val="en-US" w:eastAsia="zh-CN"/>
        </w:rPr>
        <w:t>年）》公示稿</w:t>
      </w:r>
    </w:p>
    <w:p w14:paraId="0764F561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</w:p>
    <w:p w14:paraId="57347EB0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一、规划期限</w:t>
      </w:r>
    </w:p>
    <w:p w14:paraId="42EE773A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20" w:lineRule="exact"/>
        <w:ind w:firstLine="560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bookmarkStart w:id="0" w:name="_Toc2976"/>
      <w:bookmarkStart w:id="1" w:name="_Toc6021"/>
      <w:bookmarkStart w:id="2" w:name="_Toc19040"/>
      <w:bookmarkStart w:id="3" w:name="_Toc20397"/>
      <w:bookmarkStart w:id="4" w:name="_Toc9229"/>
      <w:bookmarkStart w:id="5" w:name="_Toc8658"/>
      <w:bookmarkStart w:id="6" w:name="_Toc26423"/>
      <w:bookmarkStart w:id="7" w:name="_Toc465847527"/>
      <w:bookmarkStart w:id="8" w:name="_Toc525572057"/>
      <w:bookmarkStart w:id="9" w:name="_Toc525577238"/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参照《哈密市国土空间总体规划（2021-2035年）》确定的规划年限，综合考虑哈密市供热的年度计划，本专项规划划分为近、中、远期建设，近期为2023至2025年，中期为2026至2030年，远期为2031至2035年。</w:t>
      </w:r>
    </w:p>
    <w:p w14:paraId="68E02410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20" w:lineRule="exact"/>
        <w:ind w:firstLine="640" w:firstLineChars="200"/>
        <w:jc w:val="left"/>
        <w:textAlignment w:val="auto"/>
        <w:rPr>
          <w:rFonts w:hint="default" w:ascii="黑体" w:hAnsi="黑体" w:eastAsia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二、</w:t>
      </w:r>
      <w:r>
        <w:rPr>
          <w:rFonts w:hint="default" w:ascii="黑体" w:hAnsi="黑体" w:eastAsia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规划范围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2FC160C6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20" w:lineRule="exact"/>
        <w:ind w:firstLine="560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本次规划范围为哈密市中心城区及周边乡镇。</w:t>
      </w:r>
    </w:p>
    <w:p w14:paraId="21FAF98E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40" w:lineRule="exact"/>
        <w:ind w:firstLine="640" w:firstLineChars="200"/>
        <w:jc w:val="left"/>
        <w:textAlignment w:val="auto"/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  <w:bookmarkStart w:id="10" w:name="_Toc16320"/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三、</w:t>
      </w:r>
      <w:r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规划</w:t>
      </w:r>
      <w:bookmarkEnd w:id="10"/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目标</w:t>
      </w:r>
    </w:p>
    <w:p w14:paraId="781B23B2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在能源清洁低碳高质量发展背景下，充分发挥城区内大型热电联产供热优势，提高供热保障能力，优化用能结构，形成以大型热电联产机组供热为主，分布式清洁能源为辅，总体绿色低碳的发展格局；统筹区域资源，打破供热区域限制，全面提升哈密市热源供热能力和热源供热保障性、供热舒适性，构建安全、稳定、清洁的供热能源体系。</w:t>
      </w:r>
    </w:p>
    <w:p w14:paraId="11B4F6FA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40" w:lineRule="exact"/>
        <w:ind w:firstLine="640" w:firstLineChars="200"/>
        <w:jc w:val="left"/>
        <w:textAlignment w:val="auto"/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四、规划原则</w:t>
      </w:r>
    </w:p>
    <w:p w14:paraId="15FFCEB9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  <w:t>（一）绿色低碳、节能高效</w:t>
      </w:r>
    </w:p>
    <w:p w14:paraId="08ED89E9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坚持树立“绿色、低碳、可持续发展”的发展理念，优先推动哈密华电及大南湖电厂大型热电联产机组供热改造，增加供热能力，解决热源缺口问题。注重热源、热网及热用户等一体化节能，降低城市供热的总体能耗水平。</w:t>
      </w:r>
    </w:p>
    <w:p w14:paraId="65C60BE2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  <w:t>（二）因地制宜、多措并举</w:t>
      </w:r>
    </w:p>
    <w:p w14:paraId="2F7F83FC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立足本地区的资源禀赋条件，结合哈密华电及大南湖电厂建设计划，以城区供热负荷发展为依据，利用工业余热回收、熔盐储热、空气源热泵、跨季节储热等先进供热技术，多措并举推进城市清洁热源规划建设，形成多能互补、清洁高效的城市热源供应体系。</w:t>
      </w:r>
    </w:p>
    <w:p w14:paraId="2420FBB1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  <w:t>（三）安全稳定、联网联动</w:t>
      </w:r>
    </w:p>
    <w:p w14:paraId="72A749D9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为全面提高城市集中热源供应保障能力，推进城市供热管网“一张网”建设，实现哈密华电与大南湖电厂互联互通，根据哈密华电与大南湖电厂供热系统，合理规划联通管网及附属场站，实现联网联动、供热平衡，有效提升城市供热的安全可靠性，确保城市供热安全。</w:t>
      </w:r>
    </w:p>
    <w:p w14:paraId="153FD133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楷体" w:hAnsi="楷体" w:eastAsia="楷体" w:cs="楷体"/>
          <w:i w:val="0"/>
          <w:iCs w:val="0"/>
          <w:color w:val="auto"/>
          <w:sz w:val="32"/>
          <w:szCs w:val="32"/>
          <w:highlight w:val="none"/>
          <w:lang w:val="en-US" w:eastAsia="zh-CN"/>
        </w:rPr>
        <w:t>（四）城乡统筹、区域协调</w:t>
      </w:r>
    </w:p>
    <w:p w14:paraId="5007E098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城镇区域统筹规划，城乡协调发展，供暖基础设施配套统筹布局，配套资金政策统筹兼顾，协同推进。</w:t>
      </w:r>
    </w:p>
    <w:p w14:paraId="16D079C1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40" w:lineRule="exact"/>
        <w:ind w:firstLine="640" w:firstLineChars="200"/>
        <w:jc w:val="left"/>
        <w:textAlignment w:val="auto"/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  <w:bookmarkStart w:id="11" w:name="_Toc14910"/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五、规划</w:t>
      </w:r>
      <w:r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分区</w:t>
      </w:r>
      <w:bookmarkEnd w:id="11"/>
    </w:p>
    <w:p w14:paraId="07A23C7F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中心城区内根据热源点的分布分为四个供热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分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区，即华电片区、恒信片区、大南湖片区和北部园区。</w:t>
      </w:r>
    </w:p>
    <w:p w14:paraId="24232A96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新疆生产建设兵团第十三师管辖区域内的新星市、火箭农场片区、大营房片区、红星一场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片区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及红星二场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片区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与哈密市中心城区交叉相邻。</w:t>
      </w:r>
    </w:p>
    <w:p w14:paraId="542A57AA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华电片区热源为哈密华电，恒信片区近期热源为哈密华电，中、远期热源为大南湖电厂，大南湖片区热源为大南湖电厂，北部园区热源为哈密华电。</w:t>
      </w:r>
    </w:p>
    <w:p w14:paraId="07FF16DB">
      <w:pPr>
        <w:pStyle w:val="1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line="540" w:lineRule="exact"/>
        <w:ind w:firstLine="560"/>
        <w:textAlignment w:val="auto"/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周边乡镇、现代农业园区及</w:t>
      </w:r>
      <w:r>
        <w:rPr>
          <w:rFonts w:hint="default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新疆生产建设兵团第十三师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32"/>
          <w:szCs w:val="32"/>
          <w:highlight w:val="none"/>
          <w:lang w:val="en-US" w:eastAsia="zh-CN"/>
        </w:rPr>
        <w:t>规划区域近期热源与现状热源保持一致，中、远期火箭农场片区热源调整为哈密华电，其他区域热源为大南湖电厂。</w:t>
      </w:r>
    </w:p>
    <w:p w14:paraId="7B40F7DF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40" w:lineRule="exact"/>
        <w:ind w:firstLine="640" w:firstLineChars="200"/>
        <w:jc w:val="left"/>
        <w:textAlignment w:val="auto"/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  <w:bookmarkStart w:id="12" w:name="_Toc406"/>
      <w:bookmarkStart w:id="13" w:name="_Toc17780"/>
      <w:bookmarkStart w:id="14" w:name="_Toc10675"/>
      <w:bookmarkStart w:id="15" w:name="_Toc26452"/>
      <w:bookmarkStart w:id="16" w:name="_Toc15063"/>
      <w:bookmarkStart w:id="17" w:name="_Toc20889"/>
      <w:bookmarkStart w:id="18" w:name="_Toc31726"/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六、</w:t>
      </w:r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规划热源</w:t>
      </w:r>
    </w:p>
    <w:p w14:paraId="3481DF7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楷体" w:hAnsi="楷体" w:eastAsia="楷体" w:cs="楷体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24"/>
          <w:highlight w:val="none"/>
          <w:lang w:val="en-US" w:eastAsia="zh-CN" w:bidi="ar-SA"/>
        </w:rPr>
        <w:t>（一）恒信热源厂</w:t>
      </w:r>
    </w:p>
    <w:p w14:paraId="6AE94C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恒信热源厂仅作为应急调峰热源。</w:t>
      </w:r>
    </w:p>
    <w:p w14:paraId="4800066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楷体" w:hAnsi="楷体" w:eastAsia="楷体" w:cs="楷体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24"/>
          <w:highlight w:val="none"/>
          <w:lang w:val="en-US" w:eastAsia="zh-CN" w:bidi="ar-SA"/>
        </w:rPr>
        <w:t>（二）哈</w:t>
      </w:r>
      <w:r>
        <w:rPr>
          <w:rFonts w:hint="eastAsia" w:ascii="楷体" w:hAnsi="楷体" w:eastAsia="楷体" w:cs="楷体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  <w:t>密华电</w:t>
      </w:r>
    </w:p>
    <w:p w14:paraId="5322CC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仿宋_GB2312" w:hAnsi="仿宋_GB2312" w:eastAsia="仿宋_GB2312" w:cs="仿宋_GB2312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进行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2号机组灵活性改造，</w:t>
      </w: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实施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新</w:t>
      </w: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2"/>
          <w:sz w:val="32"/>
          <w:szCs w:val="32"/>
          <w:highlight w:val="none"/>
          <w:lang w:val="en-US" w:eastAsia="zh-CN" w:bidi="ar-SA"/>
        </w:rPr>
        <w:t>建备用热源及蓄热调峰工程，改造完成后哈密华电总供热能力将大幅提升；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规划于中期以“上大压小”路径，按照新一代煤电试点示范项目申报续建一台350MW热电联产机组，该机组建成后关停三期两台135MW机组，哈密华电保持原供热能力不变。</w:t>
      </w:r>
    </w:p>
    <w:p w14:paraId="1ECA4B0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楷体" w:hAnsi="楷体" w:eastAsia="楷体" w:cs="楷体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24"/>
          <w:highlight w:val="none"/>
          <w:lang w:val="en-US" w:eastAsia="zh-CN" w:bidi="ar-SA"/>
        </w:rPr>
        <w:t>（三）大南湖电厂</w:t>
      </w:r>
    </w:p>
    <w:p w14:paraId="2D6224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实施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两台机组连通管供热增容改造，改造后全厂最大供热能力</w:t>
      </w: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将</w:t>
      </w:r>
      <w:bookmarkStart w:id="26" w:name="_GoBack"/>
      <w:bookmarkEnd w:id="26"/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大幅提升</w:t>
      </w: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；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扩建2×600MW超超临界空冷凝汽式汽轮发电机组，配置</w:t>
      </w: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两台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超超临界燃煤锅炉。扩建后可增加供热能力约750MW，增加</w:t>
      </w: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额定</w:t>
      </w:r>
      <w:r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供汽能力800t/h。</w:t>
      </w:r>
    </w:p>
    <w:p w14:paraId="476C9DB7"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40" w:lineRule="exact"/>
        <w:ind w:firstLine="640" w:firstLineChars="200"/>
        <w:jc w:val="left"/>
        <w:textAlignment w:val="auto"/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</w:pPr>
      <w:bookmarkStart w:id="19" w:name="_Toc26143"/>
      <w:bookmarkStart w:id="20" w:name="_Toc21718"/>
      <w:bookmarkStart w:id="21" w:name="_Toc9879"/>
      <w:bookmarkStart w:id="22" w:name="_Toc21512"/>
      <w:bookmarkStart w:id="23" w:name="_Toc982"/>
      <w:bookmarkStart w:id="24" w:name="_Toc14443"/>
      <w:bookmarkStart w:id="25" w:name="_Toc15118"/>
      <w:r>
        <w:rPr>
          <w:rFonts w:hint="eastAsia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七、供热管网</w:t>
      </w:r>
      <w:r>
        <w:rPr>
          <w:rFonts w:hint="default" w:hAnsi="黑体" w:cs="黑体"/>
          <w:b w:val="0"/>
          <w:bCs w:val="0"/>
          <w:caps/>
          <w:color w:val="auto"/>
          <w:sz w:val="32"/>
          <w:szCs w:val="32"/>
          <w:highlight w:val="none"/>
          <w:lang w:val="en-US" w:eastAsia="zh-CN"/>
        </w:rPr>
        <w:t>规划</w:t>
      </w:r>
      <w:bookmarkEnd w:id="19"/>
      <w:bookmarkEnd w:id="20"/>
      <w:bookmarkEnd w:id="21"/>
      <w:bookmarkEnd w:id="22"/>
      <w:bookmarkEnd w:id="23"/>
      <w:bookmarkEnd w:id="24"/>
      <w:bookmarkEnd w:id="25"/>
    </w:p>
    <w:p w14:paraId="64509F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586"/>
        <w:textAlignment w:val="auto"/>
        <w:rPr>
          <w:rFonts w:hint="eastAsia" w:ascii="Times New Roman" w:hAnsi="Times New Roman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</w:pPr>
      <w:r>
        <w:rPr>
          <w:rFonts w:hint="eastAsia" w:eastAsia="仿宋_GB2312" w:cs="Times New Roman"/>
          <w:color w:val="auto"/>
          <w:kern w:val="2"/>
          <w:sz w:val="32"/>
          <w:szCs w:val="24"/>
          <w:highlight w:val="none"/>
          <w:lang w:val="en-US" w:eastAsia="zh-CN" w:bidi="ar-SA"/>
        </w:rPr>
        <w:t>根据城市热负荷分布和城市总体规划布局，以及城区近、中、远期负荷需要，以城市远期最大用热负荷为依据设计城市供热管网。</w:t>
      </w:r>
    </w:p>
    <w:sectPr>
      <w:pgSz w:w="11906" w:h="16838"/>
      <w:pgMar w:top="1701" w:right="1531" w:bottom="1701" w:left="1531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560"/>
      </w:pPr>
      <w:r>
        <w:separator/>
      </w:r>
    </w:p>
  </w:footnote>
  <w:footnote w:type="continuationSeparator" w:id="1">
    <w:p>
      <w:pPr>
        <w:spacing w:line="360" w:lineRule="auto"/>
        <w:ind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0A64FEB"/>
    <w:multiLevelType w:val="multilevel"/>
    <w:tmpl w:val="70A64FEB"/>
    <w:lvl w:ilvl="0" w:tentative="0">
      <w:start w:val="1"/>
      <w:numFmt w:val="chineseCountingThousand"/>
      <w:pStyle w:val="3"/>
      <w:lvlText w:val="第%1章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CB16EAB"/>
    <w:multiLevelType w:val="multilevel"/>
    <w:tmpl w:val="7CB16EAB"/>
    <w:lvl w:ilvl="0" w:tentative="0">
      <w:start w:val="1"/>
      <w:numFmt w:val="decimal"/>
      <w:pStyle w:val="4"/>
      <w:lvlText w:val="第%1条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decimal"/>
      <w:lvlText w:val="（%3）"/>
      <w:lvlJc w:val="left"/>
      <w:pPr>
        <w:ind w:left="2280" w:hanging="144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5C3876"/>
    <w:rsid w:val="003D40F3"/>
    <w:rsid w:val="0317472D"/>
    <w:rsid w:val="07666493"/>
    <w:rsid w:val="07C3422A"/>
    <w:rsid w:val="10D5633E"/>
    <w:rsid w:val="13BB0F5B"/>
    <w:rsid w:val="16130FAC"/>
    <w:rsid w:val="21323602"/>
    <w:rsid w:val="273C3F2D"/>
    <w:rsid w:val="2BDA4BD6"/>
    <w:rsid w:val="325C3876"/>
    <w:rsid w:val="32C103D2"/>
    <w:rsid w:val="59EF1FF3"/>
    <w:rsid w:val="67F71D31"/>
    <w:rsid w:val="7C65011A"/>
    <w:rsid w:val="7D57C941"/>
    <w:rsid w:val="7DA22BE0"/>
    <w:rsid w:val="BA77D384"/>
    <w:rsid w:val="BB71E5D0"/>
    <w:rsid w:val="BD8F4A62"/>
    <w:rsid w:val="BDD99BE2"/>
    <w:rsid w:val="D5FE578F"/>
    <w:rsid w:val="D5FFFED5"/>
    <w:rsid w:val="D7FF3F33"/>
    <w:rsid w:val="DFFF3C98"/>
    <w:rsid w:val="F2EEE29F"/>
    <w:rsid w:val="FFFD9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100" w:beforeLines="100" w:after="50" w:afterLines="50"/>
      <w:ind w:firstLineChars="0"/>
      <w:jc w:val="center"/>
      <w:outlineLvl w:val="0"/>
    </w:pPr>
    <w:rPr>
      <w:rFonts w:ascii="黑体" w:eastAsia="黑体"/>
      <w:bCs/>
      <w:kern w:val="44"/>
      <w:sz w:val="30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numPr>
        <w:ilvl w:val="0"/>
        <w:numId w:val="2"/>
      </w:numPr>
      <w:spacing w:before="100" w:beforeLines="100" w:after="50" w:afterLines="50"/>
      <w:ind w:firstLineChars="0"/>
      <w:jc w:val="left"/>
      <w:outlineLvl w:val="1"/>
    </w:pPr>
    <w:rPr>
      <w:rFonts w:ascii="黑体" w:hAnsi="Arial" w:eastAsia="黑体"/>
      <w:b/>
      <w:bCs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8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99"/>
    <w:rPr>
      <w:rFonts w:ascii="宋体" w:hAnsi="Courier New"/>
      <w:sz w:val="21"/>
      <w:szCs w:val="21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10">
    <w:name w:val="000 Char"/>
    <w:basedOn w:val="1"/>
    <w:qFormat/>
    <w:uiPriority w:val="0"/>
    <w:pPr>
      <w:spacing w:before="156" w:line="320" w:lineRule="exact"/>
      <w:ind w:firstLine="420" w:firstLineChars="200"/>
    </w:pPr>
    <w:rPr>
      <w:rFonts w:ascii="宋体" w:hAnsi="宋体" w:cs="宋体"/>
      <w:szCs w:val="20"/>
    </w:rPr>
  </w:style>
  <w:style w:type="paragraph" w:customStyle="1" w:styleId="11">
    <w:name w:val="1"/>
    <w:basedOn w:val="1"/>
    <w:next w:val="6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cedd6616-4e6b-4974-9eb5-4e7ca8a6a0ab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18EC3173</paraID>
      <start xmlns="http://schemas.wps.cn/vas-ai-hub/contract-review">19</start>
      <end xmlns="http://schemas.wps.cn/vas-ai-hub/contract-review">20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2b9dce23-2bb6-4e9b-8176-a767460f9d73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42EE773A</paraID>
      <start xmlns="http://schemas.wps.cn/vas-ai-hub/contract-review">19</start>
      <end xmlns="http://schemas.wps.cn/vas-ai-hub/contract-review">20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35e6e462-747d-4f14-b18b-5c81b1b4beab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42EE773A</paraID>
      <start xmlns="http://schemas.wps.cn/vas-ai-hub/contract-review">73</start>
      <end xmlns="http://schemas.wps.cn/vas-ai-hub/contract-review">74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d4c28787-bd82-47b8-beed-77b468f15a4c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42EE773A</paraID>
      <start xmlns="http://schemas.wps.cn/vas-ai-hub/contract-review">86</start>
      <end xmlns="http://schemas.wps.cn/vas-ai-hub/contract-review">87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a4922466-9ad0-452f-91c7-cbf3d3bbb311</errorID>
      <errorWord xmlns="http://schemas.wps.cn/vas-ai-hub/contract-review">-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—</item>
      </candidateList>
      <explain xmlns="http://schemas.wps.cn/vas-ai-hub/contract-review"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 xmlns="http://schemas.wps.cn/vas-ai-hub/contract-review">42EE773A</paraID>
      <start xmlns="http://schemas.wps.cn/vas-ai-hub/contract-review">99</start>
      <end xmlns="http://schemas.wps.cn/vas-ai-hub/contract-review">100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ce81e464-96c8-4789-8fa2-2efbf3a39420</errorID>
      <errorWord xmlns="http://schemas.wps.cn/vas-ai-hub/contract-review">1、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1.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15FFCEB9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1.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711f6f21-561d-4d79-a42f-914298a97529</errorID>
      <errorWord xmlns="http://schemas.wps.cn/vas-ai-hub/contract-review">2、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2.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65C60BE2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2.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dc59eeee-25d5-4029-80d0-081deb1c70df</errorID>
      <errorWord xmlns="http://schemas.wps.cn/vas-ai-hub/contract-review">3、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3.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2420FBB1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3.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7b08363a-2c1e-491c-a931-91820c32751c</errorID>
      <errorWord xmlns="http://schemas.wps.cn/vas-ai-hub/contract-review">4、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4.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153FD133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4.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ab6afc01-5ed2-49c2-a1c5-7f96edc76f24</errorID>
      <errorWord xmlns="http://schemas.wps.cn/vas-ai-hub/contract-review">1、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1.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6C3BC263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1.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dcf53d8d-dad8-4dfa-8796-7be9b1a8ee7d</errorID>
      <errorWord xmlns="http://schemas.wps.cn/vas-ai-hub/contract-review">、</errorWord>
      <group xmlns="http://schemas.wps.cn/vas-ai-hub/contract-review">L1_Punc</group>
      <groupName xmlns="http://schemas.wps.cn/vas-ai-hub/contract-review">标点问题</groupName>
      <ability xmlns="http://schemas.wps.cn/vas-ai-hub/contract-review">L2_Punc</ability>
      <abilityName xmlns="http://schemas.wps.cn/vas-ai-hub/contract-review">标点符号检查</abilityName>
      <candidateList xmlns="http://schemas.wps.cn/vas-ai-hub/contract-review">
        <item xmlns="http://schemas.wps.cn/vas-ai-hub/contract-review">，</item>
      </candidateList>
      <explain xmlns="http://schemas.wps.cn/vas-ai-hub/contract-review"/>
      <paraID xmlns="http://schemas.wps.cn/vas-ai-hub/contract-review">5322CC3D</paraID>
      <start xmlns="http://schemas.wps.cn/vas-ai-hub/contract-review">19</start>
      <end xmlns="http://schemas.wps.cn/vas-ai-hub/contract-review">20</end>
      <status xmlns="http://schemas.wps.cn/vas-ai-hub/contract-review">modified</status>
      <modifiedWord xmlns="http://schemas.wps.cn/vas-ai-hub/contract-review">，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dc66085a-5e01-4f74-8174-e5032ad1daa3</errorID>
      <errorWord xmlns="http://schemas.wps.cn/vas-ai-hub/contract-review">2、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2.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34398578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2.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968b2f8c-d13f-48dd-810d-e2a4f58beddb</errorID>
      <errorWord xmlns="http://schemas.wps.cn/vas-ai-hub/contract-review">电厂完成</errorWord>
      <group xmlns="http://schemas.wps.cn/vas-ai-hub/contract-review">L1_Grammar</group>
      <groupName xmlns="http://schemas.wps.cn/vas-ai-hub/contract-review">语法问题</groupName>
      <ability xmlns="http://schemas.wps.cn/vas-ai-hub/contract-review">L2_Grammar</ability>
      <abilityName xmlns="http://schemas.wps.cn/vas-ai-hub/contract-review">语法错误</abilityName>
      <candidateList xmlns="http://schemas.wps.cn/vas-ai-hub/contract-review">
        <item xmlns="http://schemas.wps.cn/vas-ai-hub/contract-review">电厂</item>
      </candidateList>
      <explain xmlns="http://schemas.wps.cn/vas-ai-hub/contract-review"/>
      <paraID xmlns="http://schemas.wps.cn/vas-ai-hub/contract-review">24C87B1E</paraID>
      <start xmlns="http://schemas.wps.cn/vas-ai-hub/contract-review">3</start>
      <end xmlns="http://schemas.wps.cn/vas-ai-hub/contract-review">5</end>
      <status xmlns="http://schemas.wps.cn/vas-ai-hub/contract-review">modified</status>
      <modifiedWord xmlns="http://schemas.wps.cn/vas-ai-hub/contract-review">电厂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8bc4d5cb-e23b-4ead-9430-eb92a91fca01</errorID>
      <errorWord xmlns="http://schemas.wps.cn/vas-ai-hub/contract-review">3、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3.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7CB65C13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3.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4947650b-4c3d-4c62-940b-78bcbb60d254</errorID>
      <errorWord xmlns="http://schemas.wps.cn/vas-ai-hub/contract-review">1、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1.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 80D24D3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1.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407986f6-732e-4be0-b436-836ab68a245a</errorID>
      <errorWord xmlns="http://schemas.wps.cn/vas-ai-hub/contract-review">2、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2.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715489F1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2.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e00073e9-184c-4508-8d00-6480ac2adde5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</ability>
      <abilityName xmlns="http://schemas.wps.cn/vas-ai-hub/contract-review">全半角检查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59AD06FE</paraID>
      <start xmlns="http://schemas.wps.cn/vas-ai-hub/contract-review">29</start>
      <end xmlns="http://schemas.wps.cn/vas-ai-hub/contract-review">30</end>
      <status xmlns="http://schemas.wps.cn/vas-ai-hub/contract-review">modified</status>
      <modifiedWord xmlns="http://schemas.wps.cn/vas-ai-hub/contract-review">－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6348c5a4-d2b7-45b6-aa01-8e35e0899bbb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</ability>
      <abilityName xmlns="http://schemas.wps.cn/vas-ai-hub/contract-review">全半角检查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7D437FBA</paraID>
      <start xmlns="http://schemas.wps.cn/vas-ai-hub/contract-review">85</start>
      <end xmlns="http://schemas.wps.cn/vas-ai-hub/contract-review">86</end>
      <status xmlns="http://schemas.wps.cn/vas-ai-hub/contract-review">modified</status>
      <modifiedWord xmlns="http://schemas.wps.cn/vas-ai-hub/contract-review">－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5be03228-d95b-49be-b556-a0f926a7079f</errorID>
      <errorWord xmlns="http://schemas.wps.cn/vas-ai-hub/contract-review">-</errorWord>
      <group xmlns="http://schemas.wps.cn/vas-ai-hub/contract-review">L1_Format</group>
      <groupName xmlns="http://schemas.wps.cn/vas-ai-hub/contract-review">格式问题</groupName>
      <ability xmlns="http://schemas.wps.cn/vas-ai-hub/contract-review">L2_HalfPunc</ability>
      <abilityName xmlns="http://schemas.wps.cn/vas-ai-hub/contract-review">全半角检查</abilityName>
      <candidateList xmlns="http://schemas.wps.cn/vas-ai-hub/contract-review">
        <item xmlns="http://schemas.wps.cn/vas-ai-hub/contract-review">－</item>
      </candidateList>
      <explain xmlns="http://schemas.wps.cn/vas-ai-hub/contract-review">文本全半角错误。</explain>
      <paraID xmlns="http://schemas.wps.cn/vas-ai-hub/contract-review">7D437FBA</paraID>
      <start xmlns="http://schemas.wps.cn/vas-ai-hub/contract-review">88</start>
      <end xmlns="http://schemas.wps.cn/vas-ai-hub/contract-review">89</end>
      <status xmlns="http://schemas.wps.cn/vas-ai-hub/contract-review">modified</status>
      <modifiedWord xmlns="http://schemas.wps.cn/vas-ai-hub/contract-review">－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bf217474-50f9-4198-b5d0-85a02af20dd3</errorID>
      <errorWord xmlns="http://schemas.wps.cn/vas-ai-hub/contract-review">城区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了城区</item>
      </candidateList>
      <explain xmlns="http://schemas.wps.cn/vas-ai-hub/contract-review"/>
      <paraID xmlns="http://schemas.wps.cn/vas-ai-hub/contract-review">7D437FBA</paraID>
      <start xmlns="http://schemas.wps.cn/vas-ai-hub/contract-review">101</start>
      <end xmlns="http://schemas.wps.cn/vas-ai-hub/contract-review">103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12f4920e-b299-48e9-b3ca-b7c26c1dc13b</errorID>
      <errorWord xmlns="http://schemas.wps.cn/vas-ai-hub/contract-review">3、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3.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500B9370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3.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7138f169-382a-4b67-9395-d7f66663c9b2</errorID>
      <errorWord xmlns="http://schemas.wps.cn/vas-ai-hub/contract-review">4、</errorWord>
      <group xmlns="http://schemas.wps.cn/vas-ai-hub/contract-review">L1_Format</group>
      <groupName xmlns="http://schemas.wps.cn/vas-ai-hub/contract-review">格式问题</groupName>
      <ability xmlns="http://schemas.wps.cn/vas-ai-hub/contract-review">L2_Ordinal</ability>
      <abilityName xmlns="http://schemas.wps.cn/vas-ai-hub/contract-review">序号格式</abilityName>
      <candidateList xmlns="http://schemas.wps.cn/vas-ai-hub/contract-review">
        <item xmlns="http://schemas.wps.cn/vas-ai-hub/contract-review">4.</item>
      </candidateList>
      <explain xmlns="http://schemas.wps.cn/vas-ai-hub/contract-review"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 xmlns="http://schemas.wps.cn/vas-ai-hub/contract-review">6F9E23F4</paraID>
      <start xmlns="http://schemas.wps.cn/vas-ai-hub/contract-review">0</start>
      <end xmlns="http://schemas.wps.cn/vas-ai-hub/contract-review">2</end>
      <status xmlns="http://schemas.wps.cn/vas-ai-hub/contract-review">modified</status>
      <modifiedWord xmlns="http://schemas.wps.cn/vas-ai-hub/contract-review">4.</modifiedWord>
      <trackRevisions xmlns="http://schemas.wps.cn/vas-ai-hub/contract-review">false</trackRevisions>
    </reviewItem>
    <reviewItem xmlns="http://schemas.wps.cn/vas-ai-hub/contract-review">
      <errorID xmlns="http://schemas.wps.cn/vas-ai-hub/contract-review">784334e8-403a-436f-8433-72ef3896c2eb</errorID>
      <errorWord xmlns="http://schemas.wps.cn/vas-ai-hub/contract-review">开设</errorWord>
      <group xmlns="http://schemas.wps.cn/vas-ai-hub/contract-review">L1_Word</group>
      <groupName xmlns="http://schemas.wps.cn/vas-ai-hub/contract-review">字词问题</groupName>
      <ability xmlns="http://schemas.wps.cn/vas-ai-hub/contract-review">L2_Typo</ability>
      <abilityName xmlns="http://schemas.wps.cn/vas-ai-hub/contract-review">字词错误</abilityName>
      <candidateList xmlns="http://schemas.wps.cn/vas-ai-hub/contract-review">
        <item xmlns="http://schemas.wps.cn/vas-ai-hub/contract-review">设置</item>
      </candidateList>
      <explain xmlns="http://schemas.wps.cn/vas-ai-hub/contract-review"/>
      <paraID xmlns="http://schemas.wps.cn/vas-ai-hub/contract-review">3C53B136</paraID>
      <start xmlns="http://schemas.wps.cn/vas-ai-hub/contract-review">13</start>
      <end xmlns="http://schemas.wps.cn/vas-ai-hub/contract-review">15</end>
      <status xmlns="http://schemas.wps.cn/vas-ai-hub/contract-review">modified</status>
      <modifiedWord xmlns="http://schemas.wps.cn/vas-ai-hub/contract-review">设置</modifiedWord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6ac35738-49db-4fba-94e8-3119392287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2854</Words>
  <Characters>3152</Characters>
  <Lines>0</Lines>
  <Paragraphs>0</Paragraphs>
  <TotalTime>88</TotalTime>
  <ScaleCrop>false</ScaleCrop>
  <LinksUpToDate>false</LinksUpToDate>
  <CharactersWithSpaces>3153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2026-06-08T18:05:00Z</dcterms:created>
  <dc:creator>晓风残月</dc:creator>
  <cp:lastModifiedBy>greatwall</cp:lastModifiedBy>
  <cp:lastPrinted>2026-06-27T03:56:00Z</cp:lastPrinted>
  <dcterms:modified xsi:type="dcterms:W3CDTF">2026-06-29T09:37:10Z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918DBFD90DB8BE5A24693E6A6F1DDD00_43</vt:lpwstr>
  </property>
  <property fmtid="{D5CDD505-2E9C-101B-9397-08002B2CF9AE}" pid="4" name="KSOTemplateDocerSaveRecord">
    <vt:lpwstr>eyJoZGlkIjoiZTg2OTgxZTQ5MzQ4ZDIyZWI5MzFlMWQ5ZjE3NzZkY2UiLCJ1c2VySWQiOiIyNDAyNTkxMzEifQ==</vt:lpwstr>
  </property>
</Properties>
</file>