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附件 3.哈密市伊州区城镇基准地价修正体系</w:t>
      </w: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104  Ⅰ级商服用地基准地价修正系数表（%）</w:t>
      </w:r>
    </w:p>
    <w:tbl>
      <w:tblPr>
        <w:tblStyle w:val="5"/>
        <w:tblW w:w="8884" w:type="dxa"/>
        <w:tblInd w:w="-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833"/>
        <w:gridCol w:w="1696"/>
        <w:gridCol w:w="690"/>
        <w:gridCol w:w="679"/>
        <w:gridCol w:w="816"/>
        <w:gridCol w:w="637"/>
        <w:gridCol w:w="892"/>
        <w:gridCol w:w="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35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21.54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10.77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-11.36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-22.71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6.89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3.44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7.27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对外站点距离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公交便捷度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公交线路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规划状况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人口状况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人口密度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宽深比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1.36</w:t>
            </w:r>
          </w:p>
        </w:tc>
      </w:tr>
    </w:tbl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pStyle w:val="7"/>
        <w:snapToGrid w:val="0"/>
        <w:spacing w:after="0" w:line="360" w:lineRule="auto"/>
        <w:ind w:firstLine="480" w:firstLineChars="200"/>
        <w:rPr>
          <w:rFonts w:hint="eastAsia" w:eastAsia="宋体" w:cs="宋体"/>
          <w:color w:val="auto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表105  </w:t>
      </w:r>
      <w:r>
        <w:rPr>
          <w:rFonts w:hint="eastAsia" w:ascii="宋体" w:hAnsi="宋体" w:eastAsia="宋体" w:cs="宋体"/>
          <w:b/>
          <w:color w:val="auto"/>
          <w:sz w:val="24"/>
        </w:rPr>
        <w:t>Ⅱ级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商服用地基准地价修正系数表（%）</w:t>
      </w:r>
    </w:p>
    <w:tbl>
      <w:tblPr>
        <w:tblStyle w:val="5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782"/>
        <w:gridCol w:w="1440"/>
        <w:gridCol w:w="740"/>
        <w:gridCol w:w="728"/>
        <w:gridCol w:w="728"/>
        <w:gridCol w:w="687"/>
        <w:gridCol w:w="823"/>
        <w:gridCol w:w="8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32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20.62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10.32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-11.7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-23.38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6.59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3.74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7.49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对外站点距离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公交便捷度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公交线路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2.06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规划状况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人口密度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1.65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宽深比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</w:t>
            </w:r>
          </w:p>
        </w:tc>
      </w:tr>
    </w:tbl>
    <w:p>
      <w:pPr>
        <w:pStyle w:val="7"/>
        <w:snapToGrid w:val="0"/>
        <w:spacing w:after="0" w:line="360" w:lineRule="auto"/>
        <w:ind w:firstLine="482" w:firstLineChars="200"/>
        <w:jc w:val="center"/>
        <w:rPr>
          <w:rFonts w:hint="eastAsia" w:eastAsia="宋体" w:cs="宋体"/>
          <w:b/>
          <w:bCs/>
          <w:color w:val="auto"/>
          <w:sz w:val="24"/>
        </w:rPr>
      </w:pPr>
      <w:r>
        <w:rPr>
          <w:rFonts w:hint="eastAsia" w:eastAsia="宋体" w:cs="宋体"/>
          <w:b/>
          <w:bCs/>
          <w:color w:val="auto"/>
          <w:sz w:val="24"/>
        </w:rPr>
        <w:t xml:space="preserve">表106  </w:t>
      </w:r>
      <w:r>
        <w:rPr>
          <w:rFonts w:hint="eastAsia" w:ascii="宋体" w:hAnsi="宋体" w:eastAsia="宋体" w:cs="宋体"/>
          <w:b/>
          <w:color w:val="auto"/>
          <w:sz w:val="24"/>
        </w:rPr>
        <w:t>Ⅲ</w:t>
      </w:r>
      <w:r>
        <w:rPr>
          <w:rFonts w:hint="eastAsia" w:eastAsia="宋体" w:cs="宋体"/>
          <w:b/>
          <w:color w:val="auto"/>
          <w:sz w:val="24"/>
        </w:rPr>
        <w:t>级</w:t>
      </w:r>
      <w:r>
        <w:rPr>
          <w:rFonts w:hint="eastAsia" w:eastAsia="宋体" w:cs="宋体"/>
          <w:b/>
          <w:bCs/>
          <w:color w:val="auto"/>
          <w:sz w:val="24"/>
        </w:rPr>
        <w:t>商服用地基准地价修正系数表（%）</w:t>
      </w:r>
    </w:p>
    <w:tbl>
      <w:tblPr>
        <w:tblStyle w:val="5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658"/>
        <w:gridCol w:w="1231"/>
        <w:gridCol w:w="789"/>
        <w:gridCol w:w="702"/>
        <w:gridCol w:w="843"/>
        <w:gridCol w:w="661"/>
        <w:gridCol w:w="792"/>
        <w:gridCol w:w="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28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-9.62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2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6.88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3.44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3.07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6.14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对外站点距离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公交便捷度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公交线路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2.15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水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规划状况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人口状况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人口密度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2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宽深比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1.15</w:t>
            </w:r>
          </w:p>
        </w:tc>
      </w:tr>
    </w:tbl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</w:rPr>
      </w:pPr>
      <w:r>
        <w:rPr>
          <w:rFonts w:hint="eastAsia" w:eastAsia="宋体" w:cs="宋体"/>
          <w:b/>
          <w:bCs/>
          <w:color w:val="auto"/>
          <w:sz w:val="24"/>
        </w:rPr>
        <w:t>表107  Ⅳ</w:t>
      </w:r>
      <w:r>
        <w:rPr>
          <w:rFonts w:hint="eastAsia" w:eastAsia="宋体" w:cs="宋体"/>
          <w:b/>
          <w:color w:val="auto"/>
          <w:sz w:val="24"/>
        </w:rPr>
        <w:t>级</w:t>
      </w:r>
      <w:r>
        <w:rPr>
          <w:rFonts w:hint="eastAsia" w:eastAsia="宋体" w:cs="宋体"/>
          <w:b/>
          <w:bCs/>
          <w:color w:val="auto"/>
          <w:sz w:val="24"/>
        </w:rPr>
        <w:t>商服用地基准地价修正系数表（%）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655"/>
        <w:gridCol w:w="1039"/>
        <w:gridCol w:w="978"/>
        <w:gridCol w:w="704"/>
        <w:gridCol w:w="704"/>
        <w:gridCol w:w="706"/>
        <w:gridCol w:w="845"/>
        <w:gridCol w:w="8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2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-9.35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5.73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2.86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2.99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对外站点距离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公交便捷度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公交线路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规划状况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人口状况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人口密度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宽深比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</w:tr>
    </w:tbl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  <w:r>
        <w:rPr>
          <w:rFonts w:hint="eastAsia" w:eastAsia="宋体" w:cs="宋体"/>
          <w:b/>
          <w:bCs/>
          <w:color w:val="auto"/>
          <w:sz w:val="24"/>
        </w:rPr>
        <w:t>表108  Ⅴ级商服用地基准地价修正系数表（%）</w:t>
      </w:r>
    </w:p>
    <w:tbl>
      <w:tblPr>
        <w:tblStyle w:val="5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809"/>
        <w:gridCol w:w="1474"/>
        <w:gridCol w:w="763"/>
        <w:gridCol w:w="729"/>
        <w:gridCol w:w="729"/>
        <w:gridCol w:w="687"/>
        <w:gridCol w:w="823"/>
        <w:gridCol w:w="8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32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-8.77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6.18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3.09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对外站点距离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公交便捷度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公交线路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1.93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规划状况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人口状况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人口密度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宽深比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1.05</w:t>
            </w:r>
          </w:p>
        </w:tc>
      </w:tr>
    </w:tbl>
    <w:p>
      <w:pPr>
        <w:spacing w:before="120" w:beforeLines="50"/>
        <w:ind w:right="482"/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表109  Ⅰ级住宅用地基准地价修正系数表（%）</w:t>
      </w:r>
    </w:p>
    <w:tbl>
      <w:tblPr>
        <w:tblStyle w:val="5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4"/>
        <w:gridCol w:w="746"/>
        <w:gridCol w:w="1368"/>
        <w:gridCol w:w="797"/>
        <w:gridCol w:w="678"/>
        <w:gridCol w:w="678"/>
        <w:gridCol w:w="678"/>
        <w:gridCol w:w="791"/>
        <w:gridCol w:w="7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34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6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4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4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-10.93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-21.78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3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6.27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3.14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3.05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6.1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距对外站点距离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公交便捷度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公交线路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2.24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基本设施状况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规划状况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环境条件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绿地覆盖度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人口状况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人口密度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3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宗地面积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</w:tr>
    </w:tbl>
    <w:p>
      <w:pPr>
        <w:spacing w:before="120" w:beforeLines="50"/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表110  </w:t>
      </w:r>
      <w:r>
        <w:rPr>
          <w:rFonts w:hint="eastAsia" w:ascii="宋体" w:hAnsi="宋体" w:eastAsia="宋体" w:cs="宋体"/>
          <w:b/>
          <w:color w:val="auto"/>
          <w:sz w:val="24"/>
        </w:rPr>
        <w:t>Ⅱ级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住宅用地基准地价修正系数表 （%）</w:t>
      </w:r>
    </w:p>
    <w:tbl>
      <w:tblPr>
        <w:tblStyle w:val="5"/>
        <w:tblW w:w="8857" w:type="dxa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27"/>
        <w:gridCol w:w="958"/>
        <w:gridCol w:w="1391"/>
        <w:gridCol w:w="796"/>
        <w:gridCol w:w="679"/>
        <w:gridCol w:w="790"/>
        <w:gridCol w:w="644"/>
        <w:gridCol w:w="752"/>
        <w:gridCol w:w="7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36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6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6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6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6.64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3.32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2.45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距对外站点距离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公交便捷度</w:t>
            </w: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公交线路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2.37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基本设施状况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规划状况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环境条件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绿地覆盖度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人口状况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人口密度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宗地面积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</w:tr>
    </w:tbl>
    <w:p>
      <w:pPr>
        <w:spacing w:before="120" w:beforeLines="50"/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表111  </w:t>
      </w:r>
      <w:r>
        <w:rPr>
          <w:rFonts w:hint="eastAsia" w:ascii="宋体" w:hAnsi="宋体" w:eastAsia="宋体" w:cs="宋体"/>
          <w:b/>
          <w:color w:val="auto"/>
          <w:sz w:val="24"/>
        </w:rPr>
        <w:t>Ⅲ级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住宅用地基准地价修正系数表 （%）</w:t>
      </w:r>
    </w:p>
    <w:tbl>
      <w:tblPr>
        <w:tblStyle w:val="5"/>
        <w:tblW w:w="9018" w:type="dxa"/>
        <w:tblInd w:w="-5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548"/>
        <w:gridCol w:w="1070"/>
        <w:gridCol w:w="1145"/>
        <w:gridCol w:w="721"/>
        <w:gridCol w:w="677"/>
        <w:gridCol w:w="677"/>
        <w:gridCol w:w="677"/>
        <w:gridCol w:w="790"/>
        <w:gridCol w:w="8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37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6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7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7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3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5.52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2.76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距对外站点距离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公交便捷度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公交线路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道路通达度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临街道路状况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1.97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基本设施状况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基础设施完善度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供水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排水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供暖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供气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规划状况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环境条件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绿地覆盖度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人口状况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人口密度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1.58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个别因素</w:t>
            </w:r>
          </w:p>
        </w:tc>
        <w:tc>
          <w:tcPr>
            <w:tcW w:w="3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临街形式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宗地面积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宗地形状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</w:tr>
    </w:tbl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center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jc w:val="both"/>
        <w:rPr>
          <w:rFonts w:hint="eastAsia" w:eastAsia="宋体" w:cs="宋体"/>
          <w:b/>
          <w:bCs/>
          <w:color w:val="auto"/>
          <w:sz w:val="24"/>
          <w:highlight w:val="none"/>
        </w:rPr>
      </w:pPr>
      <w:r>
        <w:rPr>
          <w:rFonts w:hint="eastAsia" w:eastAsia="宋体" w:cs="宋体"/>
          <w:b/>
          <w:bCs/>
          <w:color w:val="auto"/>
          <w:sz w:val="24"/>
          <w:highlight w:val="none"/>
        </w:rPr>
        <w:t>表112  Ⅳ</w:t>
      </w:r>
      <w:r>
        <w:rPr>
          <w:rFonts w:hint="eastAsia" w:eastAsia="宋体" w:cs="宋体"/>
          <w:b/>
          <w:color w:val="auto"/>
          <w:sz w:val="24"/>
          <w:highlight w:val="none"/>
        </w:rPr>
        <w:t>级</w:t>
      </w:r>
      <w:r>
        <w:rPr>
          <w:rFonts w:hint="eastAsia" w:eastAsia="宋体" w:cs="宋体"/>
          <w:b/>
          <w:bCs/>
          <w:color w:val="auto"/>
          <w:sz w:val="24"/>
          <w:highlight w:val="none"/>
        </w:rPr>
        <w:t>住宅用地基准地价修正系数表（%）</w:t>
      </w:r>
    </w:p>
    <w:tbl>
      <w:tblPr>
        <w:tblStyle w:val="5"/>
        <w:tblW w:w="9153" w:type="dxa"/>
        <w:tblInd w:w="-6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89"/>
        <w:gridCol w:w="1255"/>
        <w:gridCol w:w="1242"/>
        <w:gridCol w:w="708"/>
        <w:gridCol w:w="699"/>
        <w:gridCol w:w="699"/>
        <w:gridCol w:w="665"/>
        <w:gridCol w:w="772"/>
        <w:gridCol w:w="7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因素</w:t>
            </w:r>
          </w:p>
        </w:tc>
        <w:tc>
          <w:tcPr>
            <w:tcW w:w="40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因子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权重值</w:t>
            </w:r>
          </w:p>
        </w:tc>
        <w:tc>
          <w:tcPr>
            <w:tcW w:w="3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0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较优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一般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较劣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0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-8.99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区域因素</w:t>
            </w: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商服繁华影响度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0.28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5.66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2.51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5.01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对外交通便利度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距对外站点距离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1.21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公交便捷度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公交线路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1.21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道路通达度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临街道路状况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2.02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基本设施状况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基础设施完善度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排水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供气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规划状况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环境条件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绿地覆盖度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人口状况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人口密度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1.62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个别因素</w:t>
            </w: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临街形式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宗地面积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0.72</w:t>
            </w:r>
          </w:p>
        </w:tc>
      </w:tr>
    </w:tbl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  <w:r>
        <w:rPr>
          <w:rFonts w:hint="eastAsia" w:eastAsia="宋体" w:cs="宋体"/>
          <w:b/>
          <w:bCs/>
          <w:color w:val="auto"/>
          <w:sz w:val="24"/>
        </w:rPr>
        <w:t>表113  Ⅴ级住宅用地基准地价修正系数表（%）</w:t>
      </w:r>
    </w:p>
    <w:tbl>
      <w:tblPr>
        <w:tblStyle w:val="5"/>
        <w:tblW w:w="9040" w:type="dxa"/>
        <w:tblInd w:w="-5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00"/>
        <w:gridCol w:w="1192"/>
        <w:gridCol w:w="1107"/>
        <w:gridCol w:w="832"/>
        <w:gridCol w:w="699"/>
        <w:gridCol w:w="699"/>
        <w:gridCol w:w="664"/>
        <w:gridCol w:w="774"/>
        <w:gridCol w:w="7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37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18.51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-7.68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3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5.18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2.59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距对外站点距离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公交便捷度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公交线路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基本设施状况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规划状况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环境条件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绿地覆盖度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人口状况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人口密度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379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宗地面积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79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0.61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表114  Ⅰ级工业用地基准地价修正系数表（%）</w:t>
      </w:r>
    </w:p>
    <w:tbl>
      <w:tblPr>
        <w:tblStyle w:val="5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20"/>
        <w:gridCol w:w="1148"/>
        <w:gridCol w:w="971"/>
        <w:gridCol w:w="1225"/>
        <w:gridCol w:w="666"/>
        <w:gridCol w:w="650"/>
        <w:gridCol w:w="650"/>
        <w:gridCol w:w="764"/>
        <w:gridCol w:w="7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27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-8.19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4.38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2.19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1.96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1.64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产业集聚影响度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2.91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1.31</w:t>
            </w:r>
          </w:p>
        </w:tc>
      </w:tr>
    </w:tbl>
    <w:p>
      <w:pPr>
        <w:pStyle w:val="7"/>
        <w:snapToGrid w:val="0"/>
        <w:spacing w:after="0" w:line="360" w:lineRule="auto"/>
        <w:ind w:firstLine="482" w:firstLineChars="2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482" w:firstLineChars="200"/>
        <w:rPr>
          <w:rFonts w:hint="eastAsia" w:eastAsia="宋体" w:cs="宋体"/>
          <w:b/>
          <w:bCs/>
          <w:color w:val="auto"/>
          <w:sz w:val="24"/>
        </w:rPr>
      </w:pPr>
    </w:p>
    <w:p>
      <w:pPr>
        <w:spacing w:before="120" w:beforeLines="50"/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表115  </w:t>
      </w:r>
      <w:r>
        <w:rPr>
          <w:rFonts w:hint="eastAsia" w:ascii="宋体" w:hAnsi="宋体" w:eastAsia="宋体" w:cs="宋体"/>
          <w:b/>
          <w:color w:val="auto"/>
          <w:sz w:val="24"/>
        </w:rPr>
        <w:t>Ⅱ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级工业用地基准地价修正系数表（%）</w:t>
      </w:r>
    </w:p>
    <w:tbl>
      <w:tblPr>
        <w:tblStyle w:val="5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16"/>
        <w:gridCol w:w="1144"/>
        <w:gridCol w:w="967"/>
        <w:gridCol w:w="1221"/>
        <w:gridCol w:w="666"/>
        <w:gridCol w:w="666"/>
        <w:gridCol w:w="650"/>
        <w:gridCol w:w="764"/>
        <w:gridCol w:w="7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2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-9.29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2.51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2.22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2.08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产业集聚影响度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1.66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1.49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表116  </w:t>
      </w:r>
      <w:r>
        <w:rPr>
          <w:rFonts w:hint="eastAsia" w:ascii="宋体" w:hAnsi="宋体" w:eastAsia="宋体" w:cs="宋体"/>
          <w:b/>
          <w:color w:val="auto"/>
          <w:sz w:val="24"/>
        </w:rPr>
        <w:fldChar w:fldCharType="begin"/>
      </w:r>
      <w:r>
        <w:rPr>
          <w:rFonts w:hint="eastAsia" w:ascii="宋体" w:hAnsi="宋体" w:eastAsia="宋体" w:cs="宋体"/>
          <w:b/>
          <w:color w:val="auto"/>
          <w:sz w:val="24"/>
        </w:rPr>
        <w:instrText xml:space="preserve">= 3 \* ROMAN</w:instrText>
      </w:r>
      <w:r>
        <w:rPr>
          <w:rFonts w:hint="eastAsia" w:ascii="宋体" w:hAnsi="宋体" w:eastAsia="宋体" w:cs="宋体"/>
          <w:b/>
          <w:color w:val="auto"/>
          <w:sz w:val="24"/>
        </w:rPr>
        <w:fldChar w:fldCharType="separate"/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Ⅲ</w:t>
      </w:r>
      <w:r>
        <w:rPr>
          <w:rFonts w:hint="eastAsia" w:ascii="宋体" w:hAnsi="宋体" w:eastAsia="宋体" w:cs="宋体"/>
          <w:b/>
          <w:color w:val="auto"/>
          <w:sz w:val="24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级工业用地基准地价修正系数表（%）</w:t>
      </w:r>
    </w:p>
    <w:tbl>
      <w:tblPr>
        <w:tblStyle w:val="5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16"/>
        <w:gridCol w:w="1144"/>
        <w:gridCol w:w="967"/>
        <w:gridCol w:w="1221"/>
        <w:gridCol w:w="666"/>
        <w:gridCol w:w="666"/>
        <w:gridCol w:w="650"/>
        <w:gridCol w:w="764"/>
        <w:gridCol w:w="7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2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-9.76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5.58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2.79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2.33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1.95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产业集聚影响度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3.71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1.56</w:t>
            </w:r>
          </w:p>
        </w:tc>
      </w:tr>
    </w:tbl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  <w:r>
        <w:rPr>
          <w:rFonts w:hint="eastAsia" w:eastAsia="宋体" w:cs="宋体"/>
          <w:b/>
          <w:bCs/>
          <w:color w:val="auto"/>
          <w:sz w:val="24"/>
        </w:rPr>
        <w:t>表117  Ⅳ</w:t>
      </w:r>
      <w:r>
        <w:rPr>
          <w:rFonts w:hint="eastAsia" w:eastAsia="宋体" w:cs="宋体"/>
          <w:b/>
          <w:color w:val="auto"/>
          <w:sz w:val="24"/>
        </w:rPr>
        <w:t>级</w:t>
      </w:r>
      <w:r>
        <w:rPr>
          <w:rFonts w:hint="eastAsia" w:eastAsia="宋体" w:cs="宋体"/>
          <w:b/>
          <w:bCs/>
          <w:color w:val="auto"/>
          <w:sz w:val="24"/>
        </w:rPr>
        <w:t>工业用地基准地价修正系数表（%）</w:t>
      </w:r>
    </w:p>
    <w:tbl>
      <w:tblPr>
        <w:tblStyle w:val="5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20"/>
        <w:gridCol w:w="1148"/>
        <w:gridCol w:w="971"/>
        <w:gridCol w:w="1225"/>
        <w:gridCol w:w="666"/>
        <w:gridCol w:w="650"/>
        <w:gridCol w:w="650"/>
        <w:gridCol w:w="764"/>
        <w:gridCol w:w="7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27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-8.96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4.74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2.37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2.14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3.94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1.97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产业集聚影响度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1.43</w:t>
            </w:r>
          </w:p>
        </w:tc>
      </w:tr>
    </w:tbl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  <w:r>
        <w:rPr>
          <w:rFonts w:hint="eastAsia" w:eastAsia="宋体" w:cs="宋体"/>
          <w:b/>
          <w:bCs/>
          <w:color w:val="auto"/>
          <w:sz w:val="24"/>
        </w:rPr>
        <w:t>表118  Ⅴ级工业用地基准地价修正系数表（%）</w:t>
      </w:r>
    </w:p>
    <w:tbl>
      <w:tblPr>
        <w:tblStyle w:val="5"/>
        <w:tblW w:w="8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19"/>
        <w:gridCol w:w="1148"/>
        <w:gridCol w:w="970"/>
        <w:gridCol w:w="1224"/>
        <w:gridCol w:w="666"/>
        <w:gridCol w:w="734"/>
        <w:gridCol w:w="636"/>
        <w:gridCol w:w="741"/>
        <w:gridCol w:w="8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27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-7.87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2.61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2.17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产业集聚影响度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宗地形状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1.26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表119  Ⅰ级公共管理与公共服务用地基准地价修正系数表（%）</w:t>
      </w:r>
    </w:p>
    <w:tbl>
      <w:tblPr>
        <w:tblStyle w:val="5"/>
        <w:tblW w:w="91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44"/>
        <w:gridCol w:w="1095"/>
        <w:gridCol w:w="1170"/>
        <w:gridCol w:w="696"/>
        <w:gridCol w:w="678"/>
        <w:gridCol w:w="790"/>
        <w:gridCol w:w="645"/>
        <w:gridCol w:w="750"/>
        <w:gridCol w:w="7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41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-8.61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4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3.62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距对外站点距离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2.01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公交便捷度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公交线路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道路通达度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临街道路状况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2.81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基本设施状况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基础设施完善度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2.41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环境条件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绿地覆盖度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1.61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4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宗地面积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1.21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1.03</w:t>
            </w:r>
          </w:p>
        </w:tc>
      </w:tr>
    </w:tbl>
    <w:p>
      <w:pPr>
        <w:pStyle w:val="7"/>
        <w:snapToGrid w:val="0"/>
        <w:spacing w:after="0" w:line="360" w:lineRule="auto"/>
        <w:ind w:firstLine="482" w:firstLineChars="2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482" w:firstLineChars="200"/>
        <w:rPr>
          <w:rFonts w:hint="eastAsia" w:eastAsia="宋体" w:cs="宋体"/>
          <w:b/>
          <w:bCs/>
          <w:color w:val="auto"/>
          <w:sz w:val="24"/>
        </w:rPr>
      </w:pPr>
      <w:r>
        <w:rPr>
          <w:rFonts w:hint="eastAsia" w:eastAsia="宋体" w:cs="宋体"/>
          <w:b/>
          <w:bCs/>
          <w:color w:val="auto"/>
          <w:sz w:val="24"/>
        </w:rPr>
        <w:t xml:space="preserve">表120  </w:t>
      </w:r>
      <w:r>
        <w:rPr>
          <w:rFonts w:hint="eastAsia" w:eastAsia="宋体" w:cs="宋体"/>
          <w:b/>
          <w:color w:val="auto"/>
          <w:sz w:val="24"/>
        </w:rPr>
        <w:t>Ⅱ级</w:t>
      </w:r>
      <w:r>
        <w:rPr>
          <w:rFonts w:hint="eastAsia" w:eastAsia="宋体" w:cs="宋体"/>
          <w:b/>
          <w:bCs/>
          <w:color w:val="auto"/>
          <w:sz w:val="24"/>
        </w:rPr>
        <w:t>公共管理与公共服务用地基准地价修正系数表（%）</w:t>
      </w:r>
    </w:p>
    <w:tbl>
      <w:tblPr>
        <w:tblStyle w:val="5"/>
        <w:tblW w:w="92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878"/>
        <w:gridCol w:w="1071"/>
        <w:gridCol w:w="1179"/>
        <w:gridCol w:w="722"/>
        <w:gridCol w:w="657"/>
        <w:gridCol w:w="766"/>
        <w:gridCol w:w="657"/>
        <w:gridCol w:w="766"/>
        <w:gridCol w:w="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4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6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-8.79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4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距对外站点距离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公交便捷度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公交线路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1.27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道路通达度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临街道路状况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2.95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1.23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基本设施状况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基础设施完善度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供水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排水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供暖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供气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2.53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1.27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环境条件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绿地覆盖度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1.69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个别因素</w:t>
            </w:r>
          </w:p>
        </w:tc>
        <w:tc>
          <w:tcPr>
            <w:tcW w:w="4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临街形式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1.27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宗地面积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1.27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1.05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表121 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instrText xml:space="preserve">= 3 \* ROMAN</w:instrTex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Ⅲ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级公共管理与公共服务用地基准地价修正系数表（%）</w:t>
      </w:r>
    </w:p>
    <w:tbl>
      <w:tblPr>
        <w:tblStyle w:val="5"/>
        <w:tblW w:w="91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46"/>
        <w:gridCol w:w="1083"/>
        <w:gridCol w:w="1168"/>
        <w:gridCol w:w="781"/>
        <w:gridCol w:w="699"/>
        <w:gridCol w:w="699"/>
        <w:gridCol w:w="665"/>
        <w:gridCol w:w="774"/>
        <w:gridCol w:w="7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因素</w:t>
            </w:r>
          </w:p>
        </w:tc>
        <w:tc>
          <w:tcPr>
            <w:tcW w:w="38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因子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权重值</w:t>
            </w:r>
          </w:p>
        </w:tc>
        <w:tc>
          <w:tcPr>
            <w:tcW w:w="3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8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较优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一般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较劣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8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-6.97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区域因素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商服繁华影响度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4.21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2.11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1.25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对外交通便利度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距对外站点距离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2.34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公交便捷度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公交线路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道路通达度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临街道路状况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3.28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1.64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基本设施状况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基础设施完善度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供水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排水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供气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环境条件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绿地覆盖度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1.87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个别因素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临街形式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宗地面积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0.83</w:t>
            </w:r>
          </w:p>
        </w:tc>
      </w:tr>
    </w:tbl>
    <w:p>
      <w:pPr>
        <w:pStyle w:val="7"/>
        <w:snapToGrid w:val="0"/>
        <w:spacing w:after="0" w:line="360" w:lineRule="auto"/>
        <w:ind w:firstLine="482" w:firstLineChars="200"/>
        <w:rPr>
          <w:rFonts w:hint="eastAsia" w:eastAsia="宋体" w:cs="宋体"/>
          <w:b/>
          <w:bCs/>
          <w:color w:val="auto"/>
          <w:sz w:val="24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</w:rPr>
      </w:pPr>
      <w:r>
        <w:rPr>
          <w:rFonts w:hint="eastAsia" w:eastAsia="宋体" w:cs="宋体"/>
          <w:b/>
          <w:bCs/>
          <w:color w:val="auto"/>
          <w:sz w:val="24"/>
        </w:rPr>
        <w:t>表122  Ⅳ</w:t>
      </w:r>
      <w:r>
        <w:rPr>
          <w:rFonts w:hint="eastAsia" w:eastAsia="宋体" w:cs="宋体"/>
          <w:b/>
          <w:color w:val="auto"/>
          <w:sz w:val="24"/>
        </w:rPr>
        <w:t>级</w:t>
      </w:r>
      <w:r>
        <w:rPr>
          <w:rFonts w:hint="eastAsia" w:eastAsia="宋体" w:cs="宋体"/>
          <w:b/>
          <w:bCs/>
          <w:color w:val="auto"/>
          <w:sz w:val="24"/>
        </w:rPr>
        <w:t>公共管理与公共服务用地基准地价修正系数表（%）</w:t>
      </w:r>
    </w:p>
    <w:tbl>
      <w:tblPr>
        <w:tblStyle w:val="5"/>
        <w:tblW w:w="94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560"/>
        <w:gridCol w:w="1197"/>
        <w:gridCol w:w="1366"/>
        <w:gridCol w:w="935"/>
        <w:gridCol w:w="712"/>
        <w:gridCol w:w="712"/>
        <w:gridCol w:w="676"/>
        <w:gridCol w:w="785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因素</w:t>
            </w:r>
          </w:p>
        </w:tc>
        <w:tc>
          <w:tcPr>
            <w:tcW w:w="41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因子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权重值</w:t>
            </w:r>
          </w:p>
        </w:tc>
        <w:tc>
          <w:tcPr>
            <w:tcW w:w="3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较优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较劣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-8.45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区域因素</w:t>
            </w:r>
          </w:p>
        </w:tc>
        <w:tc>
          <w:tcPr>
            <w:tcW w:w="4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商服繁华影响度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3.46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1.52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对外交通便利度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距对外站点距离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1.92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0.96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公交便捷度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公交线路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道路通达度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临街道路状况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2.69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1.34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基本设施状况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基础设施完善度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排水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供暖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供气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0.96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公用设施完备度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环境条件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绿地覆盖度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1.54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个别因素</w:t>
            </w:r>
          </w:p>
        </w:tc>
        <w:tc>
          <w:tcPr>
            <w:tcW w:w="4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临街形式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宗地面积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</w:tr>
    </w:tbl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  <w:highlight w:val="none"/>
        </w:rPr>
      </w:pPr>
    </w:p>
    <w:p>
      <w:pPr>
        <w:pStyle w:val="7"/>
        <w:snapToGrid w:val="0"/>
        <w:spacing w:after="0" w:line="360" w:lineRule="auto"/>
        <w:ind w:firstLine="1446" w:firstLineChars="600"/>
        <w:rPr>
          <w:rFonts w:hint="eastAsia" w:eastAsia="宋体" w:cs="宋体"/>
          <w:b/>
          <w:bCs/>
          <w:color w:val="auto"/>
          <w:sz w:val="24"/>
          <w:highlight w:val="none"/>
        </w:rPr>
      </w:pPr>
      <w:r>
        <w:rPr>
          <w:rFonts w:hint="eastAsia" w:eastAsia="宋体" w:cs="宋体"/>
          <w:b/>
          <w:bCs/>
          <w:color w:val="auto"/>
          <w:sz w:val="24"/>
          <w:highlight w:val="none"/>
        </w:rPr>
        <w:t>表123  Ⅴ级公共管理与公共服务用地基准地价修正系数表（%）</w:t>
      </w:r>
    </w:p>
    <w:tbl>
      <w:tblPr>
        <w:tblStyle w:val="5"/>
        <w:tblW w:w="9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21"/>
        <w:gridCol w:w="1209"/>
        <w:gridCol w:w="1650"/>
        <w:gridCol w:w="674"/>
        <w:gridCol w:w="677"/>
        <w:gridCol w:w="677"/>
        <w:gridCol w:w="677"/>
        <w:gridCol w:w="790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因素</w:t>
            </w:r>
          </w:p>
        </w:tc>
        <w:tc>
          <w:tcPr>
            <w:tcW w:w="46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因子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权重值</w:t>
            </w:r>
          </w:p>
        </w:tc>
        <w:tc>
          <w:tcPr>
            <w:tcW w:w="3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修正因素优劣程度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优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较优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一般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较劣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区域因素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商服繁华影响度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3.02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1.51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对外交通便利度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距对外站点距离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1.68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公交便捷度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公交线路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道路通达度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临街道路状况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0.14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2.35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1.18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基本设施状况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基础设施完善度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供水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0.05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0.84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0.42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排水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供暖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供气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公用设施完备度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0.12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2.02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环境条件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绿地覆盖度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1.34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0.67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个别因素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临街形式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宗地面积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1.01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0.86</w:t>
            </w:r>
          </w:p>
        </w:tc>
      </w:tr>
    </w:tbl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</w:pP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</w:pP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</w:pP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</w:pP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</w:pP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</w:pP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</w:pP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</w:pP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0"/>
        </w:rPr>
        <w:t>二</w:t>
      </w:r>
      <w:r>
        <w:rPr>
          <w:rFonts w:hint="eastAsia" w:ascii="宋体" w:hAnsi="宋体" w:eastAsia="宋体" w:cs="宋体"/>
          <w:color w:val="auto"/>
          <w:sz w:val="24"/>
        </w:rPr>
        <w:t>、因素修正系数说明表</w:t>
      </w: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表124  Ⅰ级商服用地宗地地价影响因素指标说明表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&lt;200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450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&lt;100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550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大于5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val="en-US" w:eastAsia="zh-CN"/>
              </w:rPr>
              <w:t>没有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流动人口很多，固定人口大于3.5万人/平方公里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流动人口较多，固定人口3.0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3.5万人/平方公里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流动人口一般，固定人口2.5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3.0万人/平方公里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流动人口较少，固定人口2.0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2.5万人/平方公里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流动人口少，固定人口小于2.0万人/平方公里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宽深比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＞1.5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0.8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＜0.8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表125  Ⅱ级商服用地宗地地价影响因素指标说明表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&lt;300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1100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1100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1600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&lt;150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大于4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流动人口很多，固定人口大于3.0万人/平方公里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流动人口较多，固定人口2.5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3.0万人/平方公里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流动人口一般，固定人口2.0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2.5万人/平方公里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流动人口较少，固定人口1.5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2.0万人/平方公里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流动人口少，固定人口小于1.5万人/平方公里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宽深比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＞1.5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0.8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＜0.8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表126  Ⅲ级商服用地宗地地价影响因素指标说明表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&lt;500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1600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1600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2200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&lt;200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700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700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大于3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没有公交线路，但是有较多出租车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流动人口很多，固定人口大于2.5万人/平方公里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流动人口较多，固定人口2.0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2.5万人/平方公里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流动人口一般，固定人口1.5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2.0万人/平方公里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流动人口较少，固定人口1.0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1.5万人/平方公里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流动人口少，固定人口小于1.0万人/平方公里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宽深比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＞1.5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0.8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＜0.8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表127  Ⅳ级商服用地宗地地价影响因素指标说明表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&lt;800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1200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1800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1800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2600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&lt;250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1100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大于2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没有公交线路，但是有较多出租车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出租车较少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流动人口很多，固定人口大于2.0万人/平方公里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流动人口较多，固定人口1.6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2.0万人/平方公里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流动人口一般，固定人口1.2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1.6万人/平方公里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流动人口较少，固定人口0.9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流动人口少，固定人口小于0.9万人/平方公里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宽深比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＞1.5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0.8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＜0.8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pStyle w:val="8"/>
        <w:rPr>
          <w:rFonts w:hint="eastAsia"/>
          <w:color w:val="auto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表128  V级商服用地宗地地价影响因素指标说明表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&lt;950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1400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1400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2800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&lt;300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1400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大于2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没有公交线路，但是有较多出租车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出租车较少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流动人口很多，固定人口大于2.0万人/平方公里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流动人口较多，固定人口1.6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2.0万人/平方公里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流动人口一般，固定人口1.2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1.6万人/平方公里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流动人口较少，固定人口0.9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流动人口少，固定人口小于0.9万人/平方公里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宽深比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＞1.5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0.8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＜0.8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yellow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yellow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yellow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yellow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yellow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表129  Ⅰ级住宅用地宗地地价影响因素指标说明表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&lt;200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450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&lt;100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550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大于5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val="en-US" w:eastAsia="zh-CN"/>
              </w:rPr>
              <w:t>没有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流动人口很多，固定人口大于3.5万人/平方公里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流动人口较多，固定人口3.0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3.5万人/平方公里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流动人口一般，固定人口2.5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3.0万人/平方公里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流动人口较少，固定人口2.0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2.5万人/平方公里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流动人口少，固定人口小于2.0万人/平方公里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表130  Ⅱ级住宅用地宗地地价影响因素指标说明表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&lt;300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1100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1100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1600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&lt;150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大于4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流动人口很多，固定人口大于3.0万人/平方公里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流动人口较多，固定人口2.5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3.0万人/平方公里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流动人口一般，固定人口2.0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2.5万人/平方公里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流动人口较少，固定人口1.5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2.0万人/平方公里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流动人口少，固定人口小于1.5万人/平方公里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表131  Ⅲ级住宅用地宗地地价影响因素指标说明表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&lt;500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1600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1600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2200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&lt;200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700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700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大于3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没有公交线路，但是有较多出租车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流动人口很多，固定人口大于2.5万人/平方公里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流动人口较多，固定人口2.0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2.5万人/平方公里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流动人口一般，固定人口1.5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2.0万人/平方公里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流动人口较少，固定人口1.0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1.5万人/平方公里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流动人口少，固定人口小于1.0万人/平方公里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表132  Ⅳ级住宅用地宗地地价影响因素指标说明表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&lt;800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1200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1800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1800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2600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&lt;250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1100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大于2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没有公交线路，但是有较多出租车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出租车较少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流动人口很多，固定人口大于2.0万人/平方公里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流动人口较多，固定人口1.6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2.0万人/平方公里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流动人口一般，固定人口1.2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1.6万人/平方公里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流动人口较少，固定人口0.9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流动人口少，固定人口小于0.9万人/平方公里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表133  V级住宅用地宗地地价影响因素指标说明表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&lt;950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1400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1400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2800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&lt;300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1400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大于2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没有公交线路，但是有较多出租车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出租车较少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规划状况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基本不受规划限制的影响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个别方面受规划限制的影响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部分方面受规划限制的影响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较多方面受规划限制的影响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很多方面受规划限制的影响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人口密度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流动人口很多，固定人口大于2.0万人/平方公里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流动人口较多，固定人口1.6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2.0万人/平方公里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流动人口一般，固定人口1.2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1.6万人/平方公里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流动人口较少，固定人口0.9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1.2万人/平方公里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流动人口少，固定人口小于0.9万人/平方公里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宗地形状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形状规则、对土地利用极为合理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土地利用较为合理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形状不规则，土地利用不合理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形状不规则对土地利用产生严重的影响</w:t>
            </w: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yellow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yellow"/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表134  工业用地基准地价修正系数表</w:t>
      </w:r>
    </w:p>
    <w:tbl>
      <w:tblPr>
        <w:tblStyle w:val="5"/>
        <w:tblW w:w="10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0"/>
        <w:gridCol w:w="709"/>
        <w:gridCol w:w="709"/>
        <w:gridCol w:w="1417"/>
        <w:gridCol w:w="1399"/>
        <w:gridCol w:w="1560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36" w:type="dxa"/>
            <w:gridSpan w:val="4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影响因素说明</w:t>
            </w:r>
          </w:p>
        </w:tc>
        <w:tc>
          <w:tcPr>
            <w:tcW w:w="7636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修正因素优劣程度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36" w:type="dxa"/>
            <w:gridSpan w:val="4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优</w:t>
            </w: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较优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一般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较劣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区域因素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道路通达度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临街道路状况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临主干道，道路畅通</w:t>
            </w:r>
          </w:p>
        </w:tc>
        <w:tc>
          <w:tcPr>
            <w:tcW w:w="13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临主干道，道路基本畅通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临次干道，道路畅通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临次干道，车辆行驶受较多限制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临支路或不临路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对外交通便利度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距对外站点的距离（米）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一级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＜300</w:t>
            </w:r>
          </w:p>
        </w:tc>
        <w:tc>
          <w:tcPr>
            <w:tcW w:w="13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700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1100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1500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＞1500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二级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&lt;450</w:t>
            </w:r>
          </w:p>
        </w:tc>
        <w:tc>
          <w:tcPr>
            <w:tcW w:w="13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900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1400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1400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2000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&gt;2000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三级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&lt;500</w:t>
            </w:r>
          </w:p>
        </w:tc>
        <w:tc>
          <w:tcPr>
            <w:tcW w:w="13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1000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1600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2200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&gt;2200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四级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&lt;600</w:t>
            </w:r>
          </w:p>
        </w:tc>
        <w:tc>
          <w:tcPr>
            <w:tcW w:w="13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1200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1800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1800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2500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&gt;2500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五级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&lt;700</w:t>
            </w:r>
          </w:p>
        </w:tc>
        <w:tc>
          <w:tcPr>
            <w:tcW w:w="13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1500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1500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2200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3000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&gt;3000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基础设施完善度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399" w:type="dxa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产业集聚影响度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产业聚集程度很高</w:t>
            </w: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产业聚集程度较高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产业聚集程度一般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产业聚集程度较低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产业聚集程度低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8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个别因素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临街形式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至少两面临主街</w:t>
            </w:r>
          </w:p>
        </w:tc>
        <w:tc>
          <w:tcPr>
            <w:tcW w:w="13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两面临街，至少一面临主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街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至少一面临次街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临支路或不临街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宗地形状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形状规则、对土地利用极为合理</w:t>
            </w:r>
          </w:p>
        </w:tc>
        <w:tc>
          <w:tcPr>
            <w:tcW w:w="13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形状规则、土地利用较为合理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形状规则、对土地利用无不良影响</w:t>
            </w:r>
          </w:p>
        </w:tc>
        <w:tc>
          <w:tcPr>
            <w:tcW w:w="155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形状不规则，土地利用不合理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形状不规则，对土地利用产生严重影响</w:t>
            </w:r>
          </w:p>
        </w:tc>
      </w:tr>
    </w:tbl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yellow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yellow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表135  Ⅰ级公共管理与公共服务用地宗地地价影响因素指标说明表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&lt;200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450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&lt;100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550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大于5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val="en-US" w:eastAsia="zh-CN"/>
              </w:rPr>
              <w:t>没有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表136  Ⅱ级公共管理与公共服务用地宗地地价影响因素指标说明表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&lt;300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1100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1100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1600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&lt;150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大于4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表137  Ⅲ级公共管理与公共服务用地宗地地价影响因素指标说明表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&lt;500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1600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1600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2200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&lt;200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700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700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大于3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没有公交线路，但是有较多出租车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</w:tbl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表138  Ⅳ级公共管理与公共服务用地宗地地价影响因素指标说明表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&lt;800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1200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1200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1800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1800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2600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&lt;250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1100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大于2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没有公交线路，但是有较多出租车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出租车较少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>
      <w:pPr>
        <w:tabs>
          <w:tab w:val="left" w:pos="4231"/>
          <w:tab w:val="center" w:pos="6877"/>
        </w:tabs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表139  V级公共管理与公共服务用地宗地地价影响因素指标说明表</w:t>
      </w:r>
    </w:p>
    <w:tbl>
      <w:tblPr>
        <w:tblStyle w:val="5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1"/>
        <w:gridCol w:w="1122"/>
        <w:gridCol w:w="1125"/>
        <w:gridCol w:w="1555"/>
        <w:gridCol w:w="1452"/>
        <w:gridCol w:w="1569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2479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因素说明</w:t>
            </w:r>
          </w:p>
        </w:tc>
        <w:tc>
          <w:tcPr>
            <w:tcW w:w="712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修正因素优劣程度说明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优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较优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一般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较劣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商服繁华影响度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距街市级或者区级商服中心距离(米)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&lt;950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1400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1400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2000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2800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交通条件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距对外交通站点或者干线通行点的距离（米）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&lt;300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650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1400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&gt;1400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400米以内公交线路数量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大于2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没有公交线路，但是有较多出租车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出租车较少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基础设施完善程度</w:t>
            </w: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18"/>
                <w:szCs w:val="18"/>
              </w:rPr>
              <w:t>供</w:t>
            </w: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区片内供水保证率100%，除因检修之外过去的半年未曾停水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区片内供水保证率99%以上，除因检修之外过去的半年曾停水1次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区片内供水保证率98%以上，除因检修之外过去的半年曾停水2次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区片内供水保证率97%以上，除因检修之外过去的半年曾停水3次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区片内供水保证率97%以下，除因检修之外过去的半年曾停水3次以上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排水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区片内排水保证率100%，过去的半年未曾出现堵塞或者涌冒现象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区片内排水保证率99%以上，过去的半年曾出现1次堵塞或者涌冒现象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区片内排水保证率98%以上，过去的半年曾出现2次堵塞或者涌冒现象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区片内排水保证率97%以上，过去的半年曾出现3次堵塞或者涌冒现象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区片内排水保证率97%以下，过去的半年曾出现3次以上堵塞或者涌冒现象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供暖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区片内供暖保证率100%，除因检修之外过去的1个供暖期内未曾出现停暖现象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区片内供暖保证率99%以上，除因检修之外过去的1个供暖期曾停暖1次，且未超过12小时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区片内供暖保证率98%以上，除因检修之外过去的1个供暖期曾停暖2次，或累计停暖超过12小时不足18小时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区片内供暖保证率97%以上，除因检修之外过去的1个供暖期曾停暖3次，或累计停暖超过18小时不足24小时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区片内供暖保证率97%以下，除因检修之外过去的半年曾3次以上停暖，或累计停暖超过24小时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pacing w:val="-12"/>
                <w:sz w:val="18"/>
                <w:szCs w:val="18"/>
              </w:rPr>
              <w:t>供气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区片内供气保证率100％，除因检修之外未曾出现停气现象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区片内供气保证率98%之间，除因检修之外，停气时间未超过1天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区片内供气保证率98％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95％之间，除因检修之外，停气时间未超过2天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区片内供气保证率95％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90％之间，除因检修之外，停气时间未超过3天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区片内供气保证率﹤90％，除因检修之外，停气时间超过3天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公用设施完备度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900米内有较多公用设施，且有较多优级公用设施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900米内有较多公用设施，其中有少量优级公用设施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900米内有较多公用设施，没有优级公用设施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900米内有部分公用设施，没有优级公用设施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900米内没有公用设施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7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绿地覆盖度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〉40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25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〈25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宗地条件</w:t>
            </w: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临街道路类型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临生活型主干且没有通行限制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临生活型主干但有通行限制，或者临混合型主干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临生活型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干且没有通行限制，或者临交通型主干道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临次干道但有通行限制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临次干道以下道路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临街状况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至少两面临主街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面临街，至少一面临主街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</w:rPr>
              <w:t>一面临主街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highlight w:val="none"/>
                <w:lang w:val="en-US" w:eastAsia="zh-CN"/>
              </w:rPr>
              <w:t>或者两面临次街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至少一面临次街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临支路、巷道或不临街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宗地面积</w:t>
            </w:r>
          </w:p>
        </w:tc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面积适中，对土地利用极为有利</w:t>
            </w:r>
          </w:p>
        </w:tc>
        <w:tc>
          <w:tcPr>
            <w:tcW w:w="15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面积对土地利用较为有利</w:t>
            </w:r>
          </w:p>
        </w:tc>
        <w:tc>
          <w:tcPr>
            <w:tcW w:w="14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面积对土地利用无不良影响</w:t>
            </w:r>
          </w:p>
        </w:tc>
        <w:tc>
          <w:tcPr>
            <w:tcW w:w="15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面积较小或较大，对土地利用有一定影响</w:t>
            </w:r>
          </w:p>
        </w:tc>
        <w:tc>
          <w:tcPr>
            <w:tcW w:w="142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面积过小或过大，对土地利用产生严重影响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F25EC"/>
    <w:rsid w:val="08836BD0"/>
    <w:rsid w:val="09000221"/>
    <w:rsid w:val="0ECF491D"/>
    <w:rsid w:val="0F0D5446"/>
    <w:rsid w:val="1C2F4C4D"/>
    <w:rsid w:val="2D687FBF"/>
    <w:rsid w:val="2F9C21A2"/>
    <w:rsid w:val="366B28CE"/>
    <w:rsid w:val="395F25EC"/>
    <w:rsid w:val="3DD96E06"/>
    <w:rsid w:val="443D58AA"/>
    <w:rsid w:val="4DF74D1B"/>
    <w:rsid w:val="5217238E"/>
    <w:rsid w:val="58DD0FB2"/>
    <w:rsid w:val="6D142D9C"/>
    <w:rsid w:val="720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324" w:lineRule="auto"/>
      <w:ind w:firstLine="300" w:firstLineChars="150"/>
    </w:pPr>
    <w:rPr>
      <w:rFonts w:ascii="宋体" w:hAnsi="宋体"/>
      <w:sz w:val="24"/>
    </w:rPr>
  </w:style>
  <w:style w:type="paragraph" w:customStyle="1" w:styleId="7">
    <w:name w:val="正文首行缩进1"/>
    <w:basedOn w:val="4"/>
    <w:qFormat/>
    <w:uiPriority w:val="0"/>
    <w:pPr>
      <w:spacing w:after="120" w:line="240" w:lineRule="auto"/>
      <w:ind w:firstLine="420" w:firstLineChars="100"/>
    </w:pPr>
    <w:rPr>
      <w:sz w:val="21"/>
    </w:rPr>
  </w:style>
  <w:style w:type="paragraph" w:customStyle="1" w:styleId="8">
    <w:name w:val="样式1"/>
    <w:basedOn w:val="1"/>
    <w:next w:val="1"/>
    <w:qFormat/>
    <w:uiPriority w:val="0"/>
    <w:pPr>
      <w:jc w:val="left"/>
    </w:pPr>
    <w:rPr>
      <w:rFonts w:ascii="楷体_GB2312" w:hAnsi="宋体" w:eastAsia="楷体_GB2312"/>
      <w:color w:val="333399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a0380d09-8380-4d34-a890-68e155912fca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7443F255</paraID>
      <start>14</start>
      <end>15</end>
      <status>unmodified</status>
      <modifiedWord/>
      <trackRevisions>false</trackRevisions>
    </reviewItem>
    <reviewItem>
      <errorID>768b6116-95e4-4d42-862e-a667173f7f75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7443F255</paraID>
      <start>16</start>
      <end>17</end>
      <status>unmodified</status>
      <modifiedWord/>
      <trackRevisions>false</trackRevisions>
    </reviewItem>
    <reviewItem>
      <errorID>0eeb201a-ad53-4348-898b-99fba35f8865</errorID>
      <errorWord>&gt;</errorWord>
      <group>L1_Punc</group>
      <groupName>标点问题</groupName>
      <ability>L2_Punc_CN</ability>
      <abilityName>标点符号问题</abilityName>
      <candidateList/>
      <explain/>
      <paraID>63096D45</paraID>
      <start>0</start>
      <end>1</end>
      <status>unmodified</status>
      <modifiedWord/>
      <trackRevisions>false</trackRevisions>
    </reviewItem>
    <reviewItem>
      <errorID>101884fc-16ac-4b39-97c7-1bd9bf06adcb</errorID>
      <errorWord>&gt;</errorWord>
      <group>L1_Punc</group>
      <groupName>标点问题</groupName>
      <ability>L2_Punc_CN</ability>
      <abilityName>标点符号问题</abilityName>
      <candidateList/>
      <explain/>
      <paraID> BCFBAA9</paraID>
      <start>0</start>
      <end>1</end>
      <status>unmodified</status>
      <modifiedWord/>
      <trackRevisions>false</trackRevisions>
    </reviewItem>
    <reviewItem>
      <errorID>b5ee94f9-b993-4624-829d-a74cedad9c6c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5F7EF527</paraID>
      <start>25</start>
      <end>26</end>
      <status>unmodified</status>
      <modifiedWord/>
      <trackRevisions>false</trackRevisions>
    </reviewItem>
    <reviewItem>
      <errorID>15bd91e4-ca8a-408b-86ed-1a83c0e7b3d3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F128167</paraID>
      <start>8</start>
      <end>15</end>
      <status>unmodified</status>
      <modifiedWord/>
      <trackRevisions>false</trackRevisions>
    </reviewItem>
    <reviewItem>
      <errorID>1e024379-a119-4e94-872f-0a69d6ff7004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4CB64480</paraID>
      <start>7</start>
      <end>8</end>
      <status>unmodified</status>
      <modifiedWord/>
      <trackRevisions>false</trackRevisions>
    </reviewItem>
    <reviewItem>
      <errorID>62b5d4a2-7eb2-4592-acc4-5719d7621068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4CB64480</paraID>
      <start>8</start>
      <end>15</end>
      <status>unmodified</status>
      <modifiedWord/>
      <trackRevisions>false</trackRevisions>
    </reviewItem>
    <reviewItem>
      <errorID>21528956-93c4-4e87-8cd1-2103171156f4</errorID>
      <errorWord>3.0-3.5万</errorWord>
      <group>L1_Knowledge</group>
      <groupName>知识性问题</groupName>
      <ability>L2_Knowledge</ability>
      <abilityName>其他知识</abilityName>
      <candidateList>
        <item>3.0万—3.5万</item>
      </candidateList>
      <explain>1. “3.0-3.5万”中的单位“万”仅出现在后一个数字上，容易引起歧义；根据《现代汉语标点符号数字用法规范手册》，数字表示范围两边需要使用统一的格式。2.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73DFFC4D</paraID>
      <start>11</start>
      <end>19</end>
      <status>unmodified</status>
      <modifiedWord/>
      <trackRevisions>false</trackRevisions>
    </reviewItem>
    <reviewItem>
      <errorID>3eec8d63-ec2e-4e9d-bd0e-a4667fc655d9</errorID>
      <errorWord>2.5-3.0万</errorWord>
      <group>L1_Knowledge</group>
      <groupName>知识性问题</groupName>
      <ability>L2_Knowledge</ability>
      <abilityName>其他知识</abilityName>
      <candidateList>
        <item>2.5万—3.0万</item>
      </candidateList>
      <explain>1. “2.5-3.0万”中的单位“万”仅出现在后一个数字上，容易引起歧义；根据《现代汉语标点符号数字用法规范手册》，数字表示范围两边需要使用统一的格式。2.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345E8C8D</paraID>
      <start>11</start>
      <end>19</end>
      <status>unmodified</status>
      <modifiedWord/>
      <trackRevisions>false</trackRevisions>
    </reviewItem>
    <reviewItem>
      <errorID>24d45d1e-c50e-44a0-839d-39a7adb0f46b</errorID>
      <errorWord>2.0-2.5万</errorWord>
      <group>L1_Knowledge</group>
      <groupName>知识性问题</groupName>
      <ability>L2_Knowledge</ability>
      <abilityName>其他知识</abilityName>
      <candidateList>
        <item>2.0万—2.5万</item>
      </candidateList>
      <explain>1. “2.0-2.5万”中的单位“万”仅出现在后一个数字上，容易引起歧义；根据《现代汉语标点符号数字用法规范手册》，数字表示范围两边需要使用统一的格式。2.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1516E1DD</paraID>
      <start>11</start>
      <end>19</end>
      <status>unmodified</status>
      <modifiedWord/>
      <trackRevisions>false</trackRevisions>
    </reviewItem>
    <reviewItem>
      <errorID>35fc9756-dc96-47d9-9f8a-cb76fdf311af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 717C6D7</paraID>
      <start>5</start>
      <end>7</end>
      <status>unmodified</status>
      <modifiedWord/>
      <trackRevisions>false</trackRevisions>
    </reviewItem>
    <reviewItem>
      <errorID>2791723f-f0b4-48c3-b37f-f88814187d0f</errorID>
      <errorWord>＞</errorWord>
      <group>L1_Format</group>
      <groupName>格式问题</groupName>
      <ability>L2_HalfPunc_CN</ability>
      <abilityName>全半角问题</abilityName>
      <candidateList>
        <item>&gt;</item>
      </candidateList>
      <explain>文本全半角错误。</explain>
      <paraID>71E257C6</paraID>
      <start>0</start>
      <end>1</end>
      <status>unmodified</status>
      <modifiedWord/>
      <trackRevisions>false</trackRevisions>
    </reviewItem>
    <reviewItem>
      <errorID>df299840-3063-438f-a608-bd90a448f5bc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564693FF</paraID>
      <start>14</start>
      <end>15</end>
      <status>unmodified</status>
      <modifiedWord/>
      <trackRevisions>false</trackRevisions>
    </reviewItem>
    <reviewItem>
      <errorID>dd6b7f46-c348-4eff-8173-bffdbebcab6a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564693FF</paraID>
      <start>16</start>
      <end>17</end>
      <status>unmodified</status>
      <modifiedWord/>
      <trackRevisions>false</trackRevisions>
    </reviewItem>
    <reviewItem>
      <errorID>02a3a9da-e360-4da7-a5e7-0c505be03bcf</errorID>
      <errorWord>&gt;</errorWord>
      <group>L1_Punc</group>
      <groupName>标点问题</groupName>
      <ability>L2_Punc_CN</ability>
      <abilityName>标点符号问题</abilityName>
      <candidateList/>
      <explain/>
      <paraID> 653B7AC</paraID>
      <start>0</start>
      <end>1</end>
      <status>unmodified</status>
      <modifiedWord/>
      <trackRevisions>false</trackRevisions>
    </reviewItem>
    <reviewItem>
      <errorID>9c118f70-a66c-46b3-b90d-72033581cfe4</errorID>
      <errorWord>&gt;</errorWord>
      <group>L1_Punc</group>
      <groupName>标点问题</groupName>
      <ability>L2_Punc_CN</ability>
      <abilityName>标点符号问题</abilityName>
      <candidateList/>
      <explain/>
      <paraID>4D910C58</paraID>
      <start>0</start>
      <end>1</end>
      <status>unmodified</status>
      <modifiedWord/>
      <trackRevisions>false</trackRevisions>
    </reviewItem>
    <reviewItem>
      <errorID>278bbacc-7e58-495f-afe0-6228f83659d6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1E80743D</paraID>
      <start>25</start>
      <end>26</end>
      <status>unmodified</status>
      <modifiedWord/>
      <trackRevisions>false</trackRevisions>
    </reviewItem>
    <reviewItem>
      <errorID>102edf92-61e2-4d4c-b400-27c987e52443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16C4FBE3</paraID>
      <start>8</start>
      <end>15</end>
      <status>unmodified</status>
      <modifiedWord/>
      <trackRevisions>false</trackRevisions>
    </reviewItem>
    <reviewItem>
      <errorID>d051063c-a53f-4a5a-85ee-0404a2ae67a9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2ED384BF</paraID>
      <start>7</start>
      <end>8</end>
      <status>unmodified</status>
      <modifiedWord/>
      <trackRevisions>false</trackRevisions>
    </reviewItem>
    <reviewItem>
      <errorID>cc0b2c96-81e8-4c22-8916-7ac33d44a136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2ED384BF</paraID>
      <start>8</start>
      <end>15</end>
      <status>unmodified</status>
      <modifiedWord/>
      <trackRevisions>false</trackRevisions>
    </reviewItem>
    <reviewItem>
      <errorID>617ac405-bac2-45a4-82e4-df7b25879911</errorID>
      <errorWord>2.5-3.0万</errorWord>
      <group>L1_Knowledge</group>
      <groupName>知识性问题</groupName>
      <ability>L2_Knowledge</ability>
      <abilityName>其他知识</abilityName>
      <candidateList>
        <item>2.5万—3.0万</item>
      </candidateList>
      <explain>1. “2.5-3.0万”中的单位“万”仅出现在后一个数字上，容易引起歧义；根据《现代汉语标点符号数字用法规范手册》，数字表示范围两边需要使用统一的格式。2.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6F991464</paraID>
      <start>11</start>
      <end>19</end>
      <status>unmodified</status>
      <modifiedWord/>
      <trackRevisions>false</trackRevisions>
    </reviewItem>
    <reviewItem>
      <errorID>ab4921c4-209f-496d-89d9-d779b4e8a3c0</errorID>
      <errorWord>2.0-2.5万</errorWord>
      <group>L1_Knowledge</group>
      <groupName>知识性问题</groupName>
      <ability>L2_Knowledge</ability>
      <abilityName>其他知识</abilityName>
      <candidateList>
        <item>2.0万—2.5万</item>
      </candidateList>
      <explain>1. “2.0-2.5万”中的单位“万”仅出现在后一个数字上，容易引起歧义；根据《现代汉语标点符号数字用法规范手册》，数字表示范围两边需要使用统一的格式。2.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2570B082</paraID>
      <start>11</start>
      <end>19</end>
      <status>unmodified</status>
      <modifiedWord/>
      <trackRevisions>false</trackRevisions>
    </reviewItem>
    <reviewItem>
      <errorID>d109fae6-4f35-4797-8a8a-a6ebde46f621</errorID>
      <errorWord>1.5-2.0万</errorWord>
      <group>L1_Knowledge</group>
      <groupName>知识性问题</groupName>
      <ability>L2_Knowledge</ability>
      <abilityName>其他知识</abilityName>
      <candidateList>
        <item>1.5万—2.0万</item>
      </candidateList>
      <explain>1. “1.5-2.0万”中的单位“万”仅出现在后一个数字上，容易引起歧义；根据《现代汉语标点符号数字用法规范手册》，数字表示范围两边需要使用统一的格式。2.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7EA241DF</paraID>
      <start>11</start>
      <end>19</end>
      <status>unmodified</status>
      <modifiedWord/>
      <trackRevisions>false</trackRevisions>
    </reviewItem>
    <reviewItem>
      <errorID>4ac2ec0e-f3cc-4fab-b342-60ddcf710f3d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164E0F5A</paraID>
      <start>5</start>
      <end>7</end>
      <status>unmodified</status>
      <modifiedWord/>
      <trackRevisions>false</trackRevisions>
    </reviewItem>
    <reviewItem>
      <errorID>3b87be33-e4ae-4a92-8b43-6ba4087d434d</errorID>
      <errorWord>＞</errorWord>
      <group>L1_Format</group>
      <groupName>格式问题</groupName>
      <ability>L2_HalfPunc_CN</ability>
      <abilityName>全半角问题</abilityName>
      <candidateList>
        <item>&gt;</item>
      </candidateList>
      <explain>文本全半角错误。</explain>
      <paraID>46E2F61A</paraID>
      <start>0</start>
      <end>1</end>
      <status>unmodified</status>
      <modifiedWord/>
      <trackRevisions>false</trackRevisions>
    </reviewItem>
    <reviewItem>
      <errorID>12f74ec6-dea2-4d02-bf35-0aef50d08777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7FB783C1</paraID>
      <start>14</start>
      <end>15</end>
      <status>unmodified</status>
      <modifiedWord/>
      <trackRevisions>false</trackRevisions>
    </reviewItem>
    <reviewItem>
      <errorID>25f95dab-bc74-4100-be4c-60f7ffcc17e6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7FB783C1</paraID>
      <start>16</start>
      <end>17</end>
      <status>unmodified</status>
      <modifiedWord/>
      <trackRevisions>false</trackRevisions>
    </reviewItem>
    <reviewItem>
      <errorID>42eab257-9c31-4f62-89c6-1bedcf7f5905</errorID>
      <errorWord>&gt;</errorWord>
      <group>L1_Punc</group>
      <groupName>标点问题</groupName>
      <ability>L2_Punc_CN</ability>
      <abilityName>标点符号问题</abilityName>
      <candidateList/>
      <explain/>
      <paraID> FA80E64</paraID>
      <start>0</start>
      <end>1</end>
      <status>unmodified</status>
      <modifiedWord/>
      <trackRevisions>false</trackRevisions>
    </reviewItem>
    <reviewItem>
      <errorID>f7336aad-a28b-46a1-aa7a-9372cfe7d5e0</errorID>
      <errorWord>&gt;</errorWord>
      <group>L1_Punc</group>
      <groupName>标点问题</groupName>
      <ability>L2_Punc_CN</ability>
      <abilityName>标点符号问题</abilityName>
      <candidateList/>
      <explain/>
      <paraID>16505B59</paraID>
      <start>0</start>
      <end>1</end>
      <status>unmodified</status>
      <modifiedWord/>
      <trackRevisions>false</trackRevisions>
    </reviewItem>
    <reviewItem>
      <errorID>8b20e182-cd15-4160-8fdb-33f64fe9ff72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48FBA9AE</paraID>
      <start>25</start>
      <end>26</end>
      <status>unmodified</status>
      <modifiedWord/>
      <trackRevisions>false</trackRevisions>
    </reviewItem>
    <reviewItem>
      <errorID>1b695bf8-cbf2-4880-bd9a-ed60e5da3285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31E396E6</paraID>
      <start>8</start>
      <end>15</end>
      <status>unmodified</status>
      <modifiedWord/>
      <trackRevisions>false</trackRevisions>
    </reviewItem>
    <reviewItem>
      <errorID>93afa34f-9ea4-42f3-be85-3a2e7a74291f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63923AC8</paraID>
      <start>7</start>
      <end>8</end>
      <status>unmodified</status>
      <modifiedWord/>
      <trackRevisions>false</trackRevisions>
    </reviewItem>
    <reviewItem>
      <errorID>9f2716c8-3819-4bd5-9250-187ae4676a7f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63923AC8</paraID>
      <start>8</start>
      <end>15</end>
      <status>unmodified</status>
      <modifiedWord/>
      <trackRevisions>false</trackRevisions>
    </reviewItem>
    <reviewItem>
      <errorID>06618dcb-30c1-4bc3-8d3c-548268360101</errorID>
      <errorWord>2.0-2.5万</errorWord>
      <group>L1_Knowledge</group>
      <groupName>知识性问题</groupName>
      <ability>L2_Knowledge</ability>
      <abilityName>其他知识</abilityName>
      <candidateList>
        <item>2.0万—2.5万</item>
      </candidateList>
      <explain>1. “2.0-2.5万”中的单位“万”仅出现在后一个数字上，容易引起歧义；根据《现代汉语标点符号数字用法规范手册》，数字表示范围两边需要使用统一的格式。2.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70EEF391</paraID>
      <start>11</start>
      <end>19</end>
      <status>unmodified</status>
      <modifiedWord/>
      <trackRevisions>false</trackRevisions>
    </reviewItem>
    <reviewItem>
      <errorID>d3eb41e6-4f44-4133-bd34-44bc5c81265b</errorID>
      <errorWord>1.5-2.0万</errorWord>
      <group>L1_Knowledge</group>
      <groupName>知识性问题</groupName>
      <ability>L2_Knowledge</ability>
      <abilityName>其他知识</abilityName>
      <candidateList>
        <item>1.5万—2.0万</item>
      </candidateList>
      <explain>1. “1.5-2.0万”中的单位“万”仅出现在后一个数字上，容易引起歧义；根据《现代汉语标点符号数字用法规范手册》，数字表示范围两边需要使用统一的格式。2.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457381FE</paraID>
      <start>11</start>
      <end>19</end>
      <status>unmodified</status>
      <modifiedWord/>
      <trackRevisions>false</trackRevisions>
    </reviewItem>
    <reviewItem>
      <errorID>16466884-b542-482c-9135-d6cfdf03bf74</errorID>
      <errorWord>1.0-1.5万</errorWord>
      <group>L1_Knowledge</group>
      <groupName>知识性问题</groupName>
      <ability>L2_Knowledge</ability>
      <abilityName>其他知识</abilityName>
      <candidateList>
        <item>1.0万—1.5万</item>
      </candidateList>
      <explain>1. “1.0-1.5万”中的单位“万”仅出现在后一个数字上，容易引起歧义；根据《现代汉语标点符号数字用法规范手册》，数字表示范围两边需要使用统一的格式。2.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19FE3943</paraID>
      <start>11</start>
      <end>19</end>
      <status>unmodified</status>
      <modifiedWord/>
      <trackRevisions>false</trackRevisions>
    </reviewItem>
    <reviewItem>
      <errorID>7da38e04-5184-4e52-a16f-7d5e388c6581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3B3EC36D</paraID>
      <start>5</start>
      <end>7</end>
      <status>unmodified</status>
      <modifiedWord/>
      <trackRevisions>false</trackRevisions>
    </reviewItem>
    <reviewItem>
      <errorID>a82c71fb-17c4-4c4c-b4a6-9405703f37b0</errorID>
      <errorWord>＞</errorWord>
      <group>L1_Format</group>
      <groupName>格式问题</groupName>
      <ability>L2_HalfPunc_CN</ability>
      <abilityName>全半角问题</abilityName>
      <candidateList>
        <item>&gt;</item>
      </candidateList>
      <explain>文本全半角错误。</explain>
      <paraID>35B9B77B</paraID>
      <start>0</start>
      <end>1</end>
      <status>unmodified</status>
      <modifiedWord/>
      <trackRevisions>false</trackRevisions>
    </reviewItem>
    <reviewItem>
      <errorID>14fd2b1e-f78f-4c21-b64e-19107ee7d230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2900E286</paraID>
      <start>14</start>
      <end>15</end>
      <status>unmodified</status>
      <modifiedWord/>
      <trackRevisions>false</trackRevisions>
    </reviewItem>
    <reviewItem>
      <errorID>ec3c314b-d6e4-4274-a67d-a7660fa6649d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2900E286</paraID>
      <start>16</start>
      <end>17</end>
      <status>unmodified</status>
      <modifiedWord/>
      <trackRevisions>false</trackRevisions>
    </reviewItem>
    <reviewItem>
      <errorID>6f41f4c9-9183-49ca-a299-51a5613e30a3</errorID>
      <errorWord>&gt;</errorWord>
      <group>L1_Punc</group>
      <groupName>标点问题</groupName>
      <ability>L2_Punc_CN</ability>
      <abilityName>标点符号问题</abilityName>
      <candidateList/>
      <explain/>
      <paraID>5311EE39</paraID>
      <start>0</start>
      <end>1</end>
      <status>unmodified</status>
      <modifiedWord/>
      <trackRevisions>false</trackRevisions>
    </reviewItem>
    <reviewItem>
      <errorID>a2b1c0d3-783c-436a-848c-185283b9436d</errorID>
      <errorWord>&gt;</errorWord>
      <group>L1_Punc</group>
      <groupName>标点问题</groupName>
      <ability>L2_Punc_CN</ability>
      <abilityName>标点符号问题</abilityName>
      <candidateList/>
      <explain/>
      <paraID>7FB03870</paraID>
      <start>0</start>
      <end>1</end>
      <status>unmodified</status>
      <modifiedWord/>
      <trackRevisions>false</trackRevisions>
    </reviewItem>
    <reviewItem>
      <errorID>bf88acd2-e5c4-4a45-83aa-b80965d2ec3e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4FC58DB2</paraID>
      <start>25</start>
      <end>26</end>
      <status>unmodified</status>
      <modifiedWord/>
      <trackRevisions>false</trackRevisions>
    </reviewItem>
    <reviewItem>
      <errorID>aca8cf7e-667b-4e15-a17e-3c7093a0a0f8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3307D7F4</paraID>
      <start>8</start>
      <end>15</end>
      <status>unmodified</status>
      <modifiedWord/>
      <trackRevisions>false</trackRevisions>
    </reviewItem>
    <reviewItem>
      <errorID>70e94ed6-d68b-417c-a5d2-deebf3767f2a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2910E0EC</paraID>
      <start>7</start>
      <end>8</end>
      <status>unmodified</status>
      <modifiedWord/>
      <trackRevisions>false</trackRevisions>
    </reviewItem>
    <reviewItem>
      <errorID>7fd43796-9231-4d45-8854-def9c2874a88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2910E0EC</paraID>
      <start>8</start>
      <end>15</end>
      <status>unmodified</status>
      <modifiedWord/>
      <trackRevisions>false</trackRevisions>
    </reviewItem>
    <reviewItem>
      <errorID>65787472-8c77-46de-8d16-7b6314a58d00</errorID>
      <errorWord>1.6-2.0万</errorWord>
      <group>L1_Knowledge</group>
      <groupName>知识性问题</groupName>
      <ability>L2_Knowledge</ability>
      <abilityName>其他知识</abilityName>
      <candidateList>
        <item>1.6万—2.0万</item>
      </candidateList>
      <explain>1. “1.6-2.0万”中的单位“万”仅出现在后一个数字上，容易引起歧义；根据《现代汉语标点符号数字用法规范手册》，数字表示范围两边需要使用统一的格式。2.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5EA61B90</paraID>
      <start>11</start>
      <end>19</end>
      <status>unmodified</status>
      <modifiedWord/>
      <trackRevisions>false</trackRevisions>
    </reviewItem>
    <reviewItem>
      <errorID>538a9eb2-bf11-4ba5-b4bf-07786d0e2dc8</errorID>
      <errorWord>1.2-1.6万</errorWord>
      <group>L1_Knowledge</group>
      <groupName>知识性问题</groupName>
      <ability>L2_Knowledge</ability>
      <abilityName>其他知识</abilityName>
      <candidateList>
        <item>1.2万—1.6万</item>
      </candidateList>
      <explain>1. “1.2-1.6万”中的单位“万”仅出现在后一个数字上，容易引起歧义；根据《现代汉语标点符号数字用法规范手册》，数字表示范围两边需要使用统一的格式。2.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7A8E21D5</paraID>
      <start>11</start>
      <end>19</end>
      <status>unmodified</status>
      <modifiedWord/>
      <trackRevisions>false</trackRevisions>
    </reviewItem>
    <reviewItem>
      <errorID>2ed570dd-67ab-42b1-98ba-36cf02bc088d</errorID>
      <errorWord>0.9-1.2万</errorWord>
      <group>L1_Knowledge</group>
      <groupName>知识性问题</groupName>
      <ability>L2_Knowledge</ability>
      <abilityName>其他知识</abilityName>
      <candidateList>
        <item>0.9万—1.2万</item>
      </candidateList>
      <explain>1. “0.9-1.2万”中的单位“万”仅出现在后一个数字上，容易引起歧义；根据《现代汉语标点符号数字用法规范手册》，数字表示范围两边需要使用统一的格式。2.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23CAFA32</paraID>
      <start>11</start>
      <end>19</end>
      <status>unmodified</status>
      <modifiedWord/>
      <trackRevisions>false</trackRevisions>
    </reviewItem>
    <reviewItem>
      <errorID>734a0606-1da9-4864-a292-74b018d893e6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71E80F83</paraID>
      <start>5</start>
      <end>7</end>
      <status>unmodified</status>
      <modifiedWord/>
      <trackRevisions>false</trackRevisions>
    </reviewItem>
    <reviewItem>
      <errorID>f5d8114c-c3c0-4240-87b1-09993d09697c</errorID>
      <errorWord>＞</errorWord>
      <group>L1_Format</group>
      <groupName>格式问题</groupName>
      <ability>L2_HalfPunc_CN</ability>
      <abilityName>全半角问题</abilityName>
      <candidateList>
        <item>&gt;</item>
      </candidateList>
      <explain>文本全半角错误。</explain>
      <paraID>6C7FC895</paraID>
      <start>0</start>
      <end>1</end>
      <status>unmodified</status>
      <modifiedWord/>
      <trackRevisions>false</trackRevisions>
    </reviewItem>
    <reviewItem>
      <errorID>90bd8b2f-920a-4d4c-b711-ba22071511de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104EC792</paraID>
      <start>14</start>
      <end>15</end>
      <status>unmodified</status>
      <modifiedWord/>
      <trackRevisions>false</trackRevisions>
    </reviewItem>
    <reviewItem>
      <errorID>06ec3ff1-91d9-43fa-bdbf-4db2efac75d9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104EC792</paraID>
      <start>16</start>
      <end>17</end>
      <status>unmodified</status>
      <modifiedWord/>
      <trackRevisions>false</trackRevisions>
    </reviewItem>
    <reviewItem>
      <errorID>d5ba7c37-6f4a-4540-a955-f395a964ae28</errorID>
      <errorWord>&gt;</errorWord>
      <group>L1_Punc</group>
      <groupName>标点问题</groupName>
      <ability>L2_Punc_CN</ability>
      <abilityName>标点符号问题</abilityName>
      <candidateList/>
      <explain/>
      <paraID>5F84EAC0</paraID>
      <start>0</start>
      <end>1</end>
      <status>unmodified</status>
      <modifiedWord/>
      <trackRevisions>false</trackRevisions>
    </reviewItem>
    <reviewItem>
      <errorID>2d26a587-2155-44ae-955d-2e9e00703d2d</errorID>
      <errorWord>&gt;</errorWord>
      <group>L1_Punc</group>
      <groupName>标点问题</groupName>
      <ability>L2_Punc_CN</ability>
      <abilityName>标点符号问题</abilityName>
      <candidateList/>
      <explain/>
      <paraID>678F71EF</paraID>
      <start>0</start>
      <end>1</end>
      <status>unmodified</status>
      <modifiedWord/>
      <trackRevisions>false</trackRevisions>
    </reviewItem>
    <reviewItem>
      <errorID>c62dbce7-90fe-40b0-b361-e2aef45af2fd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6AC23091</paraID>
      <start>25</start>
      <end>26</end>
      <status>unmodified</status>
      <modifiedWord/>
      <trackRevisions>false</trackRevisions>
    </reviewItem>
    <reviewItem>
      <errorID>b80dada3-4e1e-457b-8fb0-b31c7d30a5c3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73420EA3</paraID>
      <start>8</start>
      <end>15</end>
      <status>unmodified</status>
      <modifiedWord/>
      <trackRevisions>false</trackRevisions>
    </reviewItem>
    <reviewItem>
      <errorID>7dfbbcca-5227-48bd-b3fa-cdf019b940df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7E97A6A9</paraID>
      <start>7</start>
      <end>8</end>
      <status>unmodified</status>
      <modifiedWord/>
      <trackRevisions>false</trackRevisions>
    </reviewItem>
    <reviewItem>
      <errorID>32cbe0fb-a0f7-43f5-b092-7ff2cf57e9a5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7E97A6A9</paraID>
      <start>8</start>
      <end>15</end>
      <status>unmodified</status>
      <modifiedWord/>
      <trackRevisions>false</trackRevisions>
    </reviewItem>
    <reviewItem>
      <errorID>00fa03c2-ede0-4049-92b6-a33ee0fb6597</errorID>
      <errorWord>1.6-2.0万</errorWord>
      <group>L1_Knowledge</group>
      <groupName>知识性问题</groupName>
      <ability>L2_Knowledge</ability>
      <abilityName>其他知识</abilityName>
      <candidateList>
        <item>1.6万—2.0万</item>
      </candidateList>
      <explain>1. “1.6-2.0万”中的单位“万”仅出现在后一个数字上，容易引起歧义；根据《现代汉语标点符号数字用法规范手册》，数字表示范围两边需要使用统一的格式。2.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1C6B0B52</paraID>
      <start>11</start>
      <end>19</end>
      <status>unmodified</status>
      <modifiedWord/>
      <trackRevisions>false</trackRevisions>
    </reviewItem>
    <reviewItem>
      <errorID>6fc66dac-d17b-46cb-9254-9207a72eece7</errorID>
      <errorWord>1.2-1.6万</errorWord>
      <group>L1_Knowledge</group>
      <groupName>知识性问题</groupName>
      <ability>L2_Knowledge</ability>
      <abilityName>其他知识</abilityName>
      <candidateList>
        <item>1.2万—1.6万</item>
      </candidateList>
      <explain>1. “1.2-1.6万”中的单位“万”仅出现在后一个数字上，容易引起歧义；根据《现代汉语标点符号数字用法规范手册》，数字表示范围两边需要使用统一的格式。2.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587096E1</paraID>
      <start>11</start>
      <end>19</end>
      <status>unmodified</status>
      <modifiedWord/>
      <trackRevisions>false</trackRevisions>
    </reviewItem>
    <reviewItem>
      <errorID>5bd563cd-d31e-4a89-89a0-f6f88b402191</errorID>
      <errorWord>0.9-1.2万</errorWord>
      <group>L1_Knowledge</group>
      <groupName>知识性问题</groupName>
      <ability>L2_Knowledge</ability>
      <abilityName>其他知识</abilityName>
      <candidateList>
        <item>0.9万—1.2万</item>
      </candidateList>
      <explain>1. “0.9-1.2万”中的单位“万”仅出现在后一个数字上，容易引起歧义；根据《现代汉语标点符号数字用法规范手册》，数字表示范围两边需要使用统一的格式。2.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207F3536</paraID>
      <start>11</start>
      <end>19</end>
      <status>unmodified</status>
      <modifiedWord/>
      <trackRevisions>false</trackRevisions>
    </reviewItem>
    <reviewItem>
      <errorID>75ed5a50-2690-4381-be0b-7f1f81a54ce7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760C18E4</paraID>
      <start>5</start>
      <end>7</end>
      <status>unmodified</status>
      <modifiedWord/>
      <trackRevisions>false</trackRevisions>
    </reviewItem>
    <reviewItem>
      <errorID>c9703295-52c8-491f-bd2d-910ccd56b77b</errorID>
      <errorWord>＞</errorWord>
      <group>L1_Format</group>
      <groupName>格式问题</groupName>
      <ability>L2_HalfPunc_CN</ability>
      <abilityName>全半角问题</abilityName>
      <candidateList>
        <item>&gt;</item>
      </candidateList>
      <explain>文本全半角错误。</explain>
      <paraID>26230C24</paraID>
      <start>0</start>
      <end>1</end>
      <status>unmodified</status>
      <modifiedWord/>
      <trackRevisions>false</trackRevisions>
    </reviewItem>
    <reviewItem>
      <errorID>4c1c4efa-6d47-4f14-b0df-60edb0b30652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45D8B6EA</paraID>
      <start>14</start>
      <end>15</end>
      <status>unmodified</status>
      <modifiedWord/>
      <trackRevisions>false</trackRevisions>
    </reviewItem>
    <reviewItem>
      <errorID>647aba5c-723c-41d0-9469-63c2910c0c33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45D8B6EA</paraID>
      <start>16</start>
      <end>17</end>
      <status>unmodified</status>
      <modifiedWord/>
      <trackRevisions>false</trackRevisions>
    </reviewItem>
    <reviewItem>
      <errorID>5fc560ef-c403-4381-b5d0-29bc3754649a</errorID>
      <errorWord>&gt;</errorWord>
      <group>L1_Punc</group>
      <groupName>标点问题</groupName>
      <ability>L2_Punc_CN</ability>
      <abilityName>标点符号问题</abilityName>
      <candidateList/>
      <explain/>
      <paraID>318D5BCD</paraID>
      <start>0</start>
      <end>1</end>
      <status>unmodified</status>
      <modifiedWord/>
      <trackRevisions>false</trackRevisions>
    </reviewItem>
    <reviewItem>
      <errorID>5af41c28-f23f-44f0-a2dc-907588c992f5</errorID>
      <errorWord>&gt;</errorWord>
      <group>L1_Punc</group>
      <groupName>标点问题</groupName>
      <ability>L2_Punc_CN</ability>
      <abilityName>标点符号问题</abilityName>
      <candidateList/>
      <explain/>
      <paraID>6B99570C</paraID>
      <start>0</start>
      <end>1</end>
      <status>unmodified</status>
      <modifiedWord/>
      <trackRevisions>false</trackRevisions>
    </reviewItem>
    <reviewItem>
      <errorID>779c2033-7d95-47c8-9f56-e1a0d8f4144b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2BEBE20B</paraID>
      <start>25</start>
      <end>26</end>
      <status>unmodified</status>
      <modifiedWord/>
      <trackRevisions>false</trackRevisions>
    </reviewItem>
    <reviewItem>
      <errorID>90f43880-a548-4d55-a277-9ece210e7162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79B6AB6C</paraID>
      <start>8</start>
      <end>15</end>
      <status>unmodified</status>
      <modifiedWord/>
      <trackRevisions>false</trackRevisions>
    </reviewItem>
    <reviewItem>
      <errorID>e018995b-efb5-4c28-b27b-03451ecb3dd7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35C94E2D</paraID>
      <start>7</start>
      <end>8</end>
      <status>unmodified</status>
      <modifiedWord/>
      <trackRevisions>false</trackRevisions>
    </reviewItem>
    <reviewItem>
      <errorID>057ac916-621e-43c2-9f3d-0edd2ca7270b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35C94E2D</paraID>
      <start>8</start>
      <end>15</end>
      <status>unmodified</status>
      <modifiedWord/>
      <trackRevisions>false</trackRevisions>
    </reviewItem>
    <reviewItem>
      <errorID>70659ac8-f443-434a-b0f3-1e82373aa2c6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5B9201E1</paraID>
      <start>0</start>
      <end>1</end>
      <status>unmodified</status>
      <modifiedWord/>
      <trackRevisions>false</trackRevisions>
    </reviewItem>
    <reviewItem>
      <errorID>961b9174-431f-45cc-a4ea-6566fe9a15bf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47787D01</paraID>
      <start>0</start>
      <end>1</end>
      <status>unmodified</status>
      <modifiedWord/>
      <trackRevisions>false</trackRevisions>
    </reviewItem>
    <reviewItem>
      <errorID>cf9e08be-47ae-4329-b38f-9ccef990da1d</errorID>
      <errorWord>3.0-3.5万</errorWord>
      <group>L1_Knowledge</group>
      <groupName>知识性问题</groupName>
      <ability>L2_Knowledge</ability>
      <abilityName>其他知识</abilityName>
      <candidateList>
        <item>3.0万—3.5万</item>
      </candidateList>
      <explain>1. “3.0-3.5万”中的单位“万”仅出现在后一个数字上，容易引起歧义；根据《现代汉语标点符号数字用法规范手册》，数字表示范围两边需要使用统一的格式。2.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30E3817C</paraID>
      <start>11</start>
      <end>19</end>
      <status>unmodified</status>
      <modifiedWord/>
      <trackRevisions>false</trackRevisions>
    </reviewItem>
    <reviewItem>
      <errorID>b3a07123-3c4a-42c9-a0df-b54a3a3339e2</errorID>
      <errorWord>2.5-3.0万</errorWord>
      <group>L1_Knowledge</group>
      <groupName>知识性问题</groupName>
      <ability>L2_Knowledge</ability>
      <abilityName>其他知识</abilityName>
      <candidateList>
        <item>2.5万—3.0万</item>
      </candidateList>
      <explain>1. “2.5-3.0万”中的单位“万”仅出现在后一个数字上，容易引起歧义；根据《现代汉语标点符号数字用法规范手册》，数字表示范围两边需要使用统一的格式。2.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591F6F23</paraID>
      <start>11</start>
      <end>19</end>
      <status>unmodified</status>
      <modifiedWord/>
      <trackRevisions>false</trackRevisions>
    </reviewItem>
    <reviewItem>
      <errorID>2509a7bb-1b77-4346-845a-68ebfb9fd9f1</errorID>
      <errorWord>2.0-2.5万</errorWord>
      <group>L1_Knowledge</group>
      <groupName>知识性问题</groupName>
      <ability>L2_Knowledge</ability>
      <abilityName>其他知识</abilityName>
      <candidateList>
        <item>2.0万—2.5万</item>
      </candidateList>
      <explain>1. “2.0-2.5万”中的单位“万”仅出现在后一个数字上，容易引起歧义；根据《现代汉语标点符号数字用法规范手册》，数字表示范围两边需要使用统一的格式。2.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79F63CC4</paraID>
      <start>11</start>
      <end>19</end>
      <status>unmodified</status>
      <modifiedWord/>
      <trackRevisions>false</trackRevisions>
    </reviewItem>
    <reviewItem>
      <errorID>42d36f29-c286-40e4-9068-eec9973702ed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1F81EB45</paraID>
      <start>5</start>
      <end>7</end>
      <status>unmodified</status>
      <modifiedWord/>
      <trackRevisions>false</trackRevisions>
    </reviewItem>
    <reviewItem>
      <errorID>3367a30b-4597-4986-be7e-862bf22b3e91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1755016C</paraID>
      <start>14</start>
      <end>15</end>
      <status>unmodified</status>
      <modifiedWord/>
      <trackRevisions>false</trackRevisions>
    </reviewItem>
    <reviewItem>
      <errorID>6aac4ddc-8904-44fa-aa45-bcfa0a357646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1755016C</paraID>
      <start>16</start>
      <end>17</end>
      <status>unmodified</status>
      <modifiedWord/>
      <trackRevisions>false</trackRevisions>
    </reviewItem>
    <reviewItem>
      <errorID>04188e28-d756-4270-a678-527d989136b3</errorID>
      <errorWord>&gt;</errorWord>
      <group>L1_Punc</group>
      <groupName>标点问题</groupName>
      <ability>L2_Punc_CN</ability>
      <abilityName>标点符号问题</abilityName>
      <candidateList/>
      <explain/>
      <paraID>1E1766AA</paraID>
      <start>0</start>
      <end>1</end>
      <status>unmodified</status>
      <modifiedWord/>
      <trackRevisions>false</trackRevisions>
    </reviewItem>
    <reviewItem>
      <errorID>ba8a4957-02d0-4ce8-87cc-3531cb3c1b69</errorID>
      <errorWord>&gt;</errorWord>
      <group>L1_Punc</group>
      <groupName>标点问题</groupName>
      <ability>L2_Punc_CN</ability>
      <abilityName>标点符号问题</abilityName>
      <candidateList/>
      <explain/>
      <paraID> 9FA7156</paraID>
      <start>0</start>
      <end>1</end>
      <status>unmodified</status>
      <modifiedWord/>
      <trackRevisions>false</trackRevisions>
    </reviewItem>
    <reviewItem>
      <errorID>5b304f4e-ab03-4602-9c47-f1e7032048e2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3E4C3388</paraID>
      <start>25</start>
      <end>26</end>
      <status>unmodified</status>
      <modifiedWord/>
      <trackRevisions>false</trackRevisions>
    </reviewItem>
    <reviewItem>
      <errorID>da2607a2-ca45-485e-8157-577874577779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212420FD</paraID>
      <start>8</start>
      <end>15</end>
      <status>unmodified</status>
      <modifiedWord/>
      <trackRevisions>false</trackRevisions>
    </reviewItem>
    <reviewItem>
      <errorID>74f71d61-ef0c-4fe8-9105-079dc3cc0371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 440B40C</paraID>
      <start>7</start>
      <end>8</end>
      <status>unmodified</status>
      <modifiedWord/>
      <trackRevisions>false</trackRevisions>
    </reviewItem>
    <reviewItem>
      <errorID>a55d6853-8b5d-4cc3-b1f6-1c6c03fb1130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440B40C</paraID>
      <start>8</start>
      <end>15</end>
      <status>unmodified</status>
      <modifiedWord/>
      <trackRevisions>false</trackRevisions>
    </reviewItem>
    <reviewItem>
      <errorID>efe710e7-f6a9-4dd2-a1e8-6ef87b4d35e5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2235D7A8</paraID>
      <start>0</start>
      <end>1</end>
      <status>unmodified</status>
      <modifiedWord/>
      <trackRevisions>false</trackRevisions>
    </reviewItem>
    <reviewItem>
      <errorID>38ac2185-a4c7-4c07-af77-80919203c61f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769B6CD1</paraID>
      <start>0</start>
      <end>1</end>
      <status>unmodified</status>
      <modifiedWord/>
      <trackRevisions>false</trackRevisions>
    </reviewItem>
    <reviewItem>
      <errorID>eaebca77-3389-4d6f-90a0-bf5c075a552b</errorID>
      <errorWord>2.5-3.0万</errorWord>
      <group>L1_Knowledge</group>
      <groupName>知识性问题</groupName>
      <ability>L2_Knowledge</ability>
      <abilityName>其他知识</abilityName>
      <candidateList>
        <item>2.5万—3.0万</item>
      </candidateList>
      <explain>1. “2.5-3.0万”中的单位“万”仅出现在后一个数字上，容易引起歧义；根据《现代汉语标点符号数字用法规范手册》，数字表示范围两边需要使用统一的格式。2.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51A6AF80</paraID>
      <start>11</start>
      <end>19</end>
      <status>unmodified</status>
      <modifiedWord/>
      <trackRevisions>false</trackRevisions>
    </reviewItem>
    <reviewItem>
      <errorID>78a8577d-5868-48da-9d7a-0b99df4dc1b5</errorID>
      <errorWord>2.0-2.5万</errorWord>
      <group>L1_Knowledge</group>
      <groupName>知识性问题</groupName>
      <ability>L2_Knowledge</ability>
      <abilityName>其他知识</abilityName>
      <candidateList>
        <item>2.0万—2.5万</item>
      </candidateList>
      <explain>1. “2.0-2.5万”中的单位“万”仅出现在后一个数字上，容易引起歧义；根据《现代汉语标点符号数字用法规范手册》，数字表示范围两边需要使用统一的格式。2.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7100C341</paraID>
      <start>11</start>
      <end>19</end>
      <status>unmodified</status>
      <modifiedWord/>
      <trackRevisions>false</trackRevisions>
    </reviewItem>
    <reviewItem>
      <errorID>4c5282aa-3767-4887-8078-c45b6491978b</errorID>
      <errorWord>1.5-2.0万</errorWord>
      <group>L1_Knowledge</group>
      <groupName>知识性问题</groupName>
      <ability>L2_Knowledge</ability>
      <abilityName>其他知识</abilityName>
      <candidateList>
        <item>1.5万—2.0万</item>
      </candidateList>
      <explain>1. “1.5-2.0万”中的单位“万”仅出现在后一个数字上，容易引起歧义；根据《现代汉语标点符号数字用法规范手册》，数字表示范围两边需要使用统一的格式。2.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71B84CC4</paraID>
      <start>11</start>
      <end>19</end>
      <status>unmodified</status>
      <modifiedWord/>
      <trackRevisions>false</trackRevisions>
    </reviewItem>
    <reviewItem>
      <errorID>9a643551-d0e4-41bf-8025-0acc0da508f9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753D767F</paraID>
      <start>5</start>
      <end>7</end>
      <status>unmodified</status>
      <modifiedWord/>
      <trackRevisions>false</trackRevisions>
    </reviewItem>
    <reviewItem>
      <errorID>c8524bdf-3862-4279-ac56-efaba0fa8027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65C69410</paraID>
      <start>14</start>
      <end>15</end>
      <status>unmodified</status>
      <modifiedWord/>
      <trackRevisions>false</trackRevisions>
    </reviewItem>
    <reviewItem>
      <errorID>48282503-3ff0-4075-aa65-81a3519170ba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65C69410</paraID>
      <start>16</start>
      <end>17</end>
      <status>unmodified</status>
      <modifiedWord/>
      <trackRevisions>false</trackRevisions>
    </reviewItem>
    <reviewItem>
      <errorID>a6157b4a-d0d8-495b-a36d-246fd43106f8</errorID>
      <errorWord>&gt;</errorWord>
      <group>L1_Punc</group>
      <groupName>标点问题</groupName>
      <ability>L2_Punc_CN</ability>
      <abilityName>标点符号问题</abilityName>
      <candidateList/>
      <explain/>
      <paraID>34EE0B19</paraID>
      <start>0</start>
      <end>1</end>
      <status>unmodified</status>
      <modifiedWord/>
      <trackRevisions>false</trackRevisions>
    </reviewItem>
    <reviewItem>
      <errorID>28a33323-10a4-4864-8239-40e176603e5a</errorID>
      <errorWord>&gt;</errorWord>
      <group>L1_Punc</group>
      <groupName>标点问题</groupName>
      <ability>L2_Punc_CN</ability>
      <abilityName>标点符号问题</abilityName>
      <candidateList/>
      <explain/>
      <paraID>6AE690AD</paraID>
      <start>0</start>
      <end>1</end>
      <status>unmodified</status>
      <modifiedWord/>
      <trackRevisions>false</trackRevisions>
    </reviewItem>
    <reviewItem>
      <errorID>fe29a28f-2623-491d-8c38-c05111dcb7d2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5869C8F6</paraID>
      <start>25</start>
      <end>26</end>
      <status>unmodified</status>
      <modifiedWord/>
      <trackRevisions>false</trackRevisions>
    </reviewItem>
    <reviewItem>
      <errorID>79c056ad-78d4-4b68-86ba-74e411774c68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6304E951</paraID>
      <start>8</start>
      <end>15</end>
      <status>unmodified</status>
      <modifiedWord/>
      <trackRevisions>false</trackRevisions>
    </reviewItem>
    <reviewItem>
      <errorID>9e6243e7-0cd2-4205-bcd3-f53a2cd2fb24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  1AC768</paraID>
      <start>7</start>
      <end>8</end>
      <status>unmodified</status>
      <modifiedWord/>
      <trackRevisions>false</trackRevisions>
    </reviewItem>
    <reviewItem>
      <errorID>b88b417a-e9c5-4976-a6ac-de09f248da73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 1AC768</paraID>
      <start>8</start>
      <end>15</end>
      <status>unmodified</status>
      <modifiedWord/>
      <trackRevisions>false</trackRevisions>
    </reviewItem>
    <reviewItem>
      <errorID>5a5a7102-89ca-4b84-95c8-ae3bb619d0b4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33D6DE57</paraID>
      <start>0</start>
      <end>1</end>
      <status>unmodified</status>
      <modifiedWord/>
      <trackRevisions>false</trackRevisions>
    </reviewItem>
    <reviewItem>
      <errorID>0e923804-a464-4b09-a04d-2a316397ede3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1C084AA8</paraID>
      <start>0</start>
      <end>1</end>
      <status>unmodified</status>
      <modifiedWord/>
      <trackRevisions>false</trackRevisions>
    </reviewItem>
    <reviewItem>
      <errorID>d1f5d880-1f20-4dc4-84ee-616e4b016849</errorID>
      <errorWord>2.0-2.5万</errorWord>
      <group>L1_Knowledge</group>
      <groupName>知识性问题</groupName>
      <ability>L2_Knowledge</ability>
      <abilityName>其他知识</abilityName>
      <candidateList>
        <item>2.0万—2.5万</item>
      </candidateList>
      <explain>1. “2.0-2.5万”中的单位“万”仅出现在后一个数字上，容易引起歧义；根据《现代汉语标点符号数字用法规范手册》，数字表示范围两边需要使用统一的格式。2.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3E342E11</paraID>
      <start>11</start>
      <end>19</end>
      <status>unmodified</status>
      <modifiedWord/>
      <trackRevisions>false</trackRevisions>
    </reviewItem>
    <reviewItem>
      <errorID>9bf9dfe5-1a8b-4cf1-ae81-d29efed64822</errorID>
      <errorWord>1.5-2.0万</errorWord>
      <group>L1_Knowledge</group>
      <groupName>知识性问题</groupName>
      <ability>L2_Knowledge</ability>
      <abilityName>其他知识</abilityName>
      <candidateList>
        <item>1.5万—2.0万</item>
      </candidateList>
      <explain>1. “1.5-2.0万”中的单位“万”仅出现在后一个数字上，容易引起歧义；根据《现代汉语标点符号数字用法规范手册》，数字表示范围两边需要使用统一的格式。2.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6A1903A1</paraID>
      <start>11</start>
      <end>19</end>
      <status>unmodified</status>
      <modifiedWord/>
      <trackRevisions>false</trackRevisions>
    </reviewItem>
    <reviewItem>
      <errorID>08b0580e-ca46-4de9-b360-c227c0aff0bf</errorID>
      <errorWord>1.0-1.5万</errorWord>
      <group>L1_Knowledge</group>
      <groupName>知识性问题</groupName>
      <ability>L2_Knowledge</ability>
      <abilityName>其他知识</abilityName>
      <candidateList>
        <item>1.0万—1.5万</item>
      </candidateList>
      <explain>1. “1.0-1.5万”中的单位“万”仅出现在后一个数字上，容易引起歧义；根据《现代汉语标点符号数字用法规范手册》，数字表示范围两边需要使用统一的格式。2.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668368F4</paraID>
      <start>11</start>
      <end>19</end>
      <status>unmodified</status>
      <modifiedWord/>
      <trackRevisions>false</trackRevisions>
    </reviewItem>
    <reviewItem>
      <errorID>8c6d18df-cd25-43c7-b397-acc5e8ad6a0b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63391AEC</paraID>
      <start>5</start>
      <end>7</end>
      <status>unmodified</status>
      <modifiedWord/>
      <trackRevisions>false</trackRevisions>
    </reviewItem>
    <reviewItem>
      <errorID>e40258ed-c9f7-4185-80ab-0b386cb0ff1f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512297D</paraID>
      <start>14</start>
      <end>15</end>
      <status>unmodified</status>
      <modifiedWord/>
      <trackRevisions>false</trackRevisions>
    </reviewItem>
    <reviewItem>
      <errorID>e2584e6f-11e5-457b-8991-904e7164c7d0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512297D</paraID>
      <start>16</start>
      <end>17</end>
      <status>unmodified</status>
      <modifiedWord/>
      <trackRevisions>false</trackRevisions>
    </reviewItem>
    <reviewItem>
      <errorID>65d0297d-456c-401c-927e-c0b4b5967d96</errorID>
      <errorWord>&gt;</errorWord>
      <group>L1_Punc</group>
      <groupName>标点问题</groupName>
      <ability>L2_Punc_CN</ability>
      <abilityName>标点符号问题</abilityName>
      <candidateList/>
      <explain/>
      <paraID> 331A2C6</paraID>
      <start>0</start>
      <end>1</end>
      <status>unmodified</status>
      <modifiedWord/>
      <trackRevisions>false</trackRevisions>
    </reviewItem>
    <reviewItem>
      <errorID>48e46332-ae5f-470a-a85c-e42fb301f5dd</errorID>
      <errorWord>&gt;</errorWord>
      <group>L1_Punc</group>
      <groupName>标点问题</groupName>
      <ability>L2_Punc_CN</ability>
      <abilityName>标点符号问题</abilityName>
      <candidateList/>
      <explain/>
      <paraID>2F66AF62</paraID>
      <start>0</start>
      <end>1</end>
      <status>unmodified</status>
      <modifiedWord/>
      <trackRevisions>false</trackRevisions>
    </reviewItem>
    <reviewItem>
      <errorID>230a5efe-d1fa-41a2-9555-69f42d9a7839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27DE1557</paraID>
      <start>25</start>
      <end>26</end>
      <status>unmodified</status>
      <modifiedWord/>
      <trackRevisions>false</trackRevisions>
    </reviewItem>
    <reviewItem>
      <errorID>03b9b3a2-eb1f-4085-ac34-8c5a6e39a4d8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471138BA</paraID>
      <start>8</start>
      <end>15</end>
      <status>unmodified</status>
      <modifiedWord/>
      <trackRevisions>false</trackRevisions>
    </reviewItem>
    <reviewItem>
      <errorID>f7ffbbca-2c72-4d1b-b10a-54cf66c04e40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1567111C</paraID>
      <start>7</start>
      <end>8</end>
      <status>unmodified</status>
      <modifiedWord/>
      <trackRevisions>false</trackRevisions>
    </reviewItem>
    <reviewItem>
      <errorID>452dadea-a054-4f60-be15-d1ed4f9554de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1567111C</paraID>
      <start>8</start>
      <end>15</end>
      <status>unmodified</status>
      <modifiedWord/>
      <trackRevisions>false</trackRevisions>
    </reviewItem>
    <reviewItem>
      <errorID>0d8b9bc2-ab33-4ef6-9eac-64de14fe9e2e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68978331</paraID>
      <start>0</start>
      <end>1</end>
      <status>unmodified</status>
      <modifiedWord/>
      <trackRevisions>false</trackRevisions>
    </reviewItem>
    <reviewItem>
      <errorID>861c452f-7332-470a-b10e-cfa089ca1caf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 216CC89</paraID>
      <start>0</start>
      <end>1</end>
      <status>unmodified</status>
      <modifiedWord/>
      <trackRevisions>false</trackRevisions>
    </reviewItem>
    <reviewItem>
      <errorID>55895b2d-4b54-4822-832a-6e6e7eb4c065</errorID>
      <errorWord>1.6-2.0万</errorWord>
      <group>L1_Knowledge</group>
      <groupName>知识性问题</groupName>
      <ability>L2_Knowledge</ability>
      <abilityName>其他知识</abilityName>
      <candidateList>
        <item>1.6万—2.0万</item>
      </candidateList>
      <explain>1. “1.6-2.0万”中的单位“万”仅出现在后一个数字上，容易引起歧义；根据《现代汉语标点符号数字用法规范手册》，数字表示范围两边需要使用统一的格式。2.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6C38B102</paraID>
      <start>11</start>
      <end>19</end>
      <status>unmodified</status>
      <modifiedWord/>
      <trackRevisions>false</trackRevisions>
    </reviewItem>
    <reviewItem>
      <errorID>2555fc06-01bd-4573-8ed3-48decdeba663</errorID>
      <errorWord>1.2-1.6万</errorWord>
      <group>L1_Knowledge</group>
      <groupName>知识性问题</groupName>
      <ability>L2_Knowledge</ability>
      <abilityName>其他知识</abilityName>
      <candidateList>
        <item>1.2万—1.6万</item>
      </candidateList>
      <explain>1. “1.2-1.6万”中的单位“万”仅出现在后一个数字上，容易引起歧义；根据《现代汉语标点符号数字用法规范手册》，数字表示范围两边需要使用统一的格式。2.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40DC5F7F</paraID>
      <start>11</start>
      <end>19</end>
      <status>unmodified</status>
      <modifiedWord/>
      <trackRevisions>false</trackRevisions>
    </reviewItem>
    <reviewItem>
      <errorID>96cad27c-e3ab-4c0a-9812-a953e5af20bd</errorID>
      <errorWord>0.9-1.2万</errorWord>
      <group>L1_Knowledge</group>
      <groupName>知识性问题</groupName>
      <ability>L2_Knowledge</ability>
      <abilityName>其他知识</abilityName>
      <candidateList>
        <item>0.9万—1.2万</item>
      </candidateList>
      <explain>1. “0.9-1.2万”中的单位“万”仅出现在后一个数字上，容易引起歧义；根据《现代汉语标点符号数字用法规范手册》，数字表示范围两边需要使用统一的格式。2.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66829ACE</paraID>
      <start>11</start>
      <end>19</end>
      <status>unmodified</status>
      <modifiedWord/>
      <trackRevisions>false</trackRevisions>
    </reviewItem>
    <reviewItem>
      <errorID>02618207-5aa5-49f2-8067-a4a75bbb1949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4BAA1D21</paraID>
      <start>5</start>
      <end>7</end>
      <status>unmodified</status>
      <modifiedWord/>
      <trackRevisions>false</trackRevisions>
    </reviewItem>
    <reviewItem>
      <errorID>edf74580-a637-48a3-981b-2b9d77bc08b7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7744697A</paraID>
      <start>14</start>
      <end>15</end>
      <status>unmodified</status>
      <modifiedWord/>
      <trackRevisions>false</trackRevisions>
    </reviewItem>
    <reviewItem>
      <errorID>10046a9b-ce41-43a7-a183-305269bbf82f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7744697A</paraID>
      <start>16</start>
      <end>17</end>
      <status>unmodified</status>
      <modifiedWord/>
      <trackRevisions>false</trackRevisions>
    </reviewItem>
    <reviewItem>
      <errorID>4056d205-d02d-4bed-8067-f0fab0bcf2c7</errorID>
      <errorWord>&gt;</errorWord>
      <group>L1_Punc</group>
      <groupName>标点问题</groupName>
      <ability>L2_Punc_CN</ability>
      <abilityName>标点符号问题</abilityName>
      <candidateList/>
      <explain/>
      <paraID>13E69C08</paraID>
      <start>0</start>
      <end>1</end>
      <status>unmodified</status>
      <modifiedWord/>
      <trackRevisions>false</trackRevisions>
    </reviewItem>
    <reviewItem>
      <errorID>fefb5b1e-6f58-4e24-bddc-eb7b8bbbb2d7</errorID>
      <errorWord>&gt;</errorWord>
      <group>L1_Punc</group>
      <groupName>标点问题</groupName>
      <ability>L2_Punc_CN</ability>
      <abilityName>标点符号问题</abilityName>
      <candidateList/>
      <explain/>
      <paraID>5B33A06F</paraID>
      <start>0</start>
      <end>1</end>
      <status>unmodified</status>
      <modifiedWord/>
      <trackRevisions>false</trackRevisions>
    </reviewItem>
    <reviewItem>
      <errorID>d2fc0403-e62a-49b8-a3e5-05116cf7de72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 BAB847A</paraID>
      <start>25</start>
      <end>26</end>
      <status>unmodified</status>
      <modifiedWord/>
      <trackRevisions>false</trackRevisions>
    </reviewItem>
    <reviewItem>
      <errorID>b233e935-134a-4e8a-9213-e53ad433d9c7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22B5C9C1</paraID>
      <start>8</start>
      <end>15</end>
      <status>unmodified</status>
      <modifiedWord/>
      <trackRevisions>false</trackRevisions>
    </reviewItem>
    <reviewItem>
      <errorID>16e53439-1d45-47e5-9b0f-54a7d0969725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 D650760</paraID>
      <start>7</start>
      <end>8</end>
      <status>unmodified</status>
      <modifiedWord/>
      <trackRevisions>false</trackRevisions>
    </reviewItem>
    <reviewItem>
      <errorID>6d01e87f-8eb3-4887-93e8-03846e8fe60e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D650760</paraID>
      <start>8</start>
      <end>15</end>
      <status>unmodified</status>
      <modifiedWord/>
      <trackRevisions>false</trackRevisions>
    </reviewItem>
    <reviewItem>
      <errorID>dec4eee0-45d7-4079-9dec-1f32b70e3135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2F33D4BE</paraID>
      <start>0</start>
      <end>1</end>
      <status>unmodified</status>
      <modifiedWord/>
      <trackRevisions>false</trackRevisions>
    </reviewItem>
    <reviewItem>
      <errorID>d37b6d84-6e0d-4b9e-a12e-21362a21a63f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23994AF3</paraID>
      <start>0</start>
      <end>1</end>
      <status>unmodified</status>
      <modifiedWord/>
      <trackRevisions>false</trackRevisions>
    </reviewItem>
    <reviewItem>
      <errorID>3aa3c2eb-3719-4046-8196-2955b76b1223</errorID>
      <errorWord>1.6-2.0万</errorWord>
      <group>L1_Knowledge</group>
      <groupName>知识性问题</groupName>
      <ability>L2_Knowledge</ability>
      <abilityName>其他知识</abilityName>
      <candidateList>
        <item>1.6万—2.0万</item>
      </candidateList>
      <explain>1. “1.6-2.0万”中的单位“万”仅出现在后一个数字上，容易引起歧义；根据《现代汉语标点符号数字用法规范手册》，数字表示范围两边需要使用统一的格式。2.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7F020580</paraID>
      <start>11</start>
      <end>19</end>
      <status>unmodified</status>
      <modifiedWord/>
      <trackRevisions>false</trackRevisions>
    </reviewItem>
    <reviewItem>
      <errorID>fb4ce93e-acbd-42e8-8a67-ffe9a24d8259</errorID>
      <errorWord>1.2-1.6万</errorWord>
      <group>L1_Knowledge</group>
      <groupName>知识性问题</groupName>
      <ability>L2_Knowledge</ability>
      <abilityName>其他知识</abilityName>
      <candidateList>
        <item>1.2万—1.6万</item>
      </candidateList>
      <explain>1. “1.2-1.6万”中的单位“万”仅出现在后一个数字上，容易引起歧义；根据《现代汉语标点符号数字用法规范手册》，数字表示范围两边需要使用统一的格式。2.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F154FB4</paraID>
      <start>11</start>
      <end>19</end>
      <status>unmodified</status>
      <modifiedWord/>
      <trackRevisions>false</trackRevisions>
    </reviewItem>
    <reviewItem>
      <errorID>f265819d-504c-4b9a-b1c4-24bcc0bd9572</errorID>
      <errorWord>0.9-1.2万</errorWord>
      <group>L1_Knowledge</group>
      <groupName>知识性问题</groupName>
      <ability>L2_Knowledge</ability>
      <abilityName>其他知识</abilityName>
      <candidateList>
        <item>0.9万—1.2万</item>
      </candidateList>
      <explain>1. “0.9-1.2万”中的单位“万”仅出现在后一个数字上，容易引起歧义；根据《现代汉语标点符号数字用法规范手册》，数字表示范围两边需要使用统一的格式。2.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1EC90D22</paraID>
      <start>11</start>
      <end>19</end>
      <status>unmodified</status>
      <modifiedWord/>
      <trackRevisions>false</trackRevisions>
    </reviewItem>
    <reviewItem>
      <errorID>5906bb8c-c288-4a05-a049-332cb9da85a6</errorID>
      <errorWord>干且</errorWord>
      <group>L1_Word</group>
      <groupName>字词问题</groupName>
      <ability>L2_Typo</ability>
      <abilityName>字词错误</abilityName>
      <candidateList>
        <item>干道</item>
      </candidateList>
      <explain/>
      <paraID>270D43D1</paraID>
      <start>5</start>
      <end>7</end>
      <status>unmodified</status>
      <modifiedWord/>
      <trackRevisions>false</trackRevisions>
    </reviewItem>
    <reviewItem>
      <errorID>6a0b3f16-178c-4f5b-a052-9eb92167a3da</errorID>
      <errorWord>受</errorWord>
      <group>L1_Word</group>
      <groupName>字词问题</groupName>
      <ability>L2_Typo</ability>
      <abilityName>字词错误</abilityName>
      <candidateList>
        <item>受到</item>
      </candidateList>
      <explain/>
      <paraID>1D71D1FF</paraID>
      <start>9</start>
      <end>10</end>
      <status>unmodified</status>
      <modifiedWord/>
      <trackRevisions>false</trackRevisions>
    </reviewItem>
    <reviewItem>
      <errorID>d0008117-5d73-4434-8e85-1fc17d4efef3</errorID>
      <errorWord>＜</errorWord>
      <group>L1_Format</group>
      <groupName>格式问题</groupName>
      <ability>L2_HalfPunc_CN</ability>
      <abilityName>全半角问题</abilityName>
      <candidateList>
        <item>&lt;</item>
      </candidateList>
      <explain>文本全半角错误。</explain>
      <paraID>18414A91</paraID>
      <start>0</start>
      <end>1</end>
      <status>unmodified</status>
      <modifiedWord/>
      <trackRevisions>false</trackRevisions>
    </reviewItem>
    <reviewItem>
      <errorID>35da27cf-ef3b-4aa8-8bfe-967a34089f0a</errorID>
      <errorWord>&gt;</errorWord>
      <group>L1_Punc</group>
      <groupName>标点问题</groupName>
      <ability>L2_Punc_CN</ability>
      <abilityName>标点符号问题</abilityName>
      <candidateList/>
      <explain/>
      <paraID>33781626</paraID>
      <start>0</start>
      <end>1</end>
      <status>unmodified</status>
      <modifiedWord/>
      <trackRevisions>false</trackRevisions>
    </reviewItem>
    <reviewItem>
      <errorID>0dcdc529-598b-4df4-80ea-d41648de8f50</errorID>
      <errorWord>&gt;</errorWord>
      <group>L1_Punc</group>
      <groupName>标点问题</groupName>
      <ability>L2_Punc_CN</ability>
      <abilityName>标点符号问题</abilityName>
      <candidateList/>
      <explain/>
      <paraID>1604A30D</paraID>
      <start>0</start>
      <end>1</end>
      <status>unmodified</status>
      <modifiedWord/>
      <trackRevisions>false</trackRevisions>
    </reviewItem>
    <reviewItem>
      <errorID>3ea10e34-0564-45f3-91b4-c3f6cdf32766</errorID>
      <errorWord>&gt;</errorWord>
      <group>L1_Punc</group>
      <groupName>标点问题</groupName>
      <ability>L2_Punc_CN</ability>
      <abilityName>标点符号问题</abilityName>
      <candidateList/>
      <explain/>
      <paraID> 21EB349</paraID>
      <start>0</start>
      <end>1</end>
      <status>unmodified</status>
      <modifiedWord/>
      <trackRevisions>false</trackRevisions>
    </reviewItem>
    <reviewItem>
      <errorID>c6b99083-7b7b-4321-8046-da836297eb81</errorID>
      <errorWord>&gt;</errorWord>
      <group>L1_Punc</group>
      <groupName>标点问题</groupName>
      <ability>L2_Punc_CN</ability>
      <abilityName>标点符号问题</abilityName>
      <candidateList/>
      <explain/>
      <paraID>7229BE96</paraID>
      <start>0</start>
      <end>1</end>
      <status>unmodified</status>
      <modifiedWord/>
      <trackRevisions>false</trackRevisions>
    </reviewItem>
    <reviewItem>
      <errorID>ee6dec42-026e-4742-9813-238e0d9453e0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 F0A5CF7</paraID>
      <start>25</start>
      <end>26</end>
      <status>unmodified</status>
      <modifiedWord/>
      <trackRevisions>false</trackRevisions>
    </reviewItem>
    <reviewItem>
      <errorID>89d84aec-df82-4b6f-a99d-177822c42f33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48962E84</paraID>
      <start>8</start>
      <end>15</end>
      <status>unmodified</status>
      <modifiedWord/>
      <trackRevisions>false</trackRevisions>
    </reviewItem>
    <reviewItem>
      <errorID>02eac5e1-3405-428f-94c6-67bcf9b8c399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1FA0EDFE</paraID>
      <start>7</start>
      <end>8</end>
      <status>unmodified</status>
      <modifiedWord/>
      <trackRevisions>false</trackRevisions>
    </reviewItem>
    <reviewItem>
      <errorID>662aeb23-71d6-4abc-a2bb-3f0b5d4aec62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1FA0EDFE</paraID>
      <start>8</start>
      <end>15</end>
      <status>unmodified</status>
      <modifiedWord/>
      <trackRevisions>false</trackRevisions>
    </reviewItem>
    <reviewItem>
      <errorID>465993b9-5959-4687-a1dd-803d7dbcdc5e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35374BCA</paraID>
      <start>14</start>
      <end>15</end>
      <status>unmodified</status>
      <modifiedWord/>
      <trackRevisions>false</trackRevisions>
    </reviewItem>
    <reviewItem>
      <errorID>e5d49f11-5c41-433b-821e-32c92f23b24f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35374BCA</paraID>
      <start>16</start>
      <end>17</end>
      <status>unmodified</status>
      <modifiedWord/>
      <trackRevisions>false</trackRevisions>
    </reviewItem>
    <reviewItem>
      <errorID>231d5df2-1c13-4bb4-80b8-916a0026e6f7</errorID>
      <errorWord>&gt;</errorWord>
      <group>L1_Punc</group>
      <groupName>标点问题</groupName>
      <ability>L2_Punc_CN</ability>
      <abilityName>标点符号问题</abilityName>
      <candidateList/>
      <explain/>
      <paraID>6383DEA5</paraID>
      <start>0</start>
      <end>1</end>
      <status>unmodified</status>
      <modifiedWord/>
      <trackRevisions>false</trackRevisions>
    </reviewItem>
    <reviewItem>
      <errorID>17f62b61-f714-4d69-8d6c-f206b475539f</errorID>
      <errorWord>&gt;</errorWord>
      <group>L1_Punc</group>
      <groupName>标点问题</groupName>
      <ability>L2_Punc_CN</ability>
      <abilityName>标点符号问题</abilityName>
      <candidateList/>
      <explain/>
      <paraID> 102FB5A</paraID>
      <start>0</start>
      <end>1</end>
      <status>unmodified</status>
      <modifiedWord/>
      <trackRevisions>false</trackRevisions>
    </reviewItem>
    <reviewItem>
      <errorID>47054c3c-b685-4399-a464-38727898fa76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4475B883</paraID>
      <start>25</start>
      <end>26</end>
      <status>unmodified</status>
      <modifiedWord/>
      <trackRevisions>false</trackRevisions>
    </reviewItem>
    <reviewItem>
      <errorID>b170524e-fdf0-4da6-b226-56925ef27401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 7419975</paraID>
      <start>7</start>
      <end>8</end>
      <status>unmodified</status>
      <modifiedWord/>
      <trackRevisions>false</trackRevisions>
    </reviewItem>
    <reviewItem>
      <errorID>25e07595-2c62-403b-abce-f0043bd6d3af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7419975</paraID>
      <start>8</start>
      <end>15</end>
      <status>unmodified</status>
      <modifiedWord/>
      <trackRevisions>false</trackRevisions>
    </reviewItem>
    <reviewItem>
      <errorID>5ae45bde-8988-4389-aed7-482cdd808ca3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52D04BF4</paraID>
      <start>7</start>
      <end>8</end>
      <status>unmodified</status>
      <modifiedWord/>
      <trackRevisions>false</trackRevisions>
    </reviewItem>
    <reviewItem>
      <errorID>c235839a-8b9e-4dfd-874d-27c304c3e9c2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52D04BF4</paraID>
      <start>8</start>
      <end>15</end>
      <status>unmodified</status>
      <modifiedWord/>
      <trackRevisions>false</trackRevisions>
    </reviewItem>
    <reviewItem>
      <errorID>28b4cd13-9890-4215-9141-7c25478c4ab0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3342EB4E</paraID>
      <start>0</start>
      <end>1</end>
      <status>unmodified</status>
      <modifiedWord/>
      <trackRevisions>false</trackRevisions>
    </reviewItem>
    <reviewItem>
      <errorID>a07c229d-c812-4e97-9745-9c205fd89ad9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454BEE88</paraID>
      <start>0</start>
      <end>1</end>
      <status>unmodified</status>
      <modifiedWord/>
      <trackRevisions>false</trackRevisions>
    </reviewItem>
    <reviewItem>
      <errorID>41545578-742e-4235-881f-4511437fd662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425FCF18</paraID>
      <start>14</start>
      <end>15</end>
      <status>unmodified</status>
      <modifiedWord/>
      <trackRevisions>false</trackRevisions>
    </reviewItem>
    <reviewItem>
      <errorID>20d0b1e7-bbfe-42d6-a9f8-3bafafa10f66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425FCF18</paraID>
      <start>16</start>
      <end>17</end>
      <status>unmodified</status>
      <modifiedWord/>
      <trackRevisions>false</trackRevisions>
    </reviewItem>
    <reviewItem>
      <errorID>9cf26de0-21c5-4edf-b792-ff35f20b3bbe</errorID>
      <errorWord>&gt;</errorWord>
      <group>L1_Punc</group>
      <groupName>标点问题</groupName>
      <ability>L2_Punc_CN</ability>
      <abilityName>标点符号问题</abilityName>
      <candidateList/>
      <explain/>
      <paraID> C6ED08F</paraID>
      <start>0</start>
      <end>1</end>
      <status>unmodified</status>
      <modifiedWord/>
      <trackRevisions>false</trackRevisions>
    </reviewItem>
    <reviewItem>
      <errorID>c691c50d-f5bc-4f23-b6e2-32ef3c821871</errorID>
      <errorWord>&gt;</errorWord>
      <group>L1_Punc</group>
      <groupName>标点问题</groupName>
      <ability>L2_Punc_CN</ability>
      <abilityName>标点符号问题</abilityName>
      <candidateList/>
      <explain/>
      <paraID>70CA8F1E</paraID>
      <start>0</start>
      <end>1</end>
      <status>unmodified</status>
      <modifiedWord/>
      <trackRevisions>false</trackRevisions>
    </reviewItem>
    <reviewItem>
      <errorID>9cd4d893-72f6-4756-bc74-b2d1cde8f2fd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30D4BE9C</paraID>
      <start>25</start>
      <end>26</end>
      <status>unmodified</status>
      <modifiedWord/>
      <trackRevisions>false</trackRevisions>
    </reviewItem>
    <reviewItem>
      <errorID>c020f524-1a09-4079-9535-e4e1abc95faa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1056B866</paraID>
      <start>7</start>
      <end>8</end>
      <status>unmodified</status>
      <modifiedWord/>
      <trackRevisions>false</trackRevisions>
    </reviewItem>
    <reviewItem>
      <errorID>180954a4-6297-4c41-8e57-a45dc29ceaaa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1056B866</paraID>
      <start>8</start>
      <end>15</end>
      <status>unmodified</status>
      <modifiedWord/>
      <trackRevisions>false</trackRevisions>
    </reviewItem>
    <reviewItem>
      <errorID>8ecf0dba-79a5-487f-9939-66e0b349db5d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 58C7D74</paraID>
      <start>7</start>
      <end>8</end>
      <status>unmodified</status>
      <modifiedWord/>
      <trackRevisions>false</trackRevisions>
    </reviewItem>
    <reviewItem>
      <errorID>dddf4ef4-33b4-470f-99b4-31f04d2eb843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58C7D74</paraID>
      <start>8</start>
      <end>15</end>
      <status>unmodified</status>
      <modifiedWord/>
      <trackRevisions>false</trackRevisions>
    </reviewItem>
    <reviewItem>
      <errorID>d0c676b3-e74d-4556-9a3e-25611dd3ec7b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6CDFCF79</paraID>
      <start>0</start>
      <end>1</end>
      <status>unmodified</status>
      <modifiedWord/>
      <trackRevisions>false</trackRevisions>
    </reviewItem>
    <reviewItem>
      <errorID>94bc9186-2306-49e2-83df-3dce0a9333b1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40406170</paraID>
      <start>0</start>
      <end>1</end>
      <status>unmodified</status>
      <modifiedWord/>
      <trackRevisions>false</trackRevisions>
    </reviewItem>
    <reviewItem>
      <errorID>dc43fcd6-2106-4522-88c4-50f5d309f301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7A379958</paraID>
      <start>14</start>
      <end>15</end>
      <status>unmodified</status>
      <modifiedWord/>
      <trackRevisions>false</trackRevisions>
    </reviewItem>
    <reviewItem>
      <errorID>7ad75cbe-ff8e-479e-b0ae-c9aea65ba2a2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7A379958</paraID>
      <start>16</start>
      <end>17</end>
      <status>unmodified</status>
      <modifiedWord/>
      <trackRevisions>false</trackRevisions>
    </reviewItem>
    <reviewItem>
      <errorID>ec01afc9-25aa-48c3-b111-82b9f114cedf</errorID>
      <errorWord>&gt;</errorWord>
      <group>L1_Punc</group>
      <groupName>标点问题</groupName>
      <ability>L2_Punc_CN</ability>
      <abilityName>标点符号问题</abilityName>
      <candidateList/>
      <explain/>
      <paraID>7F3E20EE</paraID>
      <start>0</start>
      <end>1</end>
      <status>unmodified</status>
      <modifiedWord/>
      <trackRevisions>false</trackRevisions>
    </reviewItem>
    <reviewItem>
      <errorID>dc3f05b7-0206-4b1e-91ad-e01aeb92009e</errorID>
      <errorWord>&gt;</errorWord>
      <group>L1_Punc</group>
      <groupName>标点问题</groupName>
      <ability>L2_Punc_CN</ability>
      <abilityName>标点符号问题</abilityName>
      <candidateList/>
      <explain/>
      <paraID>4587BD7C</paraID>
      <start>0</start>
      <end>1</end>
      <status>unmodified</status>
      <modifiedWord/>
      <trackRevisions>false</trackRevisions>
    </reviewItem>
    <reviewItem>
      <errorID>e283ac77-30fd-46f7-8a7d-b1f6f43d5992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42F4EBB5</paraID>
      <start>25</start>
      <end>26</end>
      <status>unmodified</status>
      <modifiedWord/>
      <trackRevisions>false</trackRevisions>
    </reviewItem>
    <reviewItem>
      <errorID>faceb756-83ab-4942-ab17-c42b68dbfde3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985AC58</paraID>
      <start>8</start>
      <end>15</end>
      <status>unmodified</status>
      <modifiedWord/>
      <trackRevisions>false</trackRevisions>
    </reviewItem>
    <reviewItem>
      <errorID>7fd56bed-b4b1-4ed1-9430-25b23692c730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47DACF99</paraID>
      <start>7</start>
      <end>8</end>
      <status>unmodified</status>
      <modifiedWord/>
      <trackRevisions>false</trackRevisions>
    </reviewItem>
    <reviewItem>
      <errorID>f056fd62-a55d-40e3-9b2c-3ba99c09a9d6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47DACF99</paraID>
      <start>8</start>
      <end>15</end>
      <status>unmodified</status>
      <modifiedWord/>
      <trackRevisions>false</trackRevisions>
    </reviewItem>
    <reviewItem>
      <errorID>24a90f90-4675-4591-835d-30256a057235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7C1FADDF</paraID>
      <start>0</start>
      <end>1</end>
      <status>unmodified</status>
      <modifiedWord/>
      <trackRevisions>false</trackRevisions>
    </reviewItem>
    <reviewItem>
      <errorID>5194d955-e96b-42fc-917c-abc2600a7f4f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77DEB039</paraID>
      <start>14</start>
      <end>15</end>
      <status>unmodified</status>
      <modifiedWord/>
      <trackRevisions>false</trackRevisions>
    </reviewItem>
    <reviewItem>
      <errorID>61ab1533-7f8b-4581-94c8-aae31fb0b9fb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77DEB039</paraID>
      <start>16</start>
      <end>17</end>
      <status>unmodified</status>
      <modifiedWord/>
      <trackRevisions>false</trackRevisions>
    </reviewItem>
    <reviewItem>
      <errorID>51f74df2-9bf7-45e7-85a5-9cadbdaf505f</errorID>
      <errorWord>&gt;</errorWord>
      <group>L1_Punc</group>
      <groupName>标点问题</groupName>
      <ability>L2_Punc_CN</ability>
      <abilityName>标点符号问题</abilityName>
      <candidateList/>
      <explain/>
      <paraID>2FB68C54</paraID>
      <start>0</start>
      <end>1</end>
      <status>unmodified</status>
      <modifiedWord/>
      <trackRevisions>false</trackRevisions>
    </reviewItem>
    <reviewItem>
      <errorID>090a140d-4334-47f8-bfd7-5f1331174e5d</errorID>
      <errorWord>&gt;</errorWord>
      <group>L1_Punc</group>
      <groupName>标点问题</groupName>
      <ability>L2_Punc_CN</ability>
      <abilityName>标点符号问题</abilityName>
      <candidateList/>
      <explain/>
      <paraID>363D84B9</paraID>
      <start>0</start>
      <end>1</end>
      <status>unmodified</status>
      <modifiedWord/>
      <trackRevisions>false</trackRevisions>
    </reviewItem>
    <reviewItem>
      <errorID>d0581c83-ece4-4396-8cc7-3a55b5262158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30D00291</paraID>
      <start>25</start>
      <end>26</end>
      <status>unmodified</status>
      <modifiedWord/>
      <trackRevisions>false</trackRevisions>
    </reviewItem>
    <reviewItem>
      <errorID>e1dd5577-3a7e-4d7d-bf8f-e15c6a2a5f5f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264376B</paraID>
      <start>8</start>
      <end>15</end>
      <status>unmodified</status>
      <modifiedWord/>
      <trackRevisions>false</trackRevisions>
    </reviewItem>
    <reviewItem>
      <errorID>85ffc464-ad78-4562-9ba8-a48dc60b2f2a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660CF7D5</paraID>
      <start>7</start>
      <end>8</end>
      <status>unmodified</status>
      <modifiedWord/>
      <trackRevisions>false</trackRevisions>
    </reviewItem>
    <reviewItem>
      <errorID>421e6390-618e-437a-a0ea-ba8eb608707e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660CF7D5</paraID>
      <start>8</start>
      <end>15</end>
      <status>unmodified</status>
      <modifiedWord/>
      <trackRevisions>false</trackRevisions>
    </reviewItem>
    <reviewItem>
      <errorID>ab61c26a-5815-4cf6-965b-3bfd9bf1ee1f</errorID>
      <errorWord>〉</errorWord>
      <group>L1_Punc</group>
      <groupName>标点问题</groupName>
      <ability>L2_Punc_CN</ability>
      <abilityName>标点符号问题</abilityName>
      <candidateList/>
      <explain/>
      <paraID>6B3A9AD3</paraID>
      <start>0</start>
      <end>1</end>
      <status>unmodified</status>
      <modifiedWord/>
      <trackRevisions>false</trackRevisions>
    </reviewItem>
    <reviewItem>
      <errorID>8fc8397b-8dff-4425-b9d6-21642c03f281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33C0C3E5</paraID>
      <start>0</start>
      <end>1</end>
      <status>unmodified</status>
      <modifiedWord/>
      <trackRevisions>false</trackRevisions>
    </reviewItem>
    <reviewItem>
      <errorID>e74f3c67-9b2e-4059-9eba-fce526045d5e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72831222</paraID>
      <start>14</start>
      <end>15</end>
      <status>unmodified</status>
      <modifiedWord/>
      <trackRevisions>false</trackRevisions>
    </reviewItem>
    <reviewItem>
      <errorID>0415e107-cabb-4b9f-b950-a5b68adde499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72831222</paraID>
      <start>16</start>
      <end>17</end>
      <status>unmodified</status>
      <modifiedWord/>
      <trackRevisions>false</trackRevisions>
    </reviewItem>
    <reviewItem>
      <errorID>634d3823-69d9-49da-81bb-d36dc1d31fb5</errorID>
      <errorWord>&gt;</errorWord>
      <group>L1_Punc</group>
      <groupName>标点问题</groupName>
      <ability>L2_Punc_CN</ability>
      <abilityName>标点符号问题</abilityName>
      <candidateList/>
      <explain/>
      <paraID>114F5CB1</paraID>
      <start>0</start>
      <end>1</end>
      <status>unmodified</status>
      <modifiedWord/>
      <trackRevisions>false</trackRevisions>
    </reviewItem>
    <reviewItem>
      <errorID>006aaacb-47b6-4e36-970d-d4256eb4621e</errorID>
      <errorWord>&gt;</errorWord>
      <group>L1_Punc</group>
      <groupName>标点问题</groupName>
      <ability>L2_Punc_CN</ability>
      <abilityName>标点符号问题</abilityName>
      <candidateList/>
      <explain/>
      <paraID>6F4E6E86</paraID>
      <start>0</start>
      <end>1</end>
      <status>unmodified</status>
      <modifiedWord/>
      <trackRevisions>false</trackRevisions>
    </reviewItem>
    <reviewItem>
      <errorID>0daa7bdc-e5a3-47dd-af9a-4e6f7488f86d</errorID>
      <errorWord>曾</errorWord>
      <group>L1_Word</group>
      <groupName>字词问题</groupName>
      <ability>L2_Typo</ability>
      <abilityName>字词错误</abilityName>
      <candidateList>
        <item>曾有</item>
      </candidateList>
      <explain/>
      <paraID> C9FD59F</paraID>
      <start>25</start>
      <end>26</end>
      <status>unmodified</status>
      <modifiedWord/>
      <trackRevisions>false</trackRevisions>
    </reviewItem>
    <reviewItem>
      <errorID>d37b9fc4-7522-40c4-9829-f2ae8ba78e75</errorID>
      <errorWord>98％-95％</errorWord>
      <group>L1_Knowledge</group>
      <groupName>知识性问题</groupName>
      <ability>L2_Knowledge</ability>
      <abilityName>其他知识</abilityName>
      <candidateList>
        <item>98％—95％</item>
      </candidateList>
      <explain>1. “98％-95％”中的单位“％”仅出现在后一个数字上，容易引起歧义；根据《现代汉语标点符号数字用法规范手册》，数字表示范围两边需要使用统一的格式。2.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526125FF</paraID>
      <start>8</start>
      <end>15</end>
      <status>unmodified</status>
      <modifiedWord/>
      <trackRevisions>false</trackRevisions>
    </reviewItem>
    <reviewItem>
      <errorID>1f8b2965-79d6-461a-8271-1a6879b2b9ae</errorID>
      <errorWord>率</errorWord>
      <group>L1_Word</group>
      <groupName>字词问题</groupName>
      <ability>L2_Typo</ability>
      <abilityName>字词错误</abilityName>
      <candidateList>
        <item>率在</item>
      </candidateList>
      <explain/>
      <paraID>629814DA</paraID>
      <start>7</start>
      <end>8</end>
      <status>unmodified</status>
      <modifiedWord/>
      <trackRevisions>false</trackRevisions>
    </reviewItem>
    <reviewItem>
      <errorID>8b1be42d-4055-486a-8d1e-942368a8fd64</errorID>
      <errorWord>95％-90％</errorWord>
      <group>L1_Knowledge</group>
      <groupName>知识性问题</groupName>
      <ability>L2_Knowledge</ability>
      <abilityName>其他知识</abilityName>
      <candidateList>
        <item>95％—90％</item>
      </candidateList>
      <explain>1. “95％-90％”中的单位“％”仅出现在后一个数字上，容易引起歧义；根据《现代汉语标点符号数字用法规范手册》，数字表示范围两边需要使用统一的格式。2.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629814DA</paraID>
      <start>8</start>
      <end>15</end>
      <status>unmodified</status>
      <modifiedWord/>
      <trackRevisions>false</trackRevisions>
    </reviewItem>
    <reviewItem>
      <errorID>556abea1-5dca-47a3-9aba-3cb8cc9308ec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48690AAC</paraID>
      <start>0</start>
      <end>1</end>
      <status>unmodified</status>
      <modifiedWord/>
      <trackRevisions>false</trackRevisions>
    </reviewItem>
    <reviewItem>
      <errorID>b2630956-738b-451d-a41d-1477b25e85e0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4EEA9ADB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87c123-123e-44a6-b0fd-8070637761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2026-06-24T10:15:00Z</dcterms:created>
  <dc:creator>七曦</dc:creator>
  <cp:lastModifiedBy>Administrator</cp:lastModifiedBy>
  <dcterms:modified xsi:type="dcterms:W3CDTF">2026-06-24T11:11:46Z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FA3F749F7111490C8E8101C1F6CC7CC2_11</vt:lpwstr>
  </property>
  <property fmtid="{D5CDD505-2E9C-101B-9397-08002B2CF9AE}" pid="4" name="KSOTemplateDocerSaveRecord">
    <vt:lpwstr>eyJoZGlkIjoiNjQyMWMzMmMzZGU3ZWIzNzM0Njk3MTY5MDMxYWZmYzUiLCJ1c2VySWQiOiI1NjI1MTA3MTUifQ==</vt:lpwstr>
  </property>
</Properties>
</file>