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A137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仿宋_GB2312"/>
          <w:color w:val="auto"/>
          <w:spacing w:val="17"/>
          <w:sz w:val="32"/>
          <w:szCs w:val="32"/>
          <w:lang w:val="en-US" w:eastAsia="zh-CN"/>
        </w:rPr>
      </w:pPr>
    </w:p>
    <w:p w14:paraId="15BBF589">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color w:val="auto"/>
          <w:spacing w:val="15"/>
          <w:sz w:val="44"/>
          <w:szCs w:val="44"/>
          <w:lang w:val="en-US" w:eastAsia="zh-CN"/>
        </w:rPr>
      </w:pPr>
      <w:r>
        <w:rPr>
          <w:rFonts w:hint="eastAsia" w:ascii="Times New Roman" w:hAnsi="Times New Roman" w:eastAsia="方正小标宋简体" w:cs="方正小标宋简体"/>
          <w:color w:val="auto"/>
          <w:spacing w:val="15"/>
          <w:sz w:val="44"/>
          <w:szCs w:val="44"/>
          <w:lang w:eastAsia="zh-CN"/>
        </w:rPr>
        <w:t>关于完善</w:t>
      </w:r>
      <w:r>
        <w:rPr>
          <w:rFonts w:hint="eastAsia" w:ascii="Times New Roman" w:hAnsi="Times New Roman" w:eastAsia="方正小标宋简体" w:cs="方正小标宋简体"/>
          <w:color w:val="auto"/>
          <w:spacing w:val="15"/>
          <w:sz w:val="44"/>
          <w:szCs w:val="44"/>
          <w:lang w:val="en-US" w:eastAsia="zh-CN"/>
        </w:rPr>
        <w:t>哈密市工矿</w:t>
      </w:r>
      <w:r>
        <w:rPr>
          <w:rFonts w:hint="eastAsia" w:ascii="Times New Roman" w:hAnsi="Times New Roman" w:eastAsia="方正小标宋简体" w:cs="方正小标宋简体"/>
          <w:color w:val="auto"/>
          <w:spacing w:val="15"/>
          <w:sz w:val="44"/>
          <w:szCs w:val="44"/>
          <w:lang w:eastAsia="zh-CN"/>
        </w:rPr>
        <w:t>用地</w:t>
      </w:r>
      <w:r>
        <w:rPr>
          <w:rFonts w:hint="eastAsia" w:ascii="Times New Roman" w:hAnsi="Times New Roman" w:eastAsia="方正小标宋简体" w:cs="方正小标宋简体"/>
          <w:color w:val="auto"/>
          <w:spacing w:val="15"/>
          <w:sz w:val="44"/>
          <w:szCs w:val="44"/>
          <w:lang w:val="en-US" w:eastAsia="zh-CN"/>
        </w:rPr>
        <w:t>供应管理的</w:t>
      </w:r>
    </w:p>
    <w:p w14:paraId="57658875">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color w:val="auto"/>
          <w:spacing w:val="15"/>
          <w:sz w:val="44"/>
          <w:szCs w:val="44"/>
          <w:lang w:eastAsia="zh-CN"/>
        </w:rPr>
      </w:pPr>
      <w:r>
        <w:rPr>
          <w:rFonts w:hint="eastAsia" w:ascii="Times New Roman" w:hAnsi="Times New Roman" w:eastAsia="方正小标宋简体" w:cs="方正小标宋简体"/>
          <w:color w:val="auto"/>
          <w:spacing w:val="15"/>
          <w:sz w:val="44"/>
          <w:szCs w:val="44"/>
          <w:lang w:eastAsia="zh-CN"/>
        </w:rPr>
        <w:t>通知(</w:t>
      </w:r>
      <w:r>
        <w:rPr>
          <w:rFonts w:hint="eastAsia" w:ascii="Times New Roman" w:hAnsi="Times New Roman" w:eastAsia="方正小标宋简体" w:cs="方正小标宋简体"/>
          <w:color w:val="auto"/>
          <w:spacing w:val="15"/>
          <w:sz w:val="44"/>
          <w:szCs w:val="44"/>
          <w:lang w:val="en-US" w:eastAsia="zh-CN"/>
        </w:rPr>
        <w:t>征求意见</w:t>
      </w:r>
      <w:r>
        <w:rPr>
          <w:rFonts w:hint="eastAsia" w:ascii="Times New Roman" w:hAnsi="Times New Roman" w:eastAsia="方正小标宋简体" w:cs="方正小标宋简体"/>
          <w:color w:val="auto"/>
          <w:spacing w:val="15"/>
          <w:sz w:val="44"/>
          <w:szCs w:val="44"/>
          <w:lang w:eastAsia="zh-CN"/>
        </w:rPr>
        <w:t>稿)</w:t>
      </w:r>
    </w:p>
    <w:p w14:paraId="53A50434">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仿宋_GB2312"/>
          <w:kern w:val="2"/>
          <w:sz w:val="32"/>
          <w:szCs w:val="40"/>
          <w:lang w:val="en-US" w:eastAsia="zh-CN" w:bidi="ar-SA"/>
        </w:rPr>
      </w:pPr>
    </w:p>
    <w:p w14:paraId="2BF3326C">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2"/>
          <w:sz w:val="32"/>
          <w:szCs w:val="40"/>
          <w:lang w:val="en-US" w:eastAsia="zh-CN" w:bidi="ar-SA"/>
        </w:rPr>
      </w:pPr>
      <w:r>
        <w:rPr>
          <w:rFonts w:hint="eastAsia" w:ascii="Times New Roman" w:hAnsi="Times New Roman" w:eastAsia="仿宋_GB2312" w:cs="仿宋_GB2312"/>
          <w:kern w:val="2"/>
          <w:sz w:val="32"/>
          <w:szCs w:val="40"/>
          <w:lang w:val="en-US" w:eastAsia="zh-CN" w:bidi="ar-SA"/>
        </w:rPr>
        <w:t>为深入贯彻落实自然资源部《关于完善工业用地供应政策支持实体经济发展的通知》（自然资发〔2022〕201号）、《自然资源要素支撑产业高质量发展指导目录（2024年本）》）要求，进一步强化土地要素保障，健全工矿用地供应管理机制，推动工矿用地供应由出让为主向租赁、出让并重转变，有效降低企业用地成本，促进全市工矿经济提质增效、平稳增长，结合我市实际，现就有关事项通知如下：</w:t>
      </w:r>
    </w:p>
    <w:p w14:paraId="21F1C0B2">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sz w:val="32"/>
          <w:szCs w:val="40"/>
          <w:lang w:val="en-US" w:eastAsia="zh-CN"/>
        </w:rPr>
      </w:pPr>
      <w:r>
        <w:rPr>
          <w:rFonts w:hint="eastAsia" w:ascii="Times New Roman" w:hAnsi="Times New Roman" w:eastAsia="黑体" w:cs="黑体"/>
          <w:sz w:val="32"/>
          <w:szCs w:val="40"/>
          <w:lang w:val="en-US" w:eastAsia="zh-CN"/>
        </w:rPr>
        <w:t>适用范围</w:t>
      </w:r>
    </w:p>
    <w:p w14:paraId="4E21E5C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kern w:val="2"/>
          <w:sz w:val="32"/>
          <w:szCs w:val="40"/>
          <w:lang w:val="en-US" w:eastAsia="zh-CN" w:bidi="ar-SA"/>
        </w:rPr>
      </w:pPr>
      <w:r>
        <w:rPr>
          <w:rFonts w:hint="eastAsia" w:ascii="Times New Roman" w:hAnsi="Times New Roman" w:eastAsia="仿宋_GB2312" w:cs="仿宋_GB2312"/>
          <w:kern w:val="2"/>
          <w:sz w:val="32"/>
          <w:szCs w:val="40"/>
          <w:lang w:val="en-US" w:eastAsia="zh-CN" w:bidi="ar-SA"/>
        </w:rPr>
        <w:t>本通知适用于我市供应的工矿用地，除按国家规定的工矿用地最高出让年限出让外，可采取弹性年期出让、先租后让、长期租赁等方式供应。</w:t>
      </w:r>
    </w:p>
    <w:p w14:paraId="138028A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黑体"/>
          <w:sz w:val="32"/>
          <w:szCs w:val="40"/>
          <w:lang w:val="en-US" w:eastAsia="zh-CN"/>
        </w:rPr>
      </w:pPr>
      <w:r>
        <w:rPr>
          <w:rFonts w:hint="eastAsia" w:ascii="Times New Roman" w:hAnsi="Times New Roman" w:eastAsia="黑体" w:cs="黑体"/>
          <w:sz w:val="32"/>
          <w:szCs w:val="40"/>
          <w:lang w:val="en-US" w:eastAsia="zh-CN"/>
        </w:rPr>
        <w:t>二、供应方式、年限及地价租金</w:t>
      </w:r>
    </w:p>
    <w:p w14:paraId="3E887E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仿宋_GB2312"/>
          <w:color w:val="FF0000"/>
          <w:sz w:val="32"/>
          <w:szCs w:val="40"/>
          <w:lang w:val="en-US" w:eastAsia="zh-CN"/>
        </w:rPr>
      </w:pPr>
      <w:r>
        <w:rPr>
          <w:rFonts w:hint="eastAsia" w:ascii="Times New Roman" w:hAnsi="Times New Roman" w:eastAsia="仿宋_GB2312" w:cs="仿宋_GB2312"/>
          <w:sz w:val="32"/>
          <w:szCs w:val="40"/>
          <w:lang w:val="en-US" w:eastAsia="zh-CN"/>
        </w:rPr>
        <w:t>工矿用地供应遵循“公开公平、节约集约、履约监</w:t>
      </w:r>
      <w:r>
        <w:rPr>
          <w:rFonts w:hint="eastAsia" w:ascii="Times New Roman" w:hAnsi="Times New Roman" w:eastAsia="仿宋_GB2312" w:cs="仿宋_GB2312"/>
          <w:kern w:val="2"/>
          <w:sz w:val="32"/>
          <w:szCs w:val="40"/>
          <w:lang w:val="en-US" w:eastAsia="zh-CN" w:bidi="ar-SA"/>
        </w:rPr>
        <w:t>管”原则，均通过招标、拍卖或挂牌方式公开供应，</w:t>
      </w:r>
      <w:r>
        <w:rPr>
          <w:rFonts w:hint="eastAsia" w:ascii="Times New Roman" w:hAnsi="Times New Roman" w:eastAsia="仿宋_GB2312" w:cs="仿宋_GB2312"/>
          <w:sz w:val="32"/>
          <w:szCs w:val="40"/>
          <w:lang w:val="en-US" w:eastAsia="zh-CN"/>
        </w:rPr>
        <w:t>工矿用地地价（租金）不得低于项目实际土地取得成本、土地前期开发成本和按规定应收取的相关费用之和。</w:t>
      </w:r>
    </w:p>
    <w:p w14:paraId="4F3879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楷体" w:hAnsi="楷体" w:eastAsia="楷体" w:cs="楷体"/>
          <w:b w:val="0"/>
          <w:bCs w:val="0"/>
          <w:sz w:val="32"/>
          <w:szCs w:val="40"/>
        </w:rPr>
        <w:t>（一）</w:t>
      </w:r>
      <w:r>
        <w:rPr>
          <w:rFonts w:hint="eastAsia" w:ascii="楷体" w:hAnsi="楷体" w:eastAsia="楷体" w:cs="楷体"/>
          <w:b w:val="0"/>
          <w:bCs w:val="0"/>
          <w:sz w:val="32"/>
          <w:szCs w:val="40"/>
          <w:lang w:val="en-US" w:eastAsia="zh-CN"/>
        </w:rPr>
        <w:t>弹性年期出让。</w:t>
      </w:r>
      <w:r>
        <w:rPr>
          <w:rFonts w:hint="eastAsia" w:ascii="Times New Roman" w:hAnsi="Times New Roman" w:eastAsia="仿宋_GB2312" w:cs="仿宋_GB2312"/>
          <w:sz w:val="32"/>
          <w:szCs w:val="40"/>
          <w:lang w:val="en-US" w:eastAsia="zh-CN"/>
        </w:rPr>
        <w:t>是指国家将工矿用地使用权在法律规定的最高出让年限以内，根据产业发展需求和产业的生命周期合理确定工矿用地使用权出让年限，以招标拍卖挂牌方式出让给土地使用者使用，并与土地受让人签订《国有建设用地使用权出让合同》，支付国有建设用地使用权出让金的行为。</w:t>
      </w:r>
    </w:p>
    <w:p w14:paraId="28A9A7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工矿用地弹性出让年期原则上不低于20年。对于国家、自治区重大产业项目、新兴产业项目等，经市人民政府批准后，可合理提高弹性出让年期，但不得超过工矿用地出让的法定最高年限50年。</w:t>
      </w:r>
    </w:p>
    <w:p w14:paraId="6DD14C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弹性年期出让用地，出让价格标底按照不低于弹性年期与最高年期的比值进行年期修正，即土地出让底价≥50年期出让评估价格×（弹性年期÷50）。</w:t>
      </w:r>
    </w:p>
    <w:p w14:paraId="55205C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40"/>
          <w:lang w:val="en-US" w:eastAsia="zh-CN"/>
        </w:rPr>
      </w:pPr>
      <w:r>
        <w:rPr>
          <w:rFonts w:hint="eastAsia" w:ascii="楷体" w:hAnsi="楷体" w:eastAsia="楷体" w:cs="楷体"/>
          <w:b w:val="0"/>
          <w:bCs w:val="0"/>
          <w:sz w:val="32"/>
          <w:szCs w:val="40"/>
          <w:lang w:val="en-US" w:eastAsia="zh-CN"/>
        </w:rPr>
        <w:t>（二）先租后让。</w:t>
      </w:r>
      <w:r>
        <w:rPr>
          <w:rFonts w:hint="eastAsia" w:ascii="Times New Roman" w:hAnsi="Times New Roman" w:eastAsia="仿宋_GB2312" w:cs="仿宋_GB2312"/>
          <w:color w:val="auto"/>
          <w:sz w:val="32"/>
          <w:szCs w:val="40"/>
          <w:lang w:val="en-US" w:eastAsia="zh-CN"/>
        </w:rPr>
        <w:t>是指自然资源部门供地时设定一定期限的租赁期，按照公开程序确定国有建设用地使用权人，先以租赁方式提供用地，承租方投资产业用地项目达到约定条件后再转为出让的供应方式。</w:t>
      </w:r>
    </w:p>
    <w:p w14:paraId="6CEB280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采取先租后让方式供应的，租赁年限一般不超过5年，出让年限与租赁年限之和不超过50年。</w:t>
      </w:r>
    </w:p>
    <w:p w14:paraId="73058B6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仿宋_GB2312"/>
          <w:color w:val="auto"/>
          <w:sz w:val="32"/>
          <w:szCs w:val="40"/>
          <w:lang w:val="en-US" w:eastAsia="zh-CN"/>
        </w:rPr>
      </w:pPr>
      <w:r>
        <w:rPr>
          <w:rFonts w:hint="eastAsia" w:ascii="Times New Roman" w:hAnsi="Times New Roman" w:eastAsia="仿宋_GB2312" w:cs="仿宋_GB2312"/>
          <w:sz w:val="32"/>
          <w:szCs w:val="40"/>
          <w:lang w:val="en-US" w:eastAsia="zh-CN"/>
        </w:rPr>
        <w:t>先租后让用地，租赁期租金按照租赁期与最高年期比值进行年期修正，即租赁期租金=竞得价／租赁和出让总年限×租赁年限。转出让后已缴租金冲抵土地出让价款。</w:t>
      </w:r>
      <w:r>
        <w:rPr>
          <w:rFonts w:hint="eastAsia" w:ascii="Times New Roman" w:hAnsi="Times New Roman" w:eastAsia="仿宋_GB2312" w:cs="仿宋_GB2312"/>
          <w:color w:val="auto"/>
          <w:sz w:val="32"/>
          <w:szCs w:val="40"/>
          <w:lang w:val="en-US" w:eastAsia="zh-CN"/>
        </w:rPr>
        <w:t>以先租后让方式供应的，土地使用权转出让后，享有出让土地使用权权能。</w:t>
      </w:r>
    </w:p>
    <w:p w14:paraId="630BF66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仿宋_GB2312"/>
          <w:b w:val="0"/>
          <w:bCs w:val="0"/>
          <w:sz w:val="32"/>
          <w:szCs w:val="40"/>
          <w:lang w:val="en-US" w:eastAsia="zh-CN"/>
        </w:rPr>
      </w:pPr>
      <w:r>
        <w:rPr>
          <w:rFonts w:hint="eastAsia" w:ascii="楷体" w:hAnsi="楷体" w:eastAsia="楷体" w:cs="楷体"/>
          <w:b w:val="0"/>
          <w:bCs w:val="0"/>
          <w:sz w:val="32"/>
          <w:szCs w:val="40"/>
          <w:lang w:val="en-US" w:eastAsia="zh-CN"/>
        </w:rPr>
        <w:t>（三）长期租赁。</w:t>
      </w:r>
      <w:r>
        <w:rPr>
          <w:rFonts w:hint="eastAsia" w:ascii="Times New Roman" w:hAnsi="Times New Roman" w:eastAsia="仿宋_GB2312" w:cs="仿宋_GB2312"/>
          <w:b w:val="0"/>
          <w:bCs w:val="0"/>
          <w:sz w:val="32"/>
          <w:szCs w:val="40"/>
          <w:lang w:val="en-US" w:eastAsia="zh-CN"/>
        </w:rPr>
        <w:t>是指整宗土地在整个合同期内均以租赁方式使用，并由土地使用权人按合同约定支付租金的供应方式。</w:t>
      </w:r>
    </w:p>
    <w:p w14:paraId="647591F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采取长期租赁方式供应的，</w:t>
      </w:r>
      <w:r>
        <w:rPr>
          <w:rFonts w:hint="eastAsia" w:ascii="Times New Roman" w:hAnsi="Times New Roman" w:eastAsia="仿宋_GB2312" w:cs="仿宋_GB2312"/>
          <w:sz w:val="32"/>
          <w:szCs w:val="40"/>
        </w:rPr>
        <w:t>租赁期限一般不低于5年、不超过20年</w:t>
      </w:r>
      <w:r>
        <w:rPr>
          <w:rFonts w:hint="eastAsia" w:ascii="Times New Roman" w:hAnsi="Times New Roman" w:eastAsia="仿宋_GB2312" w:cs="仿宋_GB2312"/>
          <w:sz w:val="32"/>
          <w:szCs w:val="40"/>
          <w:lang w:val="en-US" w:eastAsia="zh-CN"/>
        </w:rPr>
        <w:t>。</w:t>
      </w:r>
    </w:p>
    <w:p w14:paraId="6ED5505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Times New Roman" w:hAnsi="Times New Roman" w:eastAsia="仿宋_GB2312" w:cs="仿宋_GB2312"/>
          <w:sz w:val="32"/>
          <w:szCs w:val="40"/>
        </w:rPr>
      </w:pPr>
      <w:r>
        <w:rPr>
          <w:rFonts w:hint="eastAsia" w:ascii="Times New Roman" w:hAnsi="Times New Roman" w:eastAsia="仿宋_GB2312" w:cs="仿宋_GB2312"/>
          <w:sz w:val="32"/>
          <w:szCs w:val="40"/>
        </w:rPr>
        <w:t>长期租赁</w:t>
      </w:r>
      <w:r>
        <w:rPr>
          <w:rFonts w:hint="eastAsia" w:ascii="Times New Roman" w:hAnsi="Times New Roman" w:eastAsia="仿宋_GB2312" w:cs="仿宋_GB2312"/>
          <w:sz w:val="32"/>
          <w:szCs w:val="40"/>
          <w:lang w:val="en-US" w:eastAsia="zh-CN"/>
        </w:rPr>
        <w:t>用地，租赁期间租金不调整的，</w:t>
      </w:r>
      <w:r>
        <w:rPr>
          <w:rFonts w:hint="eastAsia" w:ascii="Times New Roman" w:hAnsi="Times New Roman" w:eastAsia="仿宋_GB2312" w:cs="仿宋_GB2312"/>
          <w:sz w:val="32"/>
          <w:szCs w:val="40"/>
        </w:rPr>
        <w:t>年租金标底不低于</w:t>
      </w:r>
      <w:r>
        <w:rPr>
          <w:rFonts w:hint="eastAsia" w:ascii="Times New Roman" w:hAnsi="Times New Roman" w:eastAsia="仿宋_GB2312" w:cs="仿宋_GB2312"/>
          <w:sz w:val="32"/>
          <w:szCs w:val="40"/>
          <w:lang w:val="en-US" w:eastAsia="zh-CN"/>
        </w:rPr>
        <w:t>该</w:t>
      </w:r>
      <w:r>
        <w:rPr>
          <w:rFonts w:hint="eastAsia" w:ascii="Times New Roman" w:hAnsi="Times New Roman" w:eastAsia="仿宋_GB2312" w:cs="仿宋_GB2312"/>
          <w:sz w:val="32"/>
          <w:szCs w:val="40"/>
        </w:rPr>
        <w:t>宗地50年出让评估</w:t>
      </w:r>
      <w:r>
        <w:rPr>
          <w:rFonts w:hint="eastAsia" w:ascii="Times New Roman" w:hAnsi="Times New Roman" w:eastAsia="仿宋_GB2312" w:cs="仿宋_GB2312"/>
          <w:sz w:val="32"/>
          <w:szCs w:val="40"/>
          <w:lang w:val="en-US" w:eastAsia="zh-CN"/>
        </w:rPr>
        <w:t>价格</w:t>
      </w:r>
      <w:r>
        <w:rPr>
          <w:rFonts w:hint="eastAsia" w:ascii="Times New Roman" w:hAnsi="Times New Roman" w:eastAsia="仿宋_GB2312" w:cs="仿宋_GB2312"/>
          <w:sz w:val="32"/>
          <w:szCs w:val="40"/>
        </w:rPr>
        <w:t>的2%；租金调整的，首期年租金</w:t>
      </w:r>
      <w:r>
        <w:rPr>
          <w:rFonts w:hint="eastAsia" w:ascii="Times New Roman" w:hAnsi="Times New Roman" w:eastAsia="仿宋_GB2312" w:cs="仿宋_GB2312"/>
          <w:sz w:val="32"/>
          <w:szCs w:val="40"/>
          <w:lang w:val="en-US" w:eastAsia="zh-CN"/>
        </w:rPr>
        <w:t>标底</w:t>
      </w:r>
      <w:r>
        <w:rPr>
          <w:rFonts w:hint="eastAsia" w:ascii="Times New Roman" w:hAnsi="Times New Roman" w:eastAsia="仿宋_GB2312" w:cs="仿宋_GB2312"/>
          <w:sz w:val="32"/>
          <w:szCs w:val="40"/>
        </w:rPr>
        <w:t>按上述标准确定，</w:t>
      </w:r>
      <w:r>
        <w:rPr>
          <w:rFonts w:hint="eastAsia" w:ascii="Times New Roman" w:hAnsi="Times New Roman" w:eastAsia="仿宋_GB2312" w:cs="仿宋_GB2312"/>
          <w:sz w:val="32"/>
          <w:szCs w:val="40"/>
          <w:lang w:val="en-US" w:eastAsia="zh-CN"/>
        </w:rPr>
        <w:t>租金</w:t>
      </w:r>
      <w:r>
        <w:rPr>
          <w:rFonts w:hint="eastAsia" w:ascii="Times New Roman" w:hAnsi="Times New Roman" w:eastAsia="仿宋_GB2312" w:cs="仿宋_GB2312"/>
          <w:sz w:val="32"/>
          <w:szCs w:val="40"/>
        </w:rPr>
        <w:t>调整周期不</w:t>
      </w:r>
      <w:r>
        <w:rPr>
          <w:rFonts w:hint="eastAsia" w:ascii="Times New Roman" w:hAnsi="Times New Roman" w:eastAsia="仿宋_GB2312" w:cs="仿宋_GB2312"/>
          <w:sz w:val="32"/>
          <w:szCs w:val="40"/>
          <w:lang w:val="en-US" w:eastAsia="zh-CN"/>
        </w:rPr>
        <w:t>得</w:t>
      </w:r>
      <w:r>
        <w:rPr>
          <w:rFonts w:hint="eastAsia" w:ascii="Times New Roman" w:hAnsi="Times New Roman" w:eastAsia="仿宋_GB2312" w:cs="仿宋_GB2312"/>
          <w:sz w:val="32"/>
          <w:szCs w:val="40"/>
        </w:rPr>
        <w:t>低于5年，后续</w:t>
      </w:r>
      <w:r>
        <w:rPr>
          <w:rFonts w:hint="eastAsia" w:ascii="Times New Roman" w:hAnsi="Times New Roman" w:eastAsia="仿宋_GB2312" w:cs="仿宋_GB2312"/>
          <w:sz w:val="32"/>
          <w:szCs w:val="40"/>
          <w:lang w:val="en-US" w:eastAsia="zh-CN"/>
        </w:rPr>
        <w:t>各期租金</w:t>
      </w:r>
      <w:r>
        <w:rPr>
          <w:rFonts w:hint="eastAsia" w:ascii="Times New Roman" w:hAnsi="Times New Roman" w:eastAsia="仿宋_GB2312" w:cs="仿宋_GB2312"/>
          <w:sz w:val="32"/>
          <w:szCs w:val="40"/>
        </w:rPr>
        <w:t>涨幅不</w:t>
      </w:r>
      <w:r>
        <w:rPr>
          <w:rFonts w:hint="eastAsia" w:ascii="Times New Roman" w:hAnsi="Times New Roman" w:eastAsia="仿宋_GB2312" w:cs="仿宋_GB2312"/>
          <w:sz w:val="32"/>
          <w:szCs w:val="40"/>
          <w:lang w:val="en-US" w:eastAsia="zh-CN"/>
        </w:rPr>
        <w:t>得</w:t>
      </w:r>
      <w:r>
        <w:rPr>
          <w:rFonts w:hint="eastAsia" w:ascii="Times New Roman" w:hAnsi="Times New Roman" w:eastAsia="仿宋_GB2312" w:cs="仿宋_GB2312"/>
          <w:sz w:val="32"/>
          <w:szCs w:val="40"/>
        </w:rPr>
        <w:t>高于上期租金</w:t>
      </w:r>
      <w:r>
        <w:rPr>
          <w:rFonts w:hint="eastAsia" w:ascii="Times New Roman" w:hAnsi="Times New Roman" w:eastAsia="仿宋_GB2312" w:cs="仿宋_GB2312"/>
          <w:sz w:val="32"/>
          <w:szCs w:val="40"/>
          <w:lang w:val="en-US" w:eastAsia="zh-CN"/>
        </w:rPr>
        <w:t>的</w:t>
      </w:r>
      <w:r>
        <w:rPr>
          <w:rFonts w:hint="eastAsia" w:ascii="Times New Roman" w:hAnsi="Times New Roman" w:eastAsia="仿宋_GB2312" w:cs="仿宋_GB2312"/>
          <w:sz w:val="32"/>
          <w:szCs w:val="40"/>
        </w:rPr>
        <w:t>10%。</w:t>
      </w:r>
    </w:p>
    <w:p w14:paraId="47C88AF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仿宋_GB2312"/>
          <w:color w:val="auto"/>
          <w:sz w:val="32"/>
          <w:szCs w:val="40"/>
          <w:lang w:val="en-US" w:eastAsia="zh-CN"/>
        </w:rPr>
      </w:pPr>
      <w:r>
        <w:rPr>
          <w:rFonts w:hint="eastAsia" w:ascii="Times New Roman" w:hAnsi="Times New Roman" w:eastAsia="仿宋_GB2312" w:cs="仿宋_GB2312"/>
          <w:color w:val="auto"/>
          <w:sz w:val="32"/>
          <w:szCs w:val="40"/>
          <w:lang w:val="en-US" w:eastAsia="zh-CN"/>
        </w:rPr>
        <w:t>承租人按约定支付租金并完成开发建设后，经自然资源部门同意或合同约定，可依法转让、转租或抵押土地使用权。</w:t>
      </w:r>
    </w:p>
    <w:p w14:paraId="75C92E4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sz w:val="32"/>
          <w:szCs w:val="40"/>
          <w:lang w:val="en-US" w:eastAsia="zh-CN"/>
        </w:rPr>
      </w:pPr>
      <w:r>
        <w:rPr>
          <w:rFonts w:hint="eastAsia" w:ascii="Times New Roman" w:hAnsi="Times New Roman" w:eastAsia="黑体" w:cs="黑体"/>
          <w:sz w:val="32"/>
          <w:szCs w:val="40"/>
          <w:lang w:val="en-US" w:eastAsia="zh-CN"/>
        </w:rPr>
        <w:t>三、办理程序</w:t>
      </w:r>
    </w:p>
    <w:p w14:paraId="02D26FA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楷体" w:hAnsi="楷体" w:eastAsia="楷体" w:cs="楷体"/>
          <w:b w:val="0"/>
          <w:bCs w:val="0"/>
          <w:sz w:val="32"/>
          <w:szCs w:val="40"/>
          <w:lang w:val="en-US" w:eastAsia="zh-CN"/>
        </w:rPr>
      </w:pPr>
      <w:r>
        <w:rPr>
          <w:rFonts w:hint="eastAsia" w:ascii="楷体" w:hAnsi="楷体" w:eastAsia="楷体" w:cs="楷体"/>
          <w:b w:val="0"/>
          <w:bCs w:val="0"/>
          <w:sz w:val="32"/>
          <w:szCs w:val="40"/>
          <w:lang w:val="en-US" w:eastAsia="zh-CN"/>
        </w:rPr>
        <w:t>（一）方案编制与实施</w:t>
      </w:r>
    </w:p>
    <w:p w14:paraId="7A7ABB9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自然资源</w:t>
      </w:r>
      <w:r>
        <w:rPr>
          <w:rFonts w:hint="default" w:ascii="Times New Roman" w:hAnsi="Times New Roman" w:eastAsia="仿宋_GB2312" w:cs="仿宋_GB2312"/>
          <w:sz w:val="32"/>
          <w:szCs w:val="40"/>
          <w:lang w:val="en-US" w:eastAsia="zh-CN"/>
        </w:rPr>
        <w:t>主管部门会同有关部门拟定</w:t>
      </w:r>
      <w:r>
        <w:rPr>
          <w:rFonts w:hint="eastAsia" w:ascii="Times New Roman" w:hAnsi="Times New Roman" w:eastAsia="仿宋_GB2312" w:cs="仿宋_GB2312"/>
          <w:sz w:val="32"/>
          <w:szCs w:val="40"/>
          <w:lang w:val="en-US" w:eastAsia="zh-CN"/>
        </w:rPr>
        <w:t>工矿</w:t>
      </w:r>
      <w:r>
        <w:rPr>
          <w:rFonts w:hint="default" w:ascii="Times New Roman" w:hAnsi="Times New Roman" w:eastAsia="仿宋_GB2312" w:cs="仿宋_GB2312"/>
          <w:sz w:val="32"/>
          <w:szCs w:val="40"/>
          <w:lang w:val="en-US" w:eastAsia="zh-CN"/>
        </w:rPr>
        <w:t>用地招标拍卖挂牌出让方案，明确供应方式、使用年限、产业供应前置条件、规划条件、租赁转出让条件、达到约定条件期限、出让标底或底价、租赁标底或底价、投标或竞买保证金、缴款时间和方式等内容纳入出让方案，报市级人民政府批准后，由</w:t>
      </w:r>
      <w:r>
        <w:rPr>
          <w:rFonts w:hint="eastAsia" w:ascii="Times New Roman" w:hAnsi="Times New Roman" w:eastAsia="仿宋_GB2312" w:cs="仿宋_GB2312"/>
          <w:sz w:val="32"/>
          <w:szCs w:val="40"/>
          <w:lang w:val="en-US" w:eastAsia="zh-CN"/>
        </w:rPr>
        <w:t>自然</w:t>
      </w:r>
      <w:r>
        <w:rPr>
          <w:rFonts w:hint="default" w:ascii="Times New Roman" w:hAnsi="Times New Roman" w:eastAsia="仿宋_GB2312" w:cs="仿宋_GB2312"/>
          <w:sz w:val="32"/>
          <w:szCs w:val="40"/>
          <w:lang w:val="en-US" w:eastAsia="zh-CN"/>
        </w:rPr>
        <w:t>资源部门组织实施。</w:t>
      </w:r>
    </w:p>
    <w:p w14:paraId="5299B84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default" w:ascii="楷体" w:hAnsi="楷体" w:eastAsia="楷体" w:cs="楷体"/>
          <w:b w:val="0"/>
          <w:bCs w:val="0"/>
          <w:sz w:val="32"/>
          <w:szCs w:val="40"/>
          <w:lang w:val="en-US" w:eastAsia="zh-CN"/>
        </w:rPr>
      </w:pPr>
      <w:r>
        <w:rPr>
          <w:rFonts w:hint="eastAsia" w:ascii="楷体" w:hAnsi="楷体" w:eastAsia="楷体" w:cs="楷体"/>
          <w:b w:val="0"/>
          <w:bCs w:val="0"/>
          <w:sz w:val="32"/>
          <w:szCs w:val="40"/>
          <w:lang w:val="en-US" w:eastAsia="zh-CN"/>
        </w:rPr>
        <w:t>（二）公开组织供地</w:t>
      </w:r>
    </w:p>
    <w:p w14:paraId="7CC332E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1.弹性年期出让、先租后让、长期租赁均以招标、拍卖或挂牌方式公开交易。</w:t>
      </w:r>
    </w:p>
    <w:p w14:paraId="7E21332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2.长期租赁采用挂牌方式供应。公告期届满后仅有一个申请人符合竞买资格及竞得条件的，直接确定为竞得人；申请人数量多于一个的，通过竞价方式确定竞得人。</w:t>
      </w:r>
    </w:p>
    <w:p w14:paraId="7D09837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3.先租后让实行租赁、出让一并招标拍卖挂牌，自然资源主管部门将租赁期限、转出让条件、地上建（构）筑物等内容一并公告。租赁期满达到转出让条件的，直接签订《国有建设用地使用权出让合同》。</w:t>
      </w:r>
    </w:p>
    <w:p w14:paraId="22C43AF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楷体" w:hAnsi="楷体" w:eastAsia="楷体" w:cs="楷体"/>
          <w:b w:val="0"/>
          <w:bCs w:val="0"/>
          <w:sz w:val="32"/>
          <w:szCs w:val="40"/>
          <w:lang w:val="en-US" w:eastAsia="zh-CN"/>
        </w:rPr>
      </w:pPr>
      <w:r>
        <w:rPr>
          <w:rFonts w:hint="eastAsia" w:ascii="楷体" w:hAnsi="楷体" w:eastAsia="楷体" w:cs="楷体"/>
          <w:b w:val="0"/>
          <w:bCs w:val="0"/>
          <w:sz w:val="32"/>
          <w:szCs w:val="40"/>
          <w:lang w:val="en-US" w:eastAsia="zh-CN"/>
        </w:rPr>
        <w:t>（三）合同签订与不动产登记</w:t>
      </w:r>
    </w:p>
    <w:p w14:paraId="4347C12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竞得人确定后，签订成交确认书；签订《国有建设用地使用权出让合同》或《国有建设用地使用权租赁合同》，明确产业准入、履约指标、违约责任等；国有建设用地使用权人按照合同约定依法缴纳全部土地出让金或土地租金后，可申请依法办理不动产登记。</w:t>
      </w:r>
    </w:p>
    <w:p w14:paraId="0E94FA8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黑体"/>
          <w:sz w:val="32"/>
          <w:szCs w:val="40"/>
          <w:lang w:val="en-US" w:eastAsia="zh-CN"/>
        </w:rPr>
      </w:pPr>
      <w:r>
        <w:rPr>
          <w:rFonts w:hint="eastAsia" w:ascii="Times New Roman" w:hAnsi="Times New Roman" w:eastAsia="黑体" w:cs="黑体"/>
          <w:sz w:val="32"/>
          <w:szCs w:val="40"/>
          <w:lang w:val="en-US" w:eastAsia="zh-CN"/>
        </w:rPr>
        <w:t>四、续期条件</w:t>
      </w:r>
    </w:p>
    <w:p w14:paraId="7E589C9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Times New Roman" w:hAnsi="Times New Roman" w:eastAsia="仿宋_GB2312" w:cs="仿宋_GB2312"/>
          <w:color w:val="auto"/>
          <w:sz w:val="32"/>
          <w:szCs w:val="40"/>
          <w:highlight w:val="none"/>
          <w:lang w:val="en-US" w:eastAsia="zh-CN"/>
        </w:rPr>
      </w:pPr>
      <w:r>
        <w:rPr>
          <w:rFonts w:hint="eastAsia" w:ascii="Times New Roman" w:hAnsi="Times New Roman" w:eastAsia="仿宋_GB2312" w:cs="仿宋_GB2312"/>
          <w:color w:val="auto"/>
          <w:sz w:val="32"/>
          <w:szCs w:val="40"/>
          <w:highlight w:val="none"/>
          <w:lang w:val="en-US" w:eastAsia="zh-CN"/>
        </w:rPr>
        <w:t>采取弹性年期出让、先租后让和长期租赁方式供应的，出让年期（或租赁期限）届满，土地使用者需继续使用土地的，应当在期满前6个月向出让人（或出租人）申请续期。除因社会公共利益需要或合同约定应当收回的，应准予续期。</w:t>
      </w:r>
    </w:p>
    <w:p w14:paraId="1968722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Times New Roman" w:hAnsi="Times New Roman" w:eastAsia="仿宋_GB2312" w:cs="仿宋_GB2312"/>
          <w:color w:val="auto"/>
          <w:sz w:val="32"/>
          <w:szCs w:val="40"/>
          <w:highlight w:val="none"/>
          <w:lang w:val="en-US" w:eastAsia="zh-CN"/>
        </w:rPr>
      </w:pPr>
      <w:r>
        <w:rPr>
          <w:rFonts w:hint="eastAsia" w:ascii="Times New Roman" w:hAnsi="Times New Roman" w:eastAsia="仿宋_GB2312" w:cs="仿宋_GB2312"/>
          <w:color w:val="auto"/>
          <w:sz w:val="32"/>
          <w:szCs w:val="40"/>
          <w:highlight w:val="none"/>
          <w:lang w:val="en-US" w:eastAsia="zh-CN"/>
        </w:rPr>
        <w:t>申请续期的，土地价款应当按照申请办理续期使用手续时点重新组织评估确定。</w:t>
      </w:r>
    </w:p>
    <w:p w14:paraId="2541972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sz w:val="32"/>
          <w:szCs w:val="40"/>
          <w:lang w:val="en-US" w:eastAsia="zh-CN"/>
        </w:rPr>
      </w:pPr>
      <w:r>
        <w:rPr>
          <w:rFonts w:hint="eastAsia" w:ascii="Times New Roman" w:hAnsi="Times New Roman" w:eastAsia="黑体" w:cs="黑体"/>
          <w:sz w:val="32"/>
          <w:szCs w:val="40"/>
          <w:lang w:val="en-US" w:eastAsia="zh-CN"/>
        </w:rPr>
        <w:t>五、加强履约监管</w:t>
      </w:r>
    </w:p>
    <w:p w14:paraId="5193559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Times New Roman" w:hAnsi="Times New Roman" w:eastAsia="仿宋_GB2312" w:cs="仿宋_GB2312"/>
          <w:color w:val="auto"/>
          <w:sz w:val="32"/>
          <w:szCs w:val="40"/>
          <w:highlight w:val="none"/>
          <w:lang w:val="en-US" w:eastAsia="zh-CN"/>
        </w:rPr>
      </w:pPr>
      <w:r>
        <w:rPr>
          <w:rFonts w:hint="eastAsia" w:ascii="Times New Roman" w:hAnsi="Times New Roman" w:eastAsia="仿宋_GB2312" w:cs="仿宋_GB2312"/>
          <w:color w:val="auto"/>
          <w:sz w:val="32"/>
          <w:szCs w:val="40"/>
          <w:highlight w:val="none"/>
          <w:lang w:val="en-US" w:eastAsia="zh-CN"/>
        </w:rPr>
        <w:t>自然资源主管部门严格按照出让（租赁）合同约定，常态化开展项目用地日常巡查监管，全程跟踪督促项目开工、竣工等开发建设进度。严格落实工矿用地容积率、建筑密度、投资强度等控制性指标约束，对未按合同约定时序开竣工、未达到约定用地控制指标的，依法依规督促限期整改，并严格追究相应违约责任。</w:t>
      </w:r>
    </w:p>
    <w:p w14:paraId="137187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sz w:val="32"/>
          <w:szCs w:val="40"/>
          <w:lang w:val="en-US" w:eastAsia="zh-CN"/>
        </w:rPr>
      </w:pPr>
      <w:r>
        <w:rPr>
          <w:rFonts w:hint="eastAsia" w:ascii="Times New Roman" w:hAnsi="Times New Roman" w:eastAsia="黑体" w:cs="黑体"/>
          <w:sz w:val="32"/>
          <w:szCs w:val="40"/>
          <w:lang w:val="en-US" w:eastAsia="zh-CN"/>
        </w:rPr>
        <w:t>六、鼓励政策</w:t>
      </w:r>
    </w:p>
    <w:p w14:paraId="0ECDBA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已取得工矿用地使用权的土地，在符合规划、不改变用途前提下，通过厂房加层、厂区改造、内部土地整理、开发建设地下空间等提高容积率和土地利用效率的，不再增收土地价款。</w:t>
      </w:r>
    </w:p>
    <w:p w14:paraId="1B934D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经批准在原用地范围内新建、改建、扩建工矿项目，且投资强度、建筑容积率等指标符合规定的，签订变更协议，对新增的建筑面积部分不再补缴土地出让价款。</w:t>
      </w:r>
    </w:p>
    <w:p w14:paraId="66B966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sz w:val="32"/>
          <w:szCs w:val="40"/>
          <w:lang w:val="en-US" w:eastAsia="zh-CN"/>
        </w:rPr>
      </w:pPr>
      <w:r>
        <w:rPr>
          <w:rFonts w:hint="eastAsia" w:ascii="Times New Roman" w:hAnsi="Times New Roman" w:eastAsia="黑体" w:cs="黑体"/>
          <w:sz w:val="32"/>
          <w:szCs w:val="40"/>
          <w:lang w:val="en-US" w:eastAsia="zh-CN"/>
        </w:rPr>
        <w:t>七、其他需要说明的事项</w:t>
      </w:r>
    </w:p>
    <w:p w14:paraId="0C83BB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Times New Roman" w:hAnsi="Times New Roman" w:eastAsia="仿宋_GB2312" w:cs="仿宋_GB2312"/>
          <w:sz w:val="32"/>
          <w:szCs w:val="40"/>
          <w:lang w:val="en-US" w:eastAsia="zh-CN"/>
        </w:rPr>
        <w:t>本通知自印发之日起施行。由哈密市自然资源局负责具体解释工作。</w:t>
      </w:r>
      <w:bookmarkStart w:id="0" w:name="_GoBack"/>
      <w:bookmarkEnd w:id="0"/>
    </w:p>
    <w:p w14:paraId="3E07AC1C">
      <w:pPr>
        <w:keepNext w:val="0"/>
        <w:keepLines w:val="0"/>
        <w:pageBreakBefore w:val="0"/>
        <w:widowControl w:val="0"/>
        <w:kinsoku/>
        <w:wordWrap/>
        <w:overflowPunct/>
        <w:topLinePunct w:val="0"/>
        <w:autoSpaceDE/>
        <w:autoSpaceDN/>
        <w:bidi w:val="0"/>
        <w:adjustRightInd/>
        <w:snapToGrid/>
        <w:spacing w:line="580" w:lineRule="exact"/>
        <w:ind w:firstLine="700" w:firstLineChars="200"/>
        <w:jc w:val="right"/>
        <w:textAlignment w:val="auto"/>
        <w:rPr>
          <w:rFonts w:hint="default" w:ascii="仿宋_GB2312" w:hAnsi="仿宋_GB2312" w:eastAsia="仿宋_GB2312" w:cs="仿宋_GB2312"/>
          <w:color w:val="auto"/>
          <w:spacing w:val="15"/>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E23498"/>
    <w:multiLevelType w:val="singleLevel"/>
    <w:tmpl w:val="E7E2349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06D5F"/>
    <w:rsid w:val="05F851DA"/>
    <w:rsid w:val="08557FBF"/>
    <w:rsid w:val="08AD1B24"/>
    <w:rsid w:val="0B6B667B"/>
    <w:rsid w:val="0BBC73AC"/>
    <w:rsid w:val="0FED0C51"/>
    <w:rsid w:val="11D051D2"/>
    <w:rsid w:val="16306774"/>
    <w:rsid w:val="1D776D06"/>
    <w:rsid w:val="1EB327F4"/>
    <w:rsid w:val="1EB95DF3"/>
    <w:rsid w:val="1FDF5BD5"/>
    <w:rsid w:val="22F84EEE"/>
    <w:rsid w:val="24462612"/>
    <w:rsid w:val="270C081B"/>
    <w:rsid w:val="312A4E39"/>
    <w:rsid w:val="359F79CE"/>
    <w:rsid w:val="394B7F8C"/>
    <w:rsid w:val="3D6C4254"/>
    <w:rsid w:val="50D4472B"/>
    <w:rsid w:val="54055868"/>
    <w:rsid w:val="556E34D1"/>
    <w:rsid w:val="58CB6A3A"/>
    <w:rsid w:val="590C66E0"/>
    <w:rsid w:val="5C14096D"/>
    <w:rsid w:val="5DD90EC3"/>
    <w:rsid w:val="5E1E4379"/>
    <w:rsid w:val="63782A90"/>
    <w:rsid w:val="652D1F8D"/>
    <w:rsid w:val="698A6FB3"/>
    <w:rsid w:val="6A7D10CE"/>
    <w:rsid w:val="6C4D1772"/>
    <w:rsid w:val="6D8C6249"/>
    <w:rsid w:val="6F3D018E"/>
    <w:rsid w:val="6F4F32E4"/>
    <w:rsid w:val="6FB148E0"/>
    <w:rsid w:val="798058E5"/>
    <w:rsid w:val="7AE07C8F"/>
    <w:rsid w:val="7CCC36FC"/>
    <w:rsid w:val="7D314641"/>
    <w:rsid w:val="7FE0465B"/>
    <w:rsid w:val="EF7FA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widowControl w:val="0"/>
      <w:jc w:val="both"/>
    </w:pPr>
    <w:rPr>
      <w:rFonts w:ascii="仿宋" w:hAnsi="仿宋" w:eastAsia="仿宋" w:cs="仿宋"/>
      <w:kern w:val="2"/>
      <w:sz w:val="31"/>
      <w:szCs w:val="3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1122</Words>
  <Characters>1140</Characters>
  <Lines>0</Lines>
  <Paragraphs>0</Paragraphs>
  <TotalTime>907</TotalTime>
  <ScaleCrop>false</ScaleCrop>
  <LinksUpToDate>false</LinksUpToDate>
  <CharactersWithSpaces>1140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2026-06-18T20:05:00Z</dcterms:created>
  <dc:creator>Lenovo</dc:creator>
  <cp:lastModifiedBy>Hн</cp:lastModifiedBy>
  <cp:lastPrinted>2026-07-08T02:31:00Z</cp:lastPrinted>
  <dcterms:modified xsi:type="dcterms:W3CDTF">2026-07-08T10:41:36Z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63D8A0300CD543418052956BD3912BBD</vt:lpwstr>
  </property>
  <property fmtid="{D5CDD505-2E9C-101B-9397-08002B2CF9AE}" pid="4" name="KSOTemplateDocerSaveRecord">
    <vt:lpwstr>eyJoZGlkIjoiYTNmMzU2YTk1MzVlOTEzZGM1Y2JmMTk5ZTMyMTY1MDciLCJ1c2VySWQiOiI2NjEzOTg2NTAifQ==</vt:lpwstr>
  </property>
</Properties>
</file>