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autoSpaceDE/>
        <w:autoSpaceDN/>
        <w:bidi w:val="0"/>
        <w:adjustRightInd w:val="0"/>
        <w:snapToGrid w:val="0"/>
        <w:spacing w:line="560" w:lineRule="exact"/>
        <w:ind w:firstLine="0" w:firstLineChars="0"/>
        <w:jc w:val="center"/>
        <w:textAlignment w:val="baseline"/>
        <w:outlineLvl w:val="0"/>
        <w:rPr>
          <w:rFonts w:hint="eastAsia" w:ascii="方正小标宋简体" w:hAnsi="方正小标宋简体" w:eastAsia="方正小标宋简体" w:cs="方正小标宋简体"/>
          <w:b w:val="0"/>
          <w:bCs w:val="0"/>
          <w:snapToGrid w:val="0"/>
          <w:color w:val="000000"/>
          <w:spacing w:val="0"/>
          <w:sz w:val="44"/>
          <w:szCs w:val="44"/>
          <w:lang w:val="en-US" w:eastAsia="zh-CN" w:bidi="ar-SA"/>
        </w:rPr>
      </w:pPr>
      <w:bookmarkStart w:id="0" w:name="_Toc7177_ai"/>
      <w:bookmarkStart w:id="1" w:name="_Toc3042"/>
      <w:bookmarkStart w:id="2" w:name="_Toc3454"/>
      <w:bookmarkStart w:id="3" w:name="_Toc18708"/>
      <w:bookmarkStart w:id="4" w:name="_Toc14882"/>
      <w:bookmarkStart w:id="5" w:name="_Toc32597"/>
      <w:bookmarkStart w:id="6" w:name="_Toc12485"/>
      <w:bookmarkStart w:id="7" w:name="_Toc777"/>
      <w:bookmarkStart w:id="8" w:name="_Toc20974"/>
      <w:bookmarkStart w:id="9" w:name="_Toc24586"/>
      <w:bookmarkStart w:id="10" w:name="_Toc14114"/>
      <w:bookmarkStart w:id="11" w:name="_Toc10785"/>
      <w:bookmarkStart w:id="12" w:name="_Toc12487"/>
      <w:bookmarkStart w:id="13" w:name="_Toc28896"/>
      <w:bookmarkStart w:id="14" w:name="_Toc6249"/>
      <w:bookmarkStart w:id="15" w:name="_Toc14587"/>
      <w:bookmarkStart w:id="16" w:name="_Toc9379"/>
      <w:r>
        <w:rPr>
          <w:rFonts w:hint="eastAsia" w:ascii="方正小标宋简体" w:hAnsi="方正小标宋简体" w:eastAsia="方正小标宋简体" w:cs="方正小标宋简体"/>
          <w:b w:val="0"/>
          <w:bCs w:val="0"/>
          <w:snapToGrid w:val="0"/>
          <w:color w:val="000000"/>
          <w:spacing w:val="0"/>
          <w:sz w:val="44"/>
          <w:szCs w:val="44"/>
          <w:lang w:val="en-US" w:eastAsia="zh-CN" w:bidi="ar-SA"/>
        </w:rPr>
        <w:t>哈密市林业草原保护利用“十五五”规划</w:t>
      </w:r>
    </w:p>
    <w:p>
      <w:pPr>
        <w:keepNext w:val="0"/>
        <w:keepLines w:val="0"/>
        <w:pageBreakBefore w:val="0"/>
        <w:widowControl w:val="0"/>
        <w:kinsoku/>
        <w:wordWrap w:val="0"/>
        <w:overflowPunct/>
        <w:topLinePunct/>
        <w:autoSpaceDE/>
        <w:autoSpaceDN/>
        <w:bidi w:val="0"/>
        <w:adjustRightInd w:val="0"/>
        <w:snapToGrid w:val="0"/>
        <w:spacing w:line="560" w:lineRule="exact"/>
        <w:ind w:firstLine="0" w:firstLineChars="0"/>
        <w:jc w:val="center"/>
        <w:textAlignment w:val="baseline"/>
        <w:outlineLvl w:val="0"/>
        <w:rPr>
          <w:rFonts w:hint="eastAsia"/>
          <w:lang w:val="en-US" w:eastAsia="zh-CN"/>
        </w:rPr>
      </w:pPr>
      <w:r>
        <w:rPr>
          <w:rFonts w:hint="eastAsia" w:ascii="楷体_GB2312" w:hAnsi="楷体_GB2312" w:eastAsia="楷体_GB2312" w:cs="楷体_GB2312"/>
          <w:b w:val="0"/>
          <w:bCs w:val="0"/>
          <w:snapToGrid w:val="0"/>
          <w:color w:val="000000"/>
          <w:spacing w:val="0"/>
          <w:sz w:val="32"/>
          <w:szCs w:val="32"/>
          <w:lang w:val="en-US" w:eastAsia="zh-CN" w:bidi="ar-SA"/>
        </w:rPr>
        <w:t>（征求意见稿）</w:t>
      </w:r>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r>
        <w:rPr>
          <w:rFonts w:hint="eastAsia" w:ascii="Times New Roman" w:hAnsi="Times New Roman" w:eastAsia="黑体" w:cs="黑体"/>
          <w:b w:val="0"/>
          <w:bCs w:val="0"/>
          <w:snapToGrid w:val="0"/>
          <w:color w:val="000000"/>
          <w:spacing w:val="0"/>
          <w:sz w:val="32"/>
          <w:szCs w:val="31"/>
          <w:lang w:val="en-US" w:eastAsia="zh-CN" w:bidi="ar-SA"/>
        </w:rPr>
        <w:t>第一章 总体</w:t>
      </w:r>
      <w:bookmarkEnd w:id="0"/>
      <w:r>
        <w:rPr>
          <w:rFonts w:hint="eastAsia" w:ascii="Times New Roman" w:hAnsi="Times New Roman" w:eastAsia="黑体" w:cs="黑体"/>
          <w:b w:val="0"/>
          <w:bCs w:val="0"/>
          <w:snapToGrid w:val="0"/>
          <w:color w:val="000000"/>
          <w:spacing w:val="0"/>
          <w:sz w:val="32"/>
          <w:szCs w:val="31"/>
          <w:lang w:val="en-US" w:eastAsia="zh-CN" w:bidi="ar-SA"/>
        </w:rPr>
        <w:t>思路</w:t>
      </w:r>
      <w:bookmarkEnd w:id="1"/>
      <w:bookmarkEnd w:id="2"/>
      <w:bookmarkEnd w:id="3"/>
      <w:bookmarkEnd w:id="4"/>
      <w:bookmarkEnd w:id="5"/>
      <w:bookmarkEnd w:id="6"/>
      <w:bookmarkEnd w:id="7"/>
      <w:bookmarkEnd w:id="8"/>
    </w:p>
    <w:bookmarkEnd w:id="9"/>
    <w:bookmarkEnd w:id="10"/>
    <w:bookmarkEnd w:id="11"/>
    <w:bookmarkEnd w:id="12"/>
    <w:bookmarkEnd w:id="13"/>
    <w:bookmarkEnd w:id="14"/>
    <w:bookmarkEnd w:id="15"/>
    <w:bookmarkEnd w:id="16"/>
    <w:p>
      <w:pPr>
        <w:keepNext w:val="0"/>
        <w:keepLines w:val="0"/>
        <w:pageBreakBefore w:val="0"/>
        <w:widowControl w:val="0"/>
        <w:kinsoku/>
        <w:wordWrap w:val="0"/>
        <w:overflowPunct/>
        <w:topLinePunct/>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17" w:name="_Toc5130"/>
      <w:bookmarkStart w:id="18" w:name="_Toc15403"/>
      <w:bookmarkStart w:id="19" w:name="_Toc20570"/>
      <w:bookmarkStart w:id="20" w:name="_Toc29492"/>
      <w:bookmarkStart w:id="21" w:name="_Toc13886"/>
      <w:bookmarkStart w:id="22" w:name="_Toc31504"/>
      <w:bookmarkStart w:id="23" w:name="_Toc27764"/>
      <w:bookmarkStart w:id="24" w:name="_Toc24923"/>
      <w:r>
        <w:rPr>
          <w:rFonts w:hint="eastAsia" w:ascii="Times New Roman" w:hAnsi="Times New Roman" w:eastAsia="黑体" w:cs="楷体"/>
          <w:bCs/>
          <w:snapToGrid w:val="0"/>
          <w:color w:val="000000"/>
          <w:spacing w:val="0"/>
          <w:sz w:val="32"/>
          <w:szCs w:val="32"/>
          <w:lang w:val="en-US" w:eastAsia="zh-CN" w:bidi="ar-SA"/>
        </w:rPr>
        <w:t>一、指导思想</w:t>
      </w:r>
      <w:bookmarkEnd w:id="17"/>
      <w:bookmarkEnd w:id="18"/>
      <w:bookmarkEnd w:id="19"/>
      <w:bookmarkEnd w:id="20"/>
      <w:bookmarkEnd w:id="21"/>
      <w:bookmarkEnd w:id="22"/>
      <w:bookmarkEnd w:id="23"/>
      <w:bookmarkEnd w:id="24"/>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仿宋_GB2312" w:hAnsi="仿宋_GB2312" w:eastAsia="仿宋_GB2312" w:cs="仿宋_GB2312"/>
          <w:snapToGrid w:val="0"/>
          <w:color w:val="000000"/>
          <w:spacing w:val="0"/>
          <w:kern w:val="0"/>
          <w:sz w:val="32"/>
          <w:szCs w:val="21"/>
          <w:lang w:eastAsia="zh-CN"/>
        </w:rPr>
      </w:pPr>
      <w:r>
        <w:rPr>
          <w:rFonts w:hint="eastAsia" w:ascii="仿宋_GB2312" w:hAnsi="仿宋_GB2312" w:eastAsia="仿宋_GB2312" w:cs="仿宋_GB2312"/>
          <w:snapToGrid w:val="0"/>
          <w:color w:val="000000"/>
          <w:spacing w:val="0"/>
          <w:kern w:val="0"/>
          <w:sz w:val="32"/>
          <w:szCs w:val="21"/>
          <w:lang w:eastAsia="zh-CN"/>
        </w:rPr>
        <w:t>立足哈密市极干旱、干旱区的生态本底和“四山夹三盆”的自然地理格局，坚持以水定绿、以水定地、量水而行，以全面推行林长制为引领，坚持科学保护、系统治理、合理利用，统筹处理好保护与利用、当前与长远的关系，加快构建生态效益、经济效益与社会效益相统一的林草保护利用新格局，推动生态保护与富民产业协同共促发展，为建设美丽哈密、美丽新疆提供坚实的生态支撑。</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25" w:name="_Toc7154"/>
      <w:bookmarkStart w:id="26" w:name="_Toc6671"/>
      <w:bookmarkStart w:id="27" w:name="_Toc22939"/>
      <w:bookmarkStart w:id="28" w:name="_Toc20116"/>
      <w:bookmarkStart w:id="29" w:name="_Toc7029"/>
      <w:bookmarkStart w:id="30" w:name="_Toc22742"/>
      <w:bookmarkStart w:id="31" w:name="_Toc8938"/>
      <w:bookmarkStart w:id="32" w:name="_Toc22373"/>
      <w:r>
        <w:rPr>
          <w:rFonts w:hint="eastAsia" w:ascii="Times New Roman" w:hAnsi="Times New Roman" w:eastAsia="黑体" w:cs="楷体"/>
          <w:bCs/>
          <w:snapToGrid w:val="0"/>
          <w:color w:val="000000"/>
          <w:spacing w:val="0"/>
          <w:sz w:val="32"/>
          <w:szCs w:val="32"/>
          <w:lang w:val="en-US" w:eastAsia="zh-CN" w:bidi="ar-SA"/>
        </w:rPr>
        <w:t>二、规划目标</w:t>
      </w:r>
      <w:bookmarkEnd w:id="25"/>
      <w:bookmarkEnd w:id="26"/>
      <w:bookmarkEnd w:id="27"/>
      <w:bookmarkEnd w:id="28"/>
      <w:bookmarkEnd w:id="29"/>
      <w:bookmarkEnd w:id="30"/>
      <w:bookmarkEnd w:id="31"/>
      <w:bookmarkEnd w:id="32"/>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default" w:ascii="Times New Roman" w:hAnsi="Times New Roman" w:eastAsia="仿宋_GB2312" w:cs="Times New Roman"/>
          <w:snapToGrid w:val="0"/>
          <w:color w:val="000000"/>
          <w:spacing w:val="0"/>
          <w:kern w:val="0"/>
          <w:sz w:val="32"/>
          <w:szCs w:val="21"/>
          <w:lang w:eastAsia="zh-CN"/>
        </w:rPr>
        <w:t>到2030年，哈密市林草生态保护与利用取得显著成效，生态安全屏障更加稳固，资源保护利用效率明显提升，生态系统质量和稳定性持续增强，绿色发展能力不断提升，基本形成与水资源承载能力相适应、与自然资源禀赋和生态功能定位相协调的林草保护利用新格局。</w:t>
      </w:r>
    </w:p>
    <w:p>
      <w:pPr>
        <w:keepNext w:val="0"/>
        <w:keepLines w:val="0"/>
        <w:pageBreakBefore w:val="0"/>
        <w:widowControl w:val="0"/>
        <w:kinsoku/>
        <w:wordWrap/>
        <w:overflowPunct/>
        <w:topLinePunct/>
        <w:autoSpaceDE w:val="0"/>
        <w:autoSpaceDN/>
        <w:bidi w:val="0"/>
        <w:adjustRightInd w:val="0"/>
        <w:snapToGrid w:val="0"/>
        <w:spacing w:line="560" w:lineRule="exact"/>
        <w:ind w:firstLine="643"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default" w:ascii="Times New Roman" w:hAnsi="Times New Roman" w:eastAsia="仿宋_GB2312" w:cs="Times New Roman"/>
          <w:b/>
          <w:bCs/>
          <w:snapToGrid w:val="0"/>
          <w:color w:val="000000"/>
          <w:spacing w:val="0"/>
          <w:kern w:val="0"/>
          <w:sz w:val="32"/>
          <w:szCs w:val="21"/>
          <w:lang w:eastAsia="zh-CN"/>
        </w:rPr>
        <w:t>——</w:t>
      </w:r>
      <w:r>
        <w:rPr>
          <w:rFonts w:hint="default" w:ascii="Times New Roman" w:hAnsi="Times New Roman" w:eastAsia="楷体_GB2312" w:cs="Times New Roman"/>
          <w:b w:val="0"/>
          <w:bCs w:val="0"/>
          <w:snapToGrid w:val="0"/>
          <w:color w:val="000000"/>
          <w:spacing w:val="0"/>
          <w:kern w:val="0"/>
          <w:sz w:val="32"/>
          <w:szCs w:val="21"/>
          <w:lang w:eastAsia="zh-CN"/>
        </w:rPr>
        <w:t>森林资源质量稳步提升。</w:t>
      </w:r>
      <w:r>
        <w:rPr>
          <w:rFonts w:hint="default" w:ascii="Times New Roman" w:hAnsi="Times New Roman" w:eastAsia="仿宋_GB2312" w:cs="Times New Roman"/>
          <w:snapToGrid w:val="0"/>
          <w:color w:val="000000"/>
          <w:spacing w:val="0"/>
          <w:kern w:val="0"/>
          <w:sz w:val="32"/>
          <w:szCs w:val="21"/>
          <w:lang w:eastAsia="zh-CN"/>
        </w:rPr>
        <w:t>森林覆盖率保持总体稳定</w:t>
      </w:r>
      <w:r>
        <w:rPr>
          <w:rFonts w:hint="eastAsia" w:ascii="Times New Roman" w:hAnsi="Times New Roman" w:eastAsia="仿宋_GB2312" w:cs="Times New Roman"/>
          <w:snapToGrid w:val="0"/>
          <w:color w:val="000000"/>
          <w:spacing w:val="0"/>
          <w:kern w:val="0"/>
          <w:sz w:val="32"/>
          <w:szCs w:val="21"/>
          <w:lang w:eastAsia="zh-CN"/>
        </w:rPr>
        <w:t>，</w:t>
      </w:r>
      <w:r>
        <w:rPr>
          <w:rFonts w:hint="default" w:ascii="Times New Roman" w:hAnsi="Times New Roman" w:eastAsia="仿宋_GB2312" w:cs="Times New Roman"/>
          <w:snapToGrid w:val="0"/>
          <w:color w:val="000000"/>
          <w:spacing w:val="0"/>
          <w:kern w:val="0"/>
          <w:sz w:val="32"/>
          <w:szCs w:val="21"/>
          <w:lang w:eastAsia="zh-CN"/>
        </w:rPr>
        <w:t>森林蓄积量保持现有存量基本稳定。天然林和公益林管护体系不断健全，森林生态系统碳汇能力和生态服务功能显著增强。</w:t>
      </w:r>
    </w:p>
    <w:p>
      <w:pPr>
        <w:keepNext w:val="0"/>
        <w:keepLines w:val="0"/>
        <w:pageBreakBefore w:val="0"/>
        <w:widowControl w:val="0"/>
        <w:kinsoku/>
        <w:wordWrap/>
        <w:overflowPunct/>
        <w:topLinePunct/>
        <w:autoSpaceDE w:val="0"/>
        <w:autoSpaceDN/>
        <w:bidi w:val="0"/>
        <w:adjustRightInd w:val="0"/>
        <w:snapToGrid w:val="0"/>
        <w:spacing w:line="560" w:lineRule="exact"/>
        <w:ind w:firstLine="643"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default" w:ascii="Times New Roman" w:hAnsi="Times New Roman" w:eastAsia="仿宋_GB2312" w:cs="Times New Roman"/>
          <w:b/>
          <w:bCs/>
          <w:snapToGrid w:val="0"/>
          <w:color w:val="000000"/>
          <w:spacing w:val="0"/>
          <w:kern w:val="0"/>
          <w:sz w:val="32"/>
          <w:szCs w:val="21"/>
          <w:lang w:eastAsia="zh-CN"/>
        </w:rPr>
        <w:t>——</w:t>
      </w:r>
      <w:r>
        <w:rPr>
          <w:rFonts w:hint="default" w:ascii="Times New Roman" w:hAnsi="Times New Roman" w:eastAsia="楷体_GB2312" w:cs="Times New Roman"/>
          <w:b w:val="0"/>
          <w:bCs w:val="0"/>
          <w:snapToGrid w:val="0"/>
          <w:color w:val="000000"/>
          <w:spacing w:val="0"/>
          <w:kern w:val="0"/>
          <w:sz w:val="32"/>
          <w:szCs w:val="21"/>
          <w:lang w:eastAsia="zh-CN"/>
        </w:rPr>
        <w:t>草原生态态势总体平稳。</w:t>
      </w:r>
      <w:r>
        <w:rPr>
          <w:rFonts w:hint="default" w:ascii="Times New Roman" w:hAnsi="Times New Roman" w:eastAsia="仿宋_GB2312" w:cs="Times New Roman"/>
          <w:snapToGrid w:val="0"/>
          <w:color w:val="000000"/>
          <w:spacing w:val="0"/>
          <w:kern w:val="0"/>
          <w:sz w:val="32"/>
          <w:szCs w:val="21"/>
          <w:lang w:eastAsia="zh-CN"/>
        </w:rPr>
        <w:t>着力巩固现有草原植被基础，防范局部退化。退化草原修复治理成效持续显现，基本草原保护、禁牧休牧和草畜平衡制度全面落实，草原生态保护与可持续利用水平明显提升。</w:t>
      </w:r>
    </w:p>
    <w:p>
      <w:pPr>
        <w:keepNext w:val="0"/>
        <w:keepLines w:val="0"/>
        <w:pageBreakBefore w:val="0"/>
        <w:widowControl w:val="0"/>
        <w:kinsoku/>
        <w:wordWrap/>
        <w:overflowPunct/>
        <w:topLinePunct/>
        <w:autoSpaceDE w:val="0"/>
        <w:autoSpaceDN/>
        <w:bidi w:val="0"/>
        <w:adjustRightInd w:val="0"/>
        <w:snapToGrid w:val="0"/>
        <w:spacing w:line="560" w:lineRule="exact"/>
        <w:ind w:firstLine="643"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default" w:ascii="Times New Roman" w:hAnsi="Times New Roman" w:eastAsia="仿宋_GB2312" w:cs="Times New Roman"/>
          <w:b/>
          <w:bCs/>
          <w:snapToGrid w:val="0"/>
          <w:color w:val="000000"/>
          <w:spacing w:val="0"/>
          <w:kern w:val="0"/>
          <w:sz w:val="32"/>
          <w:szCs w:val="21"/>
          <w:lang w:eastAsia="zh-CN"/>
        </w:rPr>
        <w:t>——</w:t>
      </w:r>
      <w:r>
        <w:rPr>
          <w:rFonts w:hint="default" w:ascii="Times New Roman" w:hAnsi="Times New Roman" w:eastAsia="楷体_GB2312" w:cs="Times New Roman"/>
          <w:b w:val="0"/>
          <w:bCs w:val="0"/>
          <w:snapToGrid w:val="0"/>
          <w:color w:val="000000"/>
          <w:spacing w:val="0"/>
          <w:kern w:val="0"/>
          <w:sz w:val="32"/>
          <w:szCs w:val="21"/>
          <w:lang w:eastAsia="zh-CN"/>
        </w:rPr>
        <w:t>荒漠化防治成效巩固。</w:t>
      </w:r>
      <w:r>
        <w:rPr>
          <w:rFonts w:hint="default" w:ascii="Times New Roman" w:hAnsi="Times New Roman" w:eastAsia="仿宋_GB2312" w:cs="Times New Roman"/>
          <w:snapToGrid w:val="0"/>
          <w:color w:val="000000"/>
          <w:spacing w:val="0"/>
          <w:kern w:val="0"/>
          <w:sz w:val="32"/>
          <w:szCs w:val="21"/>
          <w:lang w:eastAsia="zh-CN"/>
        </w:rPr>
        <w:t>沙化土地治理成果不断巩固提升，防沙治沙重点区域生态状况持续改善，“三北”工程建设任务稳步推进，生态防线进一步筑牢。</w:t>
      </w:r>
    </w:p>
    <w:p>
      <w:pPr>
        <w:keepNext w:val="0"/>
        <w:keepLines w:val="0"/>
        <w:pageBreakBefore w:val="0"/>
        <w:widowControl w:val="0"/>
        <w:kinsoku/>
        <w:wordWrap/>
        <w:overflowPunct/>
        <w:topLinePunct/>
        <w:autoSpaceDE w:val="0"/>
        <w:autoSpaceDN/>
        <w:bidi w:val="0"/>
        <w:adjustRightInd w:val="0"/>
        <w:snapToGrid w:val="0"/>
        <w:spacing w:line="560" w:lineRule="exact"/>
        <w:ind w:firstLine="643" w:firstLineChars="200"/>
        <w:jc w:val="both"/>
        <w:textAlignment w:val="baseline"/>
        <w:rPr>
          <w:rFonts w:hint="default" w:ascii="Times New Roman" w:hAnsi="Times New Roman" w:eastAsia="仿宋_GB2312" w:cs="Times New Roman"/>
          <w:snapToGrid w:val="0"/>
          <w:color w:val="000000"/>
          <w:spacing w:val="0"/>
          <w:kern w:val="0"/>
          <w:sz w:val="32"/>
          <w:szCs w:val="32"/>
          <w:lang w:eastAsia="zh-CN"/>
        </w:rPr>
      </w:pPr>
      <w:r>
        <w:rPr>
          <w:rFonts w:hint="default" w:ascii="Times New Roman" w:hAnsi="Times New Roman" w:eastAsia="仿宋_GB2312" w:cs="Times New Roman"/>
          <w:b/>
          <w:bCs/>
          <w:snapToGrid w:val="0"/>
          <w:color w:val="000000"/>
          <w:spacing w:val="0"/>
          <w:kern w:val="0"/>
          <w:sz w:val="32"/>
          <w:szCs w:val="32"/>
          <w:lang w:eastAsia="zh-CN"/>
        </w:rPr>
        <w:t>——</w:t>
      </w:r>
      <w:r>
        <w:rPr>
          <w:rFonts w:hint="default" w:ascii="Times New Roman" w:hAnsi="Times New Roman" w:eastAsia="楷体_GB2312" w:cs="Times New Roman"/>
          <w:b w:val="0"/>
          <w:bCs w:val="0"/>
          <w:snapToGrid w:val="0"/>
          <w:color w:val="000000"/>
          <w:spacing w:val="0"/>
          <w:kern w:val="0"/>
          <w:sz w:val="32"/>
          <w:szCs w:val="21"/>
          <w:lang w:eastAsia="zh-CN"/>
        </w:rPr>
        <w:t>自然保护地体系更加健全。</w:t>
      </w:r>
      <w:r>
        <w:rPr>
          <w:rFonts w:hint="default" w:ascii="Times New Roman" w:hAnsi="Times New Roman" w:eastAsia="仿宋_GB2312" w:cs="Times New Roman"/>
          <w:snapToGrid w:val="0"/>
          <w:color w:val="000000"/>
          <w:spacing w:val="0"/>
          <w:kern w:val="0"/>
          <w:sz w:val="32"/>
          <w:szCs w:val="32"/>
          <w:lang w:eastAsia="zh-CN"/>
        </w:rPr>
        <w:t>重要生态空间管控更加严格，湿地资源保护管理能力显著提升，生物多样性保护水平持续提高，野生动植物及其栖息地得到有效保护。</w:t>
      </w:r>
    </w:p>
    <w:p>
      <w:pPr>
        <w:keepNext w:val="0"/>
        <w:keepLines w:val="0"/>
        <w:pageBreakBefore w:val="0"/>
        <w:widowControl w:val="0"/>
        <w:kinsoku/>
        <w:wordWrap/>
        <w:overflowPunct/>
        <w:topLinePunct/>
        <w:autoSpaceDE w:val="0"/>
        <w:autoSpaceDN/>
        <w:bidi w:val="0"/>
        <w:adjustRightInd w:val="0"/>
        <w:snapToGrid w:val="0"/>
        <w:spacing w:line="560" w:lineRule="exact"/>
        <w:ind w:firstLine="643"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default" w:ascii="Times New Roman" w:hAnsi="Times New Roman" w:eastAsia="仿宋_GB2312" w:cs="Times New Roman"/>
          <w:b/>
          <w:bCs/>
          <w:snapToGrid w:val="0"/>
          <w:color w:val="000000"/>
          <w:spacing w:val="0"/>
          <w:kern w:val="0"/>
          <w:sz w:val="32"/>
          <w:szCs w:val="21"/>
          <w:lang w:eastAsia="zh-CN"/>
        </w:rPr>
        <w:t>——</w:t>
      </w:r>
      <w:r>
        <w:rPr>
          <w:rFonts w:hint="default" w:ascii="Times New Roman" w:hAnsi="Times New Roman" w:eastAsia="楷体_GB2312" w:cs="Times New Roman"/>
          <w:b w:val="0"/>
          <w:bCs w:val="0"/>
          <w:snapToGrid w:val="0"/>
          <w:color w:val="000000"/>
          <w:spacing w:val="0"/>
          <w:kern w:val="0"/>
          <w:sz w:val="32"/>
          <w:szCs w:val="21"/>
          <w:lang w:eastAsia="zh-CN"/>
        </w:rPr>
        <w:t>林草产业提质增效。</w:t>
      </w:r>
      <w:r>
        <w:rPr>
          <w:rFonts w:hint="default" w:ascii="Times New Roman" w:hAnsi="Times New Roman" w:eastAsia="仿宋_GB2312" w:cs="Times New Roman"/>
          <w:snapToGrid w:val="0"/>
          <w:color w:val="000000"/>
          <w:spacing w:val="0"/>
          <w:kern w:val="0"/>
          <w:sz w:val="32"/>
          <w:szCs w:val="21"/>
          <w:lang w:eastAsia="zh-CN"/>
        </w:rPr>
        <w:t>林草产业结构更加优化，林下经济、沙产业和现代草业有效融合发展，综合效益稳步提升，绿色富民能力持续增强。</w:t>
      </w:r>
    </w:p>
    <w:p>
      <w:pPr>
        <w:keepNext w:val="0"/>
        <w:keepLines w:val="0"/>
        <w:pageBreakBefore w:val="0"/>
        <w:widowControl w:val="0"/>
        <w:kinsoku/>
        <w:wordWrap/>
        <w:overflowPunct/>
        <w:topLinePunct/>
        <w:autoSpaceDE w:val="0"/>
        <w:autoSpaceDN/>
        <w:bidi w:val="0"/>
        <w:adjustRightInd w:val="0"/>
        <w:snapToGrid w:val="0"/>
        <w:spacing w:line="560" w:lineRule="exact"/>
        <w:ind w:firstLine="643"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default" w:ascii="Times New Roman" w:hAnsi="Times New Roman" w:eastAsia="仿宋_GB2312" w:cs="Times New Roman"/>
          <w:b/>
          <w:bCs/>
          <w:snapToGrid w:val="0"/>
          <w:color w:val="000000"/>
          <w:spacing w:val="0"/>
          <w:kern w:val="0"/>
          <w:sz w:val="32"/>
          <w:szCs w:val="21"/>
          <w:lang w:eastAsia="zh-CN"/>
        </w:rPr>
        <w:t>——</w:t>
      </w:r>
      <w:r>
        <w:rPr>
          <w:rFonts w:hint="default" w:ascii="Times New Roman" w:hAnsi="Times New Roman" w:eastAsia="楷体_GB2312" w:cs="Times New Roman"/>
          <w:b w:val="0"/>
          <w:bCs w:val="0"/>
          <w:snapToGrid w:val="0"/>
          <w:color w:val="000000"/>
          <w:spacing w:val="0"/>
          <w:kern w:val="0"/>
          <w:sz w:val="32"/>
          <w:szCs w:val="21"/>
          <w:lang w:eastAsia="zh-CN"/>
        </w:rPr>
        <w:t>支撑保障能力持续提升。</w:t>
      </w:r>
      <w:r>
        <w:rPr>
          <w:rFonts w:hint="default" w:ascii="Times New Roman" w:hAnsi="Times New Roman" w:eastAsia="仿宋_GB2312" w:cs="Times New Roman"/>
          <w:snapToGrid w:val="0"/>
          <w:color w:val="000000"/>
          <w:spacing w:val="0"/>
          <w:kern w:val="0"/>
          <w:sz w:val="32"/>
          <w:szCs w:val="21"/>
          <w:lang w:eastAsia="zh-CN"/>
        </w:rPr>
        <w:t>加快推进智慧林草建设，森林草原防火和林草有害生物防控体系持续完善提升，到2030年森林火灾受害率控制在0.7‰以下，草原火灾受害率控制在1.8‰以下。</w:t>
      </w:r>
    </w:p>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baseline"/>
        <w:rPr>
          <w:rFonts w:hint="eastAsia" w:ascii="黑体" w:hAnsi="黑体" w:eastAsia="黑体" w:cs="黑体"/>
          <w:snapToGrid/>
          <w:color w:val="auto"/>
          <w:kern w:val="2"/>
          <w:sz w:val="32"/>
          <w:szCs w:val="32"/>
          <w:lang w:eastAsia="zh-CN"/>
        </w:rPr>
      </w:pPr>
      <w:r>
        <w:rPr>
          <w:rFonts w:hint="eastAsia" w:ascii="黑体" w:hAnsi="黑体" w:eastAsia="黑体" w:cs="黑体"/>
          <w:snapToGrid/>
          <w:color w:val="auto"/>
          <w:kern w:val="2"/>
          <w:sz w:val="32"/>
          <w:szCs w:val="32"/>
          <w:lang w:eastAsia="zh-CN"/>
        </w:rPr>
        <w:t>“十五五”时期哈密市林业草原保护利用规划目标</w:t>
      </w:r>
    </w:p>
    <w:tbl>
      <w:tblPr>
        <w:tblStyle w:val="15"/>
        <w:tblW w:w="8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2551"/>
        <w:gridCol w:w="1560"/>
        <w:gridCol w:w="1276"/>
        <w:gridCol w:w="1276"/>
        <w:gridCol w:w="14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blHeader/>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snapToGrid w:val="0"/>
                <w:color w:val="000000"/>
                <w:kern w:val="0"/>
                <w:sz w:val="28"/>
                <w:szCs w:val="28"/>
                <w:lang w:eastAsia="zh-CN"/>
              </w:rPr>
            </w:pPr>
            <w:r>
              <w:rPr>
                <w:rFonts w:hint="eastAsia" w:ascii="仿宋_GB2312" w:hAnsi="仿宋_GB2312" w:eastAsia="仿宋_GB2312" w:cs="仿宋_GB2312"/>
                <w:b/>
                <w:snapToGrid w:val="0"/>
                <w:color w:val="000000"/>
                <w:kern w:val="0"/>
                <w:sz w:val="28"/>
                <w:szCs w:val="28"/>
                <w:lang w:eastAsia="zh-CN"/>
              </w:rPr>
              <w:t>序号</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snapToGrid w:val="0"/>
                <w:color w:val="000000"/>
                <w:kern w:val="0"/>
                <w:sz w:val="28"/>
                <w:szCs w:val="28"/>
                <w:lang w:eastAsia="zh-CN"/>
              </w:rPr>
            </w:pPr>
            <w:r>
              <w:rPr>
                <w:rFonts w:hint="eastAsia" w:ascii="仿宋_GB2312" w:hAnsi="仿宋_GB2312" w:eastAsia="仿宋_GB2312" w:cs="仿宋_GB2312"/>
                <w:b/>
                <w:snapToGrid w:val="0"/>
                <w:color w:val="000000"/>
                <w:kern w:val="0"/>
                <w:sz w:val="28"/>
                <w:szCs w:val="28"/>
                <w:lang w:eastAsia="zh-CN"/>
              </w:rPr>
              <w:t>具体指标</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snapToGrid w:val="0"/>
                <w:color w:val="000000"/>
                <w:kern w:val="0"/>
                <w:sz w:val="28"/>
                <w:szCs w:val="28"/>
                <w:lang w:eastAsia="zh-CN"/>
              </w:rPr>
            </w:pPr>
            <w:r>
              <w:rPr>
                <w:rFonts w:hint="eastAsia" w:ascii="仿宋_GB2312" w:hAnsi="仿宋_GB2312" w:eastAsia="仿宋_GB2312" w:cs="仿宋_GB2312"/>
                <w:b/>
                <w:snapToGrid w:val="0"/>
                <w:color w:val="000000"/>
                <w:kern w:val="0"/>
                <w:sz w:val="28"/>
                <w:szCs w:val="28"/>
                <w:lang w:eastAsia="zh-CN"/>
              </w:rPr>
              <w:t>单位</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snapToGrid w:val="0"/>
                <w:color w:val="000000"/>
                <w:kern w:val="0"/>
                <w:sz w:val="28"/>
                <w:szCs w:val="28"/>
                <w:lang w:eastAsia="zh-CN"/>
              </w:rPr>
            </w:pPr>
            <w:r>
              <w:rPr>
                <w:rFonts w:hint="eastAsia" w:ascii="仿宋_GB2312" w:hAnsi="仿宋_GB2312" w:eastAsia="仿宋_GB2312" w:cs="仿宋_GB2312"/>
                <w:b/>
                <w:snapToGrid w:val="0"/>
                <w:color w:val="000000"/>
                <w:kern w:val="0"/>
                <w:sz w:val="28"/>
                <w:szCs w:val="28"/>
                <w:lang w:eastAsia="zh-CN"/>
              </w:rPr>
              <w:t>现值</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b/>
                <w:snapToGrid w:val="0"/>
                <w:color w:val="000000"/>
                <w:kern w:val="0"/>
                <w:sz w:val="28"/>
                <w:szCs w:val="28"/>
                <w:lang w:eastAsia="zh-CN"/>
              </w:rPr>
            </w:pPr>
            <w:r>
              <w:rPr>
                <w:rFonts w:hint="eastAsia" w:ascii="仿宋_GB2312" w:hAnsi="仿宋_GB2312" w:eastAsia="仿宋_GB2312" w:cs="仿宋_GB2312"/>
                <w:b/>
                <w:snapToGrid w:val="0"/>
                <w:color w:val="000000"/>
                <w:kern w:val="0"/>
                <w:sz w:val="28"/>
                <w:szCs w:val="28"/>
                <w:lang w:eastAsia="zh-CN"/>
              </w:rPr>
              <w:t>2030年</w:t>
            </w:r>
          </w:p>
          <w:p>
            <w:pPr>
              <w:keepNext w:val="0"/>
              <w:keepLines w:val="0"/>
              <w:pageBreakBefore w:val="0"/>
              <w:widowControl w:val="0"/>
              <w:kinsoku/>
              <w:wordWrap/>
              <w:overflowPunct/>
              <w:topLinePunct/>
              <w:autoSpaceDE w:val="0"/>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b/>
                <w:snapToGrid w:val="0"/>
                <w:color w:val="000000"/>
                <w:kern w:val="0"/>
                <w:sz w:val="28"/>
                <w:szCs w:val="28"/>
                <w:lang w:eastAsia="zh-CN"/>
              </w:rPr>
            </w:pPr>
            <w:r>
              <w:rPr>
                <w:rFonts w:hint="eastAsia" w:ascii="仿宋_GB2312" w:hAnsi="仿宋_GB2312" w:eastAsia="仿宋_GB2312" w:cs="仿宋_GB2312"/>
                <w:b/>
                <w:snapToGrid w:val="0"/>
                <w:color w:val="000000"/>
                <w:kern w:val="0"/>
                <w:sz w:val="28"/>
                <w:szCs w:val="28"/>
                <w:lang w:eastAsia="zh-CN"/>
              </w:rPr>
              <w:t>目标值</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snapToGrid w:val="0"/>
                <w:color w:val="000000"/>
                <w:kern w:val="0"/>
                <w:sz w:val="28"/>
                <w:szCs w:val="28"/>
                <w:lang w:eastAsia="zh-CN"/>
              </w:rPr>
            </w:pPr>
            <w:r>
              <w:rPr>
                <w:rFonts w:hint="eastAsia" w:ascii="仿宋_GB2312" w:hAnsi="仿宋_GB2312" w:eastAsia="仿宋_GB2312" w:cs="仿宋_GB2312"/>
                <w:b/>
                <w:snapToGrid w:val="0"/>
                <w:color w:val="000000"/>
                <w:kern w:val="0"/>
                <w:sz w:val="28"/>
                <w:szCs w:val="28"/>
                <w:lang w:eastAsia="zh-CN"/>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森林覆盖率</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2.95</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≥2.95</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val="0"/>
                <w:bCs/>
                <w:snapToGrid w:val="0"/>
                <w:color w:val="000000"/>
                <w:kern w:val="0"/>
                <w:sz w:val="28"/>
                <w:szCs w:val="28"/>
                <w:lang w:eastAsia="zh-CN"/>
              </w:rPr>
            </w:pPr>
            <w:r>
              <w:rPr>
                <w:rFonts w:hint="eastAsia" w:ascii="仿宋_GB2312" w:hAnsi="仿宋_GB2312" w:eastAsia="仿宋_GB2312" w:cs="仿宋_GB2312"/>
                <w:b w:val="0"/>
                <w:bCs/>
                <w:snapToGrid w:val="0"/>
                <w:color w:val="000000"/>
                <w:kern w:val="0"/>
                <w:sz w:val="28"/>
                <w:szCs w:val="28"/>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2</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森林蓄积量</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万立方米</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764</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≥764</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b w:val="0"/>
                <w:bCs/>
                <w:snapToGrid w:val="0"/>
                <w:color w:val="000000"/>
                <w:kern w:val="0"/>
                <w:sz w:val="28"/>
                <w:szCs w:val="28"/>
                <w:lang w:eastAsia="zh-CN"/>
              </w:rPr>
            </w:pPr>
            <w:r>
              <w:rPr>
                <w:rFonts w:hint="eastAsia" w:ascii="仿宋_GB2312" w:hAnsi="仿宋_GB2312" w:eastAsia="仿宋_GB2312" w:cs="仿宋_GB2312"/>
                <w:b w:val="0"/>
                <w:bCs/>
                <w:snapToGrid w:val="0"/>
                <w:color w:val="000000"/>
                <w:kern w:val="0"/>
                <w:sz w:val="28"/>
                <w:szCs w:val="28"/>
                <w:lang w:eastAsia="zh-CN"/>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auto"/>
                <w:kern w:val="0"/>
                <w:sz w:val="28"/>
                <w:szCs w:val="28"/>
                <w:lang w:eastAsia="zh-CN"/>
              </w:rPr>
            </w:pPr>
            <w:r>
              <w:rPr>
                <w:rFonts w:hint="eastAsia" w:ascii="仿宋_GB2312" w:hAnsi="仿宋_GB2312" w:eastAsia="仿宋_GB2312" w:cs="仿宋_GB2312"/>
                <w:snapToGrid w:val="0"/>
                <w:color w:val="auto"/>
                <w:kern w:val="0"/>
                <w:sz w:val="28"/>
                <w:szCs w:val="28"/>
                <w:lang w:eastAsia="zh-CN"/>
              </w:rPr>
              <w:t>3</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林草覆盖率</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33.89</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≥33.89</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bookmarkStart w:id="33" w:name="_Toc2001"/>
            <w:r>
              <w:rPr>
                <w:rFonts w:hint="eastAsia" w:ascii="仿宋_GB2312" w:hAnsi="仿宋_GB2312" w:eastAsia="仿宋_GB2312" w:cs="仿宋_GB2312"/>
                <w:snapToGrid w:val="0"/>
                <w:color w:val="000000"/>
                <w:kern w:val="0"/>
                <w:sz w:val="28"/>
                <w:szCs w:val="28"/>
                <w:lang w:eastAsia="zh-CN"/>
              </w:rPr>
              <w:t>预期性</w:t>
            </w:r>
            <w:bookmarkEnd w:id="3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4</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草原综合植被盖度</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40</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≥40</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5</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40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自然保护地面积占国土面积比例</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14.14</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13.65</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6</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森林火灾受害率</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≤0.9</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≤0.7</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7</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草原火灾受害率</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≤2</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≤1.8</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8"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val="en-US" w:eastAsia="zh-CN"/>
              </w:rPr>
            </w:pPr>
            <w:r>
              <w:rPr>
                <w:rFonts w:hint="eastAsia" w:ascii="仿宋_GB2312" w:hAnsi="仿宋_GB2312" w:eastAsia="仿宋_GB2312" w:cs="仿宋_GB2312"/>
                <w:snapToGrid w:val="0"/>
                <w:color w:val="000000"/>
                <w:kern w:val="0"/>
                <w:sz w:val="28"/>
                <w:szCs w:val="28"/>
                <w:lang w:val="en-US" w:eastAsia="zh-CN"/>
              </w:rPr>
              <w:t>8</w:t>
            </w:r>
          </w:p>
        </w:tc>
        <w:tc>
          <w:tcPr>
            <w:tcW w:w="2551"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val="en-US" w:eastAsia="zh-CN"/>
              </w:rPr>
            </w:pPr>
            <w:r>
              <w:rPr>
                <w:rFonts w:hint="eastAsia" w:ascii="仿宋_GB2312" w:hAnsi="仿宋_GB2312" w:eastAsia="仿宋_GB2312" w:cs="仿宋_GB2312"/>
                <w:snapToGrid w:val="0"/>
                <w:color w:val="000000"/>
                <w:kern w:val="0"/>
                <w:sz w:val="28"/>
                <w:szCs w:val="28"/>
                <w:lang w:val="en-US" w:eastAsia="zh-CN"/>
              </w:rPr>
              <w:t>林草产业产值</w:t>
            </w:r>
          </w:p>
        </w:tc>
        <w:tc>
          <w:tcPr>
            <w:tcW w:w="1560"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val="en-US" w:eastAsia="zh-CN"/>
              </w:rPr>
            </w:pPr>
            <w:r>
              <w:rPr>
                <w:rFonts w:hint="eastAsia" w:ascii="仿宋_GB2312" w:hAnsi="仿宋_GB2312" w:eastAsia="仿宋_GB2312" w:cs="仿宋_GB2312"/>
                <w:snapToGrid w:val="0"/>
                <w:color w:val="000000"/>
                <w:kern w:val="0"/>
                <w:sz w:val="28"/>
                <w:szCs w:val="28"/>
                <w:lang w:val="en-US" w:eastAsia="zh-CN"/>
              </w:rPr>
              <w:t>亿元</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val="en-US" w:eastAsia="zh-CN"/>
              </w:rPr>
            </w:pPr>
            <w:r>
              <w:rPr>
                <w:rFonts w:hint="eastAsia" w:ascii="仿宋_GB2312" w:hAnsi="仿宋_GB2312" w:eastAsia="仿宋_GB2312" w:cs="仿宋_GB2312"/>
                <w:snapToGrid w:val="0"/>
                <w:color w:val="000000"/>
                <w:kern w:val="0"/>
                <w:sz w:val="28"/>
                <w:szCs w:val="28"/>
                <w:lang w:val="en-US" w:eastAsia="zh-CN"/>
              </w:rPr>
              <w:t>11.6</w:t>
            </w:r>
          </w:p>
        </w:tc>
        <w:tc>
          <w:tcPr>
            <w:tcW w:w="1276"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val="en-US" w:eastAsia="zh-CN"/>
              </w:rPr>
            </w:pPr>
            <w:r>
              <w:rPr>
                <w:rFonts w:hint="eastAsia" w:ascii="仿宋_GB2312" w:hAnsi="仿宋_GB2312" w:eastAsia="仿宋_GB2312" w:cs="仿宋_GB2312"/>
                <w:snapToGrid w:val="0"/>
                <w:color w:val="000000"/>
                <w:kern w:val="0"/>
                <w:sz w:val="28"/>
                <w:szCs w:val="28"/>
                <w:lang w:eastAsia="zh-CN"/>
              </w:rPr>
              <w:t>≥</w:t>
            </w:r>
            <w:r>
              <w:rPr>
                <w:rFonts w:hint="eastAsia" w:ascii="仿宋_GB2312" w:hAnsi="仿宋_GB2312" w:eastAsia="仿宋_GB2312" w:cs="仿宋_GB2312"/>
                <w:snapToGrid w:val="0"/>
                <w:color w:val="000000"/>
                <w:kern w:val="0"/>
                <w:sz w:val="28"/>
                <w:szCs w:val="28"/>
                <w:lang w:val="en-US" w:eastAsia="zh-CN"/>
              </w:rPr>
              <w:t>12</w:t>
            </w:r>
          </w:p>
        </w:tc>
        <w:tc>
          <w:tcPr>
            <w:tcW w:w="1465" w:type="dxa"/>
            <w:vAlign w:val="center"/>
          </w:tcPr>
          <w:p>
            <w:pPr>
              <w:keepNext w:val="0"/>
              <w:keepLines w:val="0"/>
              <w:pageBreakBefore w:val="0"/>
              <w:widowControl w:val="0"/>
              <w:kinsoku/>
              <w:wordWrap/>
              <w:overflowPunct/>
              <w:topLinePunct/>
              <w:autoSpaceDE w:val="0"/>
              <w:autoSpaceDN/>
              <w:bidi w:val="0"/>
              <w:adjustRightInd w:val="0"/>
              <w:snapToGrid w:val="0"/>
              <w:spacing w:line="560" w:lineRule="exact"/>
              <w:ind w:firstLine="0" w:firstLineChars="0"/>
              <w:jc w:val="center"/>
              <w:textAlignment w:val="center"/>
              <w:rPr>
                <w:rFonts w:hint="eastAsia" w:ascii="仿宋_GB2312" w:hAnsi="仿宋_GB2312" w:eastAsia="仿宋_GB2312" w:cs="仿宋_GB2312"/>
                <w:snapToGrid w:val="0"/>
                <w:color w:val="000000"/>
                <w:kern w:val="0"/>
                <w:sz w:val="28"/>
                <w:szCs w:val="28"/>
                <w:lang w:eastAsia="zh-CN"/>
              </w:rPr>
            </w:pPr>
            <w:r>
              <w:rPr>
                <w:rFonts w:hint="eastAsia" w:ascii="仿宋_GB2312" w:hAnsi="仿宋_GB2312" w:eastAsia="仿宋_GB2312" w:cs="仿宋_GB2312"/>
                <w:snapToGrid w:val="0"/>
                <w:color w:val="000000"/>
                <w:kern w:val="0"/>
                <w:sz w:val="28"/>
                <w:szCs w:val="28"/>
                <w:lang w:eastAsia="zh-CN"/>
              </w:rPr>
              <w:t>预期性</w:t>
            </w:r>
          </w:p>
        </w:tc>
      </w:tr>
    </w:tbl>
    <w:p>
      <w:pPr>
        <w:keepNext w:val="0"/>
        <w:keepLines w:val="0"/>
        <w:pageBreakBefore w:val="0"/>
        <w:widowControl w:val="0"/>
        <w:kinsoku/>
        <w:wordWrap/>
        <w:overflowPunct/>
        <w:topLinePunct/>
        <w:autoSpaceDE w:val="0"/>
        <w:autoSpaceDN/>
        <w:bidi w:val="0"/>
        <w:adjustRightInd w:val="0"/>
        <w:snapToGrid w:val="0"/>
        <w:spacing w:line="360" w:lineRule="exact"/>
        <w:ind w:firstLine="562" w:firstLineChars="200"/>
        <w:jc w:val="both"/>
        <w:textAlignment w:val="baseline"/>
        <w:rPr>
          <w:rFonts w:hint="eastAsia" w:ascii="楷体_GB2312" w:hAnsi="楷体_GB2312" w:eastAsia="楷体_GB2312" w:cs="楷体_GB2312"/>
          <w:snapToGrid w:val="0"/>
          <w:color w:val="auto"/>
          <w:kern w:val="0"/>
          <w:sz w:val="28"/>
          <w:szCs w:val="28"/>
          <w:lang w:eastAsia="zh-CN"/>
        </w:rPr>
      </w:pPr>
      <w:r>
        <w:rPr>
          <w:rFonts w:hint="eastAsia" w:ascii="楷体_GB2312" w:hAnsi="楷体_GB2312" w:eastAsia="楷体_GB2312" w:cs="楷体_GB2312"/>
          <w:b/>
          <w:bCs/>
          <w:snapToGrid w:val="0"/>
          <w:color w:val="000000"/>
          <w:kern w:val="0"/>
          <w:sz w:val="28"/>
          <w:szCs w:val="28"/>
          <w:lang w:eastAsia="zh-CN"/>
        </w:rPr>
        <w:t>注：</w:t>
      </w:r>
      <w:r>
        <w:rPr>
          <w:rFonts w:hint="eastAsia" w:ascii="楷体_GB2312" w:hAnsi="楷体_GB2312" w:eastAsia="楷体_GB2312" w:cs="楷体_GB2312"/>
          <w:b w:val="0"/>
          <w:bCs w:val="0"/>
          <w:snapToGrid w:val="0"/>
          <w:color w:val="auto"/>
          <w:kern w:val="0"/>
          <w:sz w:val="28"/>
          <w:szCs w:val="28"/>
          <w:lang w:val="en-US" w:eastAsia="zh-CN"/>
        </w:rPr>
        <w:t>具体指标现值</w:t>
      </w:r>
      <w:r>
        <w:rPr>
          <w:rFonts w:hint="eastAsia" w:ascii="楷体_GB2312" w:hAnsi="楷体_GB2312" w:eastAsia="楷体_GB2312" w:cs="楷体_GB2312"/>
          <w:snapToGrid w:val="0"/>
          <w:color w:val="auto"/>
          <w:kern w:val="0"/>
          <w:sz w:val="28"/>
          <w:szCs w:val="28"/>
          <w:lang w:eastAsia="zh-CN"/>
        </w:rPr>
        <w:t>采用</w:t>
      </w:r>
      <w:r>
        <w:rPr>
          <w:rFonts w:hint="eastAsia" w:ascii="楷体_GB2312" w:hAnsi="楷体_GB2312" w:eastAsia="楷体_GB2312" w:cs="楷体_GB2312"/>
          <w:snapToGrid w:val="0"/>
          <w:color w:val="auto"/>
          <w:kern w:val="0"/>
          <w:sz w:val="28"/>
          <w:szCs w:val="28"/>
          <w:lang w:val="en-US" w:eastAsia="zh-CN"/>
        </w:rPr>
        <w:t>2024年</w:t>
      </w:r>
      <w:r>
        <w:rPr>
          <w:rFonts w:hint="eastAsia" w:ascii="楷体_GB2312" w:hAnsi="楷体_GB2312" w:eastAsia="楷体_GB2312" w:cs="楷体_GB2312"/>
          <w:snapToGrid w:val="0"/>
          <w:color w:val="auto"/>
          <w:kern w:val="0"/>
          <w:sz w:val="28"/>
          <w:szCs w:val="28"/>
          <w:lang w:eastAsia="zh-CN"/>
        </w:rPr>
        <w:t>林草湿荒普查数据；自然保护地面积占国土面积比例目标值基于自然保护地整合优化后的数据测算，口径调整导致比例有所下降，目标值总体保持在合理区间。</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34" w:name="_Toc29633"/>
      <w:bookmarkStart w:id="35" w:name="_Toc6475"/>
      <w:bookmarkStart w:id="36" w:name="_Toc21622"/>
      <w:bookmarkStart w:id="37" w:name="_Toc18061"/>
      <w:bookmarkStart w:id="38" w:name="_Toc15104"/>
      <w:bookmarkStart w:id="39" w:name="_Toc5143"/>
      <w:bookmarkStart w:id="40" w:name="_Toc18766"/>
      <w:bookmarkStart w:id="41" w:name="_Toc4360"/>
      <w:bookmarkStart w:id="42" w:name="_Toc4395"/>
      <w:bookmarkStart w:id="43" w:name="_Toc7694"/>
      <w:bookmarkStart w:id="44" w:name="_Toc30035"/>
      <w:bookmarkStart w:id="45" w:name="_Toc6676"/>
      <w:bookmarkStart w:id="46" w:name="_Toc25261"/>
      <w:bookmarkStart w:id="47" w:name="_Toc29838"/>
      <w:bookmarkStart w:id="48" w:name="_Toc17044"/>
      <w:bookmarkStart w:id="49" w:name="_Toc31682"/>
      <w:r>
        <w:rPr>
          <w:rFonts w:hint="eastAsia" w:ascii="Times New Roman" w:hAnsi="Times New Roman" w:eastAsia="黑体" w:cs="楷体"/>
          <w:bCs/>
          <w:snapToGrid w:val="0"/>
          <w:color w:val="000000"/>
          <w:spacing w:val="0"/>
          <w:sz w:val="32"/>
          <w:szCs w:val="32"/>
          <w:lang w:val="en-US" w:eastAsia="zh-CN" w:bidi="ar-SA"/>
        </w:rPr>
        <w:t>三、保护利用格局</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bookmarkStart w:id="50" w:name="_Toc28289"/>
      <w:bookmarkStart w:id="51" w:name="_Toc3128"/>
      <w:bookmarkStart w:id="52" w:name="_Toc15815"/>
      <w:bookmarkStart w:id="53" w:name="_Toc4081"/>
      <w:bookmarkStart w:id="54" w:name="_Toc20106"/>
      <w:bookmarkStart w:id="55" w:name="_Toc6473"/>
      <w:bookmarkStart w:id="56" w:name="_Toc14121"/>
      <w:bookmarkStart w:id="57" w:name="_Toc31327"/>
      <w:r>
        <w:rPr>
          <w:rFonts w:hint="default" w:ascii="Times New Roman" w:hAnsi="Times New Roman" w:eastAsia="仿宋_GB2312" w:cs="Times New Roman"/>
          <w:snapToGrid w:val="0"/>
          <w:color w:val="000000"/>
          <w:spacing w:val="0"/>
          <w:kern w:val="0"/>
          <w:sz w:val="32"/>
          <w:szCs w:val="21"/>
          <w:lang w:eastAsia="zh-CN"/>
        </w:rPr>
        <w:t>结合哈密市“四山夹三盆”自然地理格局和林草资源分布实际，构建“两屏两区、多廊多带多节点”的林草生态空间格局。该格局以东天山生态安全防线为主轴，统筹山地、绿洲、荒漠、湿地等生态单元协同保护，体现分区差异化治理要求，形成结构合理、功能清晰、管控有力的空间体系。</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eastAsia" w:ascii="楷体_GB2312" w:hAnsi="楷体_GB2312" w:eastAsia="楷体_GB2312" w:cs="楷体_GB2312"/>
          <w:b w:val="0"/>
          <w:bCs w:val="0"/>
          <w:snapToGrid w:val="0"/>
          <w:color w:val="000000"/>
          <w:spacing w:val="0"/>
          <w:kern w:val="0"/>
          <w:sz w:val="32"/>
          <w:szCs w:val="21"/>
          <w:lang w:eastAsia="zh-CN"/>
        </w:rPr>
        <w:t>“两屏”筑牢生态安全基础。</w:t>
      </w:r>
      <w:r>
        <w:rPr>
          <w:rFonts w:hint="default" w:ascii="Times New Roman" w:hAnsi="Times New Roman" w:eastAsia="仿宋_GB2312" w:cs="Times New Roman"/>
          <w:snapToGrid w:val="0"/>
          <w:color w:val="000000"/>
          <w:spacing w:val="0"/>
          <w:kern w:val="0"/>
          <w:sz w:val="32"/>
          <w:szCs w:val="21"/>
          <w:lang w:eastAsia="zh-CN"/>
        </w:rPr>
        <w:t>东天山生态屏障横亘市域中部，涵盖伊州区柳树沟乡、天山乡和沁城乡、</w:t>
      </w:r>
      <w:r>
        <w:rPr>
          <w:rFonts w:hint="eastAsia" w:ascii="Times New Roman" w:hAnsi="Times New Roman" w:eastAsia="仿宋_GB2312" w:cs="Times New Roman"/>
          <w:snapToGrid w:val="0"/>
          <w:color w:val="000000"/>
          <w:spacing w:val="0"/>
          <w:kern w:val="0"/>
          <w:sz w:val="32"/>
          <w:szCs w:val="21"/>
          <w:lang w:eastAsia="zh-CN"/>
        </w:rPr>
        <w:t>新疆生产建设兵团</w:t>
      </w:r>
      <w:r>
        <w:rPr>
          <w:rFonts w:hint="default" w:ascii="Times New Roman" w:hAnsi="Times New Roman" w:eastAsia="仿宋_GB2312" w:cs="Times New Roman"/>
          <w:snapToGrid w:val="0"/>
          <w:color w:val="000000"/>
          <w:spacing w:val="0"/>
          <w:kern w:val="0"/>
          <w:sz w:val="32"/>
          <w:szCs w:val="21"/>
          <w:lang w:eastAsia="zh-CN"/>
        </w:rPr>
        <w:t>第十三师新星市黄田农场等区域，是区域水源涵养核心区和生物多样性富集区，承担维护绿洲生态安全、保障下游生态用水的重要功能。莫钦乌拉山生态屏障位于市域北部，横跨巴里坤县大河镇、八墙子乡和奎苏镇、伊吾县前山乡和伊吾镇等区域，是防风固沙、水土保持和荒漠草原防护的重要区域。两大生态屏障共同构成哈密市林草生态安全骨架，须实行最严格保护。</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eastAsia" w:ascii="楷体_GB2312" w:hAnsi="楷体_GB2312" w:eastAsia="楷体_GB2312" w:cs="楷体_GB2312"/>
          <w:b w:val="0"/>
          <w:bCs w:val="0"/>
          <w:snapToGrid w:val="0"/>
          <w:color w:val="000000"/>
          <w:spacing w:val="0"/>
          <w:kern w:val="0"/>
          <w:sz w:val="32"/>
          <w:szCs w:val="21"/>
          <w:lang w:eastAsia="zh-CN"/>
        </w:rPr>
        <w:t>“两区”强化功能分区管控。</w:t>
      </w:r>
      <w:r>
        <w:rPr>
          <w:rFonts w:hint="default" w:ascii="Times New Roman" w:hAnsi="Times New Roman" w:eastAsia="仿宋_GB2312" w:cs="Times New Roman"/>
          <w:snapToGrid w:val="0"/>
          <w:color w:val="000000"/>
          <w:spacing w:val="0"/>
          <w:kern w:val="0"/>
          <w:sz w:val="32"/>
          <w:szCs w:val="21"/>
          <w:lang w:eastAsia="zh-CN"/>
        </w:rPr>
        <w:t>山北荒漠草原区位于东天山北部，覆盖巴里坤县、伊吾县以及新疆生产建设兵团第十三师新星市红山农场、伊州区白石头乡，以保护荒漠草原生态系统、防止荒漠化扩展为主要任务，突出植被保育和生态系统稳定性维护。山南戈壁绿洲区位于东天山南部，以保护绿洲生态系统、维护野生动物栖息地为重点，强化绿洲边缘防护体系和生态廊道连通性建设。两类区域依据功能定位实施分类管控，形成各有侧重、协同联动的保护格局。</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Times New Roman" w:hAnsi="Times New Roman" w:eastAsia="仿宋_GB2312" w:cs="Times New Roman"/>
          <w:snapToGrid w:val="0"/>
          <w:color w:val="000000"/>
          <w:spacing w:val="0"/>
          <w:kern w:val="0"/>
          <w:sz w:val="32"/>
          <w:szCs w:val="21"/>
          <w:lang w:eastAsia="zh-CN"/>
        </w:rPr>
      </w:pPr>
      <w:r>
        <w:rPr>
          <w:rFonts w:hint="eastAsia" w:ascii="Times New Roman" w:hAnsi="Times New Roman" w:eastAsia="仿宋_GB2312" w:cs="Times New Roman"/>
          <w:snapToGrid w:val="0"/>
          <w:color w:val="000000"/>
          <w:spacing w:val="0"/>
          <w:kern w:val="0"/>
          <w:sz w:val="32"/>
          <w:szCs w:val="21"/>
          <w:lang w:eastAsia="zh-CN"/>
        </w:rPr>
        <w:t>“多廊多带”完善生态网络体系。</w:t>
      </w:r>
      <w:r>
        <w:rPr>
          <w:rFonts w:hint="default" w:ascii="Times New Roman" w:hAnsi="Times New Roman" w:eastAsia="仿宋_GB2312" w:cs="Times New Roman"/>
          <w:snapToGrid w:val="0"/>
          <w:color w:val="000000"/>
          <w:spacing w:val="0"/>
          <w:kern w:val="0"/>
          <w:sz w:val="32"/>
          <w:szCs w:val="21"/>
          <w:lang w:eastAsia="zh-CN"/>
        </w:rPr>
        <w:t>依托东天山向南北延伸的河流水系，构建以哈密河、伊吾河、石城子河、榆树沟、柳条河为主轴的生态廊道网络，增强山地与绿洲、绿洲与荒漠之间的生态连通性，维护物种迁徙通道和生态过程完整性。巩固修</w:t>
      </w:r>
      <w:r>
        <w:rPr>
          <w:rFonts w:hint="eastAsia" w:ascii="Times New Roman" w:hAnsi="Times New Roman" w:eastAsia="仿宋_GB2312" w:cs="Times New Roman"/>
          <w:snapToGrid w:val="0"/>
          <w:color w:val="000000"/>
          <w:spacing w:val="0"/>
          <w:kern w:val="0"/>
          <w:sz w:val="32"/>
          <w:szCs w:val="21"/>
          <w:lang w:eastAsia="zh-CN"/>
        </w:rPr>
        <w:t>复道路防护绿带、防风固沙绿带和农田防护林带，提升区域防风固沙、水土保持和生态缓冲能力，促进生态系统网络化和连续化。</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default" w:ascii="Times New Roman" w:hAnsi="Times New Roman" w:eastAsia="仿宋_GB2312" w:cs="Times New Roman"/>
          <w:snapToGrid w:val="0"/>
          <w:color w:val="000000"/>
          <w:spacing w:val="0"/>
          <w:kern w:val="0"/>
          <w:sz w:val="32"/>
          <w:szCs w:val="21"/>
          <w:lang w:eastAsia="zh-CN"/>
        </w:rPr>
      </w:pPr>
      <w:r>
        <w:rPr>
          <w:rFonts w:hint="eastAsia" w:ascii="Times New Roman" w:hAnsi="Times New Roman" w:eastAsia="仿宋_GB2312" w:cs="Times New Roman"/>
          <w:snapToGrid w:val="0"/>
          <w:color w:val="000000"/>
          <w:spacing w:val="0"/>
          <w:kern w:val="0"/>
          <w:sz w:val="32"/>
          <w:szCs w:val="21"/>
          <w:lang w:eastAsia="zh-CN"/>
        </w:rPr>
        <w:t>“多节点”优化生态支撑体系。以新疆罗布泊野骆驼国家级自然保护区、哈密河国家湿地公园、哈密天山国家森林公园、新疆伊吾县胡杨林国家沙漠公园、新疆哈密翼龙—雅丹国家地质公园等重要保护地为核心节点，形成点状带动、串联成网的生态空间结构，提升关键生态区域的辐射带动能力</w:t>
      </w:r>
      <w:r>
        <w:rPr>
          <w:rFonts w:hint="default" w:ascii="Times New Roman" w:hAnsi="Times New Roman" w:eastAsia="仿宋_GB2312" w:cs="Times New Roman"/>
          <w:snapToGrid w:val="0"/>
          <w:color w:val="000000"/>
          <w:spacing w:val="0"/>
          <w:kern w:val="0"/>
          <w:sz w:val="32"/>
          <w:szCs w:val="21"/>
          <w:lang w:eastAsia="zh-CN"/>
        </w:rPr>
        <w:t>。</w:t>
      </w:r>
    </w:p>
    <w:bookmarkEnd w:id="50"/>
    <w:bookmarkEnd w:id="51"/>
    <w:bookmarkEnd w:id="52"/>
    <w:bookmarkEnd w:id="53"/>
    <w:bookmarkEnd w:id="54"/>
    <w:bookmarkEnd w:id="55"/>
    <w:bookmarkEnd w:id="56"/>
    <w:bookmarkEnd w:id="57"/>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bookmarkStart w:id="58" w:name="_Toc2057"/>
      <w:bookmarkStart w:id="59" w:name="_Toc5387"/>
      <w:bookmarkStart w:id="60" w:name="_Toc14202"/>
      <w:bookmarkStart w:id="61" w:name="_Toc9769"/>
      <w:bookmarkStart w:id="62" w:name="_Toc830"/>
      <w:bookmarkStart w:id="63" w:name="_Toc8807"/>
      <w:bookmarkStart w:id="64" w:name="_Toc8812"/>
      <w:bookmarkStart w:id="65" w:name="_Toc13468"/>
      <w:bookmarkStart w:id="66" w:name="_Toc6482"/>
      <w:bookmarkStart w:id="67" w:name="_Toc20580"/>
      <w:bookmarkStart w:id="68" w:name="_Toc32716"/>
      <w:bookmarkStart w:id="69" w:name="_Toc9267"/>
      <w:bookmarkStart w:id="70" w:name="_Toc23654"/>
      <w:bookmarkStart w:id="71" w:name="_Toc20260"/>
      <w:bookmarkStart w:id="72" w:name="_Toc129"/>
      <w:bookmarkStart w:id="73" w:name="_Toc10653"/>
      <w:r>
        <w:rPr>
          <w:rFonts w:hint="eastAsia" w:ascii="Times New Roman" w:hAnsi="Times New Roman" w:eastAsia="黑体" w:cs="黑体"/>
          <w:b w:val="0"/>
          <w:bCs w:val="0"/>
          <w:snapToGrid w:val="0"/>
          <w:color w:val="000000"/>
          <w:spacing w:val="0"/>
          <w:sz w:val="32"/>
          <w:szCs w:val="31"/>
          <w:lang w:val="en-US" w:eastAsia="zh-CN" w:bidi="ar-SA"/>
        </w:rPr>
        <w:t>第二章 科学开展国土绿化</w:t>
      </w:r>
      <w:bookmarkEnd w:id="58"/>
      <w:bookmarkEnd w:id="59"/>
      <w:bookmarkEnd w:id="60"/>
      <w:bookmarkEnd w:id="61"/>
      <w:bookmarkEnd w:id="62"/>
      <w:bookmarkEnd w:id="63"/>
      <w:bookmarkEnd w:id="64"/>
      <w:bookmarkEnd w:id="65"/>
    </w:p>
    <w:bookmarkEnd w:id="66"/>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74" w:name="_Toc25447"/>
      <w:bookmarkStart w:id="75" w:name="_Toc22925"/>
      <w:bookmarkStart w:id="76" w:name="_Toc15826"/>
      <w:bookmarkStart w:id="77" w:name="_Toc10730"/>
      <w:bookmarkStart w:id="78" w:name="_Toc13801"/>
      <w:bookmarkStart w:id="79" w:name="_Toc17086"/>
      <w:bookmarkStart w:id="80" w:name="_Toc20528"/>
      <w:bookmarkStart w:id="81" w:name="_Toc16850"/>
      <w:bookmarkStart w:id="82" w:name="_Toc6482_ai"/>
      <w:r>
        <w:rPr>
          <w:rFonts w:hint="eastAsia" w:ascii="Times New Roman" w:hAnsi="Times New Roman" w:eastAsia="黑体" w:cs="楷体"/>
          <w:bCs/>
          <w:snapToGrid w:val="0"/>
          <w:color w:val="000000"/>
          <w:spacing w:val="0"/>
          <w:sz w:val="32"/>
          <w:szCs w:val="32"/>
          <w:lang w:val="en-US" w:eastAsia="zh-CN" w:bidi="ar-SA"/>
        </w:rPr>
        <w:t>一、天然林保护管理</w:t>
      </w:r>
      <w:bookmarkEnd w:id="74"/>
      <w:bookmarkEnd w:id="75"/>
      <w:bookmarkEnd w:id="76"/>
      <w:bookmarkEnd w:id="77"/>
      <w:bookmarkEnd w:id="78"/>
      <w:bookmarkEnd w:id="79"/>
      <w:bookmarkEnd w:id="80"/>
      <w:bookmarkEnd w:id="8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83" w:name="_Toc29085"/>
      <w:bookmarkStart w:id="84" w:name="_Toc21922"/>
      <w:bookmarkStart w:id="85" w:name="_Toc27922"/>
      <w:bookmarkStart w:id="86" w:name="_Toc8751"/>
      <w:bookmarkStart w:id="87" w:name="_Toc8819"/>
      <w:r>
        <w:rPr>
          <w:rFonts w:hint="eastAsia" w:ascii="Times New Roman" w:hAnsi="Times New Roman" w:eastAsia="楷体_GB2312" w:cs="方正仿宋_GB2312"/>
          <w:b w:val="0"/>
          <w:bCs w:val="0"/>
          <w:snapToGrid w:val="0"/>
          <w:color w:val="000000"/>
          <w:spacing w:val="0"/>
          <w:sz w:val="32"/>
          <w:szCs w:val="28"/>
          <w:lang w:val="en-US" w:eastAsia="zh-CN" w:bidi="ar-SA"/>
        </w:rPr>
        <w:t>（一）天然林与公益林保护</w:t>
      </w:r>
      <w:bookmarkEnd w:id="83"/>
      <w:bookmarkEnd w:id="84"/>
      <w:bookmarkEnd w:id="85"/>
      <w:bookmarkEnd w:id="86"/>
      <w:bookmarkEnd w:id="8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全面落实天然林保护与公益林管理并轨融合，科学优化天然林与公益林范围，构建一体化保护管理体系。严格限制各类破坏天然林和国家级公益林资源的开发利用活动，严厉查处毁林开垦、违法采伐、违法占用林地等行为，维护天然林生态系统完整性和稳定性。</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88" w:name="_Toc3340"/>
      <w:bookmarkStart w:id="89" w:name="_Toc32430"/>
      <w:bookmarkStart w:id="90" w:name="_Toc27091"/>
      <w:bookmarkStart w:id="91" w:name="_Toc10676"/>
      <w:r>
        <w:rPr>
          <w:rFonts w:hint="eastAsia" w:ascii="Times New Roman" w:hAnsi="Times New Roman" w:eastAsia="楷体_GB2312" w:cs="方正仿宋_GB2312"/>
          <w:b w:val="0"/>
          <w:bCs w:val="0"/>
          <w:snapToGrid w:val="0"/>
          <w:color w:val="000000"/>
          <w:spacing w:val="0"/>
          <w:sz w:val="32"/>
          <w:szCs w:val="28"/>
          <w:lang w:val="en-US" w:eastAsia="zh-CN" w:bidi="ar-SA"/>
        </w:rPr>
        <w:t>（二）森林质量精准提升</w:t>
      </w:r>
      <w:bookmarkEnd w:id="88"/>
      <w:bookmarkEnd w:id="89"/>
      <w:bookmarkEnd w:id="90"/>
      <w:bookmarkEnd w:id="9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对伊州区白石头等区域受虫害退化影响和人为干扰较重的林分，分类实施退化林修复、森林抚育、封育保护等措施，增强森林生态系统自我修复能力和抗逆能力。统筹推进天然林保护及国家级公益林管护提升，持续实施森林生态保护补偿、生态护林员补助等项目，进一步稳定护林员队伍，提升公益林资源保护质量和治理效能。</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 w:val="0"/>
          <w:bCs/>
          <w:snapToGrid w:val="0"/>
          <w:color w:val="000000"/>
          <w:spacing w:val="0"/>
          <w:sz w:val="32"/>
          <w:szCs w:val="32"/>
          <w:lang w:val="en-US" w:eastAsia="zh-CN" w:bidi="ar-SA"/>
        </w:rPr>
      </w:pPr>
      <w:bookmarkStart w:id="92" w:name="_Toc26935"/>
      <w:bookmarkStart w:id="93" w:name="_Toc16262"/>
      <w:bookmarkStart w:id="94" w:name="_Toc7644"/>
      <w:bookmarkStart w:id="95" w:name="_Toc16302"/>
      <w:bookmarkStart w:id="96" w:name="_Toc30581"/>
      <w:bookmarkStart w:id="97" w:name="_Toc26735"/>
      <w:bookmarkStart w:id="98" w:name="_Toc12335"/>
      <w:bookmarkStart w:id="99" w:name="_Toc14016"/>
      <w:r>
        <w:rPr>
          <w:rFonts w:hint="eastAsia" w:ascii="Times New Roman" w:hAnsi="Times New Roman" w:eastAsia="黑体" w:cs="楷体"/>
          <w:b w:val="0"/>
          <w:bCs/>
          <w:snapToGrid w:val="0"/>
          <w:color w:val="000000"/>
          <w:spacing w:val="0"/>
          <w:sz w:val="32"/>
          <w:szCs w:val="32"/>
          <w:lang w:val="en-US" w:eastAsia="zh-CN" w:bidi="ar-SA"/>
        </w:rPr>
        <w:t>二、人工防护林建设管理</w:t>
      </w:r>
      <w:bookmarkEnd w:id="92"/>
      <w:bookmarkEnd w:id="93"/>
      <w:bookmarkEnd w:id="94"/>
      <w:bookmarkEnd w:id="95"/>
      <w:bookmarkEnd w:id="96"/>
      <w:bookmarkEnd w:id="97"/>
      <w:bookmarkEnd w:id="98"/>
      <w:bookmarkEnd w:id="9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snapToGrid w:val="0"/>
          <w:color w:val="000000"/>
          <w:spacing w:val="0"/>
          <w:sz w:val="32"/>
          <w:szCs w:val="28"/>
          <w:lang w:val="en-US" w:eastAsia="zh-CN" w:bidi="ar-SA"/>
        </w:rPr>
      </w:pPr>
      <w:bookmarkStart w:id="100" w:name="_Toc11110"/>
      <w:bookmarkStart w:id="101" w:name="_Toc14251"/>
      <w:bookmarkStart w:id="102" w:name="_Toc21698"/>
      <w:bookmarkStart w:id="103" w:name="_Toc29003"/>
      <w:bookmarkStart w:id="104" w:name="_Toc22716"/>
      <w:r>
        <w:rPr>
          <w:rFonts w:hint="eastAsia" w:ascii="Times New Roman" w:hAnsi="Times New Roman" w:eastAsia="楷体_GB2312" w:cs="方正仿宋_GB2312"/>
          <w:b w:val="0"/>
          <w:bCs/>
          <w:snapToGrid w:val="0"/>
          <w:color w:val="000000"/>
          <w:spacing w:val="0"/>
          <w:sz w:val="32"/>
          <w:szCs w:val="28"/>
          <w:lang w:val="en-US" w:eastAsia="zh-CN" w:bidi="ar-SA"/>
        </w:rPr>
        <w:t>（一）退化林修复与补植补造</w:t>
      </w:r>
      <w:bookmarkEnd w:id="100"/>
      <w:bookmarkEnd w:id="101"/>
      <w:bookmarkEnd w:id="102"/>
      <w:bookmarkEnd w:id="103"/>
      <w:bookmarkEnd w:id="104"/>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b w:val="0"/>
          <w:bCs/>
          <w:snapToGrid w:val="0"/>
          <w:color w:val="000000"/>
          <w:spacing w:val="0"/>
          <w:kern w:val="0"/>
          <w:sz w:val="32"/>
          <w:szCs w:val="21"/>
          <w:lang w:eastAsia="zh-CN"/>
        </w:rPr>
      </w:pPr>
      <w:r>
        <w:rPr>
          <w:rFonts w:hint="eastAsia" w:ascii="Times New Roman" w:hAnsi="Times New Roman" w:eastAsia="仿宋_GB2312" w:cs="Arial"/>
          <w:b w:val="0"/>
          <w:bCs/>
          <w:snapToGrid w:val="0"/>
          <w:color w:val="000000"/>
          <w:spacing w:val="0"/>
          <w:kern w:val="0"/>
          <w:sz w:val="32"/>
          <w:szCs w:val="21"/>
          <w:lang w:eastAsia="zh-CN"/>
        </w:rPr>
        <w:t>针对区域内农田防护林、防风固沙林、护路林等各类退化林分，结合林地立地条件、退化程度及防护功能短板开展精细化分类修复。优先选用耐旱耐贫瘠、适应性强的本</w:t>
      </w:r>
      <w:r>
        <w:rPr>
          <w:rFonts w:hint="eastAsia" w:ascii="Times New Roman" w:hAnsi="Times New Roman" w:eastAsia="仿宋_GB2312" w:cs="Arial"/>
          <w:b w:val="0"/>
          <w:bCs/>
          <w:snapToGrid w:val="0"/>
          <w:color w:val="auto"/>
          <w:spacing w:val="0"/>
          <w:kern w:val="0"/>
          <w:sz w:val="32"/>
          <w:szCs w:val="21"/>
          <w:lang w:eastAsia="zh-CN"/>
        </w:rPr>
        <w:t>地</w:t>
      </w:r>
      <w:r>
        <w:rPr>
          <w:rFonts w:hint="eastAsia" w:ascii="Times New Roman" w:hAnsi="Times New Roman" w:eastAsia="仿宋_GB2312" w:cs="Arial"/>
          <w:b w:val="0"/>
          <w:bCs/>
          <w:snapToGrid w:val="0"/>
          <w:color w:val="auto"/>
          <w:spacing w:val="0"/>
          <w:kern w:val="0"/>
          <w:sz w:val="32"/>
          <w:szCs w:val="21"/>
          <w:lang w:val="en-US" w:eastAsia="zh-CN"/>
        </w:rPr>
        <w:t>乡土</w:t>
      </w:r>
      <w:r>
        <w:rPr>
          <w:rFonts w:hint="eastAsia" w:ascii="Times New Roman" w:hAnsi="Times New Roman" w:eastAsia="仿宋_GB2312" w:cs="Arial"/>
          <w:b w:val="0"/>
          <w:bCs/>
          <w:snapToGrid w:val="0"/>
          <w:color w:val="auto"/>
          <w:spacing w:val="0"/>
          <w:kern w:val="0"/>
          <w:sz w:val="32"/>
          <w:szCs w:val="21"/>
          <w:lang w:eastAsia="zh-CN"/>
        </w:rPr>
        <w:t>树种、</w:t>
      </w:r>
      <w:r>
        <w:rPr>
          <w:rFonts w:hint="eastAsia" w:ascii="Times New Roman" w:hAnsi="Times New Roman" w:eastAsia="仿宋_GB2312" w:cs="Arial"/>
          <w:b w:val="0"/>
          <w:bCs/>
          <w:snapToGrid w:val="0"/>
          <w:color w:val="auto"/>
          <w:spacing w:val="0"/>
          <w:kern w:val="0"/>
          <w:sz w:val="32"/>
          <w:szCs w:val="21"/>
          <w:lang w:val="en-US" w:eastAsia="zh-CN"/>
        </w:rPr>
        <w:t>草种</w:t>
      </w:r>
      <w:r>
        <w:rPr>
          <w:rFonts w:hint="eastAsia" w:ascii="Times New Roman" w:hAnsi="Times New Roman" w:eastAsia="仿宋_GB2312" w:cs="Arial"/>
          <w:b w:val="0"/>
          <w:bCs/>
          <w:snapToGrid w:val="0"/>
          <w:color w:val="auto"/>
          <w:spacing w:val="0"/>
          <w:kern w:val="0"/>
          <w:sz w:val="32"/>
          <w:szCs w:val="21"/>
          <w:lang w:eastAsia="zh-CN"/>
        </w:rPr>
        <w:t>，杜绝外来不适宜树种引种。因地制宜采取补植补造、</w:t>
      </w:r>
      <w:r>
        <w:rPr>
          <w:rFonts w:hint="eastAsia" w:ascii="Times New Roman" w:hAnsi="Times New Roman" w:eastAsia="仿宋_GB2312" w:cs="Arial"/>
          <w:b w:val="0"/>
          <w:bCs/>
          <w:snapToGrid w:val="0"/>
          <w:color w:val="000000"/>
          <w:spacing w:val="0"/>
          <w:kern w:val="0"/>
          <w:sz w:val="32"/>
          <w:szCs w:val="21"/>
          <w:lang w:eastAsia="zh-CN"/>
        </w:rPr>
        <w:t>疏密调整、更新改造、抚育管护等精准技术措施，补齐林分结构短板，稳步恢复林地生态防护效能，筑牢区域生态屏障。</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snapToGrid w:val="0"/>
          <w:color w:val="000000"/>
          <w:spacing w:val="0"/>
          <w:sz w:val="32"/>
          <w:szCs w:val="28"/>
          <w:lang w:val="en-US" w:eastAsia="zh-CN" w:bidi="ar-SA"/>
        </w:rPr>
      </w:pPr>
      <w:bookmarkStart w:id="105" w:name="_Toc24191"/>
      <w:bookmarkStart w:id="106" w:name="_Toc2992"/>
      <w:bookmarkStart w:id="107" w:name="_Toc22868"/>
      <w:bookmarkStart w:id="108" w:name="_Toc24820"/>
      <w:bookmarkStart w:id="109" w:name="_Toc5196"/>
      <w:r>
        <w:rPr>
          <w:rFonts w:hint="eastAsia" w:ascii="Times New Roman" w:hAnsi="Times New Roman" w:eastAsia="楷体_GB2312" w:cs="方正仿宋_GB2312"/>
          <w:b w:val="0"/>
          <w:bCs/>
          <w:snapToGrid w:val="0"/>
          <w:color w:val="000000"/>
          <w:spacing w:val="0"/>
          <w:sz w:val="32"/>
          <w:szCs w:val="28"/>
          <w:lang w:val="en-US" w:eastAsia="zh-CN" w:bidi="ar-SA"/>
        </w:rPr>
        <w:t>（二）抚育管护</w:t>
      </w:r>
      <w:bookmarkEnd w:id="105"/>
      <w:bookmarkEnd w:id="106"/>
      <w:bookmarkEnd w:id="107"/>
      <w:bookmarkEnd w:id="108"/>
      <w:bookmarkEnd w:id="10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b w:val="0"/>
          <w:bCs/>
          <w:snapToGrid w:val="0"/>
          <w:color w:val="000000"/>
          <w:spacing w:val="0"/>
          <w:kern w:val="0"/>
          <w:sz w:val="32"/>
          <w:szCs w:val="21"/>
          <w:lang w:eastAsia="zh-CN"/>
        </w:rPr>
      </w:pPr>
      <w:r>
        <w:rPr>
          <w:rFonts w:hint="eastAsia" w:ascii="Times New Roman" w:hAnsi="Times New Roman" w:eastAsia="仿宋_GB2312" w:cs="Arial"/>
          <w:b w:val="0"/>
          <w:bCs/>
          <w:snapToGrid w:val="0"/>
          <w:color w:val="000000"/>
          <w:spacing w:val="0"/>
          <w:kern w:val="0"/>
          <w:sz w:val="32"/>
          <w:szCs w:val="21"/>
          <w:lang w:val="en-US" w:eastAsia="zh-CN"/>
        </w:rPr>
        <w:t>加强对全市人工防护林的抚育管护工作。</w:t>
      </w:r>
      <w:r>
        <w:rPr>
          <w:rFonts w:hint="eastAsia" w:ascii="Times New Roman" w:hAnsi="Times New Roman" w:eastAsia="仿宋_GB2312" w:cs="Arial"/>
          <w:b w:val="0"/>
          <w:bCs/>
          <w:snapToGrid w:val="0"/>
          <w:color w:val="000000"/>
          <w:spacing w:val="0"/>
          <w:kern w:val="0"/>
          <w:sz w:val="32"/>
          <w:szCs w:val="21"/>
          <w:lang w:eastAsia="zh-CN"/>
        </w:rPr>
        <w:t>聚焦伊州区大泉湾乡、陶家宫镇、二堡镇、西山乡等重点管护区域，立足人工防护林管护实际，全面推广滴灌、微灌、沟灌等高效节水灌溉技术。因地制宜配套输水管网、取水设施等硬件设施设备，搭建精准节水灌溉体系，针对性解决林地灌溉耗水大、浇灌不均等问题，常态化做好现有人工防护林节水管护工作，稳固林木生长态势与防护能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snapToGrid w:val="0"/>
          <w:color w:val="000000"/>
          <w:spacing w:val="0"/>
          <w:sz w:val="32"/>
          <w:szCs w:val="28"/>
          <w:lang w:val="en-US" w:eastAsia="zh-CN" w:bidi="ar-SA"/>
        </w:rPr>
      </w:pPr>
      <w:bookmarkStart w:id="110" w:name="_Toc25997"/>
      <w:bookmarkStart w:id="111" w:name="_Toc17107"/>
      <w:bookmarkStart w:id="112" w:name="_Toc31354"/>
      <w:bookmarkStart w:id="113" w:name="_Toc9820"/>
      <w:bookmarkStart w:id="114" w:name="_Toc9663"/>
      <w:r>
        <w:rPr>
          <w:rFonts w:hint="eastAsia" w:ascii="Times New Roman" w:hAnsi="Times New Roman" w:eastAsia="楷体_GB2312" w:cs="方正仿宋_GB2312"/>
          <w:b w:val="0"/>
          <w:bCs/>
          <w:snapToGrid w:val="0"/>
          <w:color w:val="000000"/>
          <w:spacing w:val="0"/>
          <w:sz w:val="32"/>
          <w:szCs w:val="28"/>
          <w:lang w:val="en-US" w:eastAsia="zh-CN" w:bidi="ar-SA"/>
        </w:rPr>
        <w:t>（三）义务植树</w:t>
      </w:r>
      <w:bookmarkEnd w:id="110"/>
      <w:bookmarkEnd w:id="111"/>
      <w:bookmarkEnd w:id="112"/>
      <w:bookmarkEnd w:id="113"/>
      <w:bookmarkEnd w:id="114"/>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kern w:val="0"/>
          <w:sz w:val="32"/>
          <w:szCs w:val="21"/>
          <w:lang w:eastAsia="zh-CN"/>
        </w:rPr>
      </w:pPr>
      <w:r>
        <w:rPr>
          <w:rFonts w:hint="eastAsia" w:ascii="Times New Roman" w:hAnsi="Times New Roman" w:eastAsia="仿宋_GB2312" w:cs="Arial"/>
          <w:b w:val="0"/>
          <w:bCs/>
          <w:snapToGrid w:val="0"/>
          <w:color w:val="000000"/>
          <w:spacing w:val="0"/>
          <w:kern w:val="0"/>
          <w:sz w:val="32"/>
          <w:szCs w:val="21"/>
          <w:lang w:eastAsia="zh-CN"/>
        </w:rPr>
        <w:t>坚持全市动员、全民参与，细化压实各级党政机关、企事</w:t>
      </w:r>
      <w:r>
        <w:rPr>
          <w:rFonts w:hint="eastAsia" w:ascii="Times New Roman" w:hAnsi="Times New Roman" w:eastAsia="仿宋_GB2312" w:cs="Arial"/>
          <w:snapToGrid w:val="0"/>
          <w:color w:val="000000"/>
          <w:kern w:val="0"/>
          <w:sz w:val="32"/>
          <w:szCs w:val="21"/>
          <w:lang w:eastAsia="zh-CN"/>
        </w:rPr>
        <w:t>业单位绿化责任，明确植树任务、管护职责与推进节点。推动义务植树基地与自然教育、生态旅游深度融合，依托各类媒体开展常态化宣传引导，广泛调动社会各界参与植绿护绿，营造全民共建生态屏障的良好氛围。</w:t>
      </w:r>
    </w:p>
    <w:bookmarkEnd w:id="67"/>
    <w:bookmarkEnd w:id="68"/>
    <w:bookmarkEnd w:id="69"/>
    <w:bookmarkEnd w:id="70"/>
    <w:bookmarkEnd w:id="71"/>
    <w:bookmarkEnd w:id="72"/>
    <w:bookmarkEnd w:id="73"/>
    <w:bookmarkEnd w:id="82"/>
    <w:p>
      <w:pPr>
        <w:keepNext w:val="0"/>
        <w:keepLines w:val="0"/>
        <w:pageBreakBefore w:val="0"/>
        <w:widowControl w:val="0"/>
        <w:kinsoku/>
        <w:wordWrap/>
        <w:overflowPunct/>
        <w:topLinePunct/>
        <w:autoSpaceDE w:val="0"/>
        <w:autoSpaceDN/>
        <w:bidi w:val="0"/>
        <w:adjustRightInd/>
        <w:snapToGrid/>
        <w:spacing w:line="560" w:lineRule="exact"/>
        <w:ind w:firstLine="640" w:firstLineChars="200"/>
        <w:jc w:val="both"/>
        <w:textAlignment w:val="auto"/>
        <w:outlineLvl w:val="1"/>
        <w:rPr>
          <w:rFonts w:hint="eastAsia" w:ascii="Times New Roman" w:hAnsi="Times New Roman" w:eastAsia="黑体" w:cs="楷体"/>
          <w:bCs/>
          <w:snapToGrid w:val="0"/>
          <w:color w:val="000000"/>
          <w:spacing w:val="0"/>
          <w:sz w:val="32"/>
          <w:szCs w:val="32"/>
          <w:lang w:val="en-US" w:eastAsia="zh-CN" w:bidi="ar-SA"/>
        </w:rPr>
      </w:pPr>
      <w:bookmarkStart w:id="115" w:name="_Toc26249"/>
      <w:bookmarkStart w:id="116" w:name="_Toc27036"/>
      <w:r>
        <w:rPr>
          <w:rFonts w:hint="eastAsia" w:ascii="Times New Roman" w:hAnsi="Times New Roman" w:eastAsia="黑体" w:cs="楷体"/>
          <w:bCs/>
          <w:snapToGrid w:val="0"/>
          <w:color w:val="000000"/>
          <w:spacing w:val="0"/>
          <w:sz w:val="32"/>
          <w:szCs w:val="32"/>
          <w:lang w:val="en-US" w:eastAsia="zh-CN" w:bidi="ar-SA"/>
        </w:rPr>
        <w:t>三、巩固退耕还林还草成果</w:t>
      </w:r>
      <w:bookmarkEnd w:id="115"/>
      <w:bookmarkEnd w:id="116"/>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0"/>
        <w:rPr>
          <w:rFonts w:hint="eastAsia" w:ascii="Times New Roman" w:hAnsi="Times New Roman" w:eastAsia="仿宋_GB2312" w:cs="Arial"/>
          <w:snapToGrid w:val="0"/>
          <w:color w:val="000000"/>
          <w:spacing w:val="0"/>
          <w:kern w:val="0"/>
          <w:sz w:val="32"/>
          <w:szCs w:val="21"/>
          <w:lang w:eastAsia="zh-CN"/>
        </w:rPr>
        <w:sectPr>
          <w:headerReference r:id="rId3" w:type="default"/>
          <w:footerReference r:id="rId4" w:type="default"/>
          <w:pgSz w:w="11905" w:h="16838" w:orient="landscape"/>
          <w:pgMar w:top="2098" w:right="1531" w:bottom="1984" w:left="1531" w:header="851" w:footer="1361" w:gutter="0"/>
          <w:pgBorders>
            <w:top w:val="none" w:sz="0" w:space="0"/>
            <w:left w:val="none" w:sz="0" w:space="0"/>
            <w:bottom w:val="none" w:sz="0" w:space="0"/>
            <w:right w:val="none" w:sz="0" w:space="0"/>
          </w:pgBorders>
          <w:pgNumType w:fmt="numberInDash"/>
          <w:cols w:space="0" w:num="1"/>
          <w:docGrid w:type="lines" w:linePitch="318" w:charSpace="0"/>
        </w:sectPr>
      </w:pPr>
      <w:bookmarkStart w:id="117" w:name="_Toc32024"/>
      <w:r>
        <w:rPr>
          <w:rFonts w:hint="eastAsia" w:ascii="Times New Roman" w:hAnsi="Times New Roman" w:eastAsia="仿宋_GB2312" w:cs="Arial"/>
          <w:snapToGrid w:val="0"/>
          <w:color w:val="000000"/>
          <w:spacing w:val="0"/>
          <w:kern w:val="0"/>
          <w:sz w:val="32"/>
          <w:szCs w:val="21"/>
          <w:lang w:eastAsia="zh-CN"/>
        </w:rPr>
        <w:t>严格落实国家、自治区退耕还林还草后续各项政策要求，扎实推进工程项目建设收尾工作，对未完成验收的地块逐一核查整改、达标验收，验收合格后依规足额兑现补助资金。坚持生态产业化、产业生态化发展路径，统筹推进后续管护，适度发展林草产业，以产业收益反哺植被管护。常态化开展政策宣讲，引导群</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0"/>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众自觉抵制私自开垦、违规种植等行为，自觉守护退耕区域植被资源。健全长效管护机制，强化动态监测，遏制植被退化风险，依靠生态产业稳定群众管护积极性，持续夯实退耕还林还草长效巩固根基。</w:t>
      </w:r>
      <w:bookmarkEnd w:id="117"/>
      <w:bookmarkStart w:id="118" w:name="_Toc21341"/>
      <w:bookmarkStart w:id="119" w:name="_Toc32192"/>
      <w:bookmarkStart w:id="120" w:name="_Toc25499"/>
      <w:bookmarkStart w:id="121" w:name="_Toc17861"/>
      <w:bookmarkStart w:id="122" w:name="_Toc11671"/>
      <w:bookmarkStart w:id="123" w:name="_Toc29820"/>
      <w:bookmarkStart w:id="124" w:name="_Toc5318"/>
      <w:bookmarkStart w:id="125" w:name="_Toc23076"/>
      <w:bookmarkStart w:id="126" w:name="_Toc1344"/>
      <w:bookmarkStart w:id="127" w:name="_Toc27060"/>
      <w:bookmarkStart w:id="128" w:name="_Toc19214"/>
      <w:bookmarkStart w:id="129" w:name="_Toc9810"/>
      <w:bookmarkStart w:id="130" w:name="_Toc11006"/>
      <w:bookmarkStart w:id="131" w:name="_Toc6559"/>
      <w:bookmarkStart w:id="132" w:name="_Toc14396"/>
      <w:bookmarkStart w:id="133" w:name="_Toc5819"/>
      <w:bookmarkStart w:id="134" w:name="_Toc14673"/>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r>
        <w:rPr>
          <w:rFonts w:hint="eastAsia" w:ascii="Times New Roman" w:hAnsi="Times New Roman" w:eastAsia="黑体" w:cs="黑体"/>
          <w:b w:val="0"/>
          <w:bCs w:val="0"/>
          <w:snapToGrid w:val="0"/>
          <w:color w:val="000000"/>
          <w:spacing w:val="0"/>
          <w:sz w:val="32"/>
          <w:szCs w:val="31"/>
          <w:lang w:val="en-US" w:eastAsia="zh-CN" w:bidi="ar-SA"/>
        </w:rPr>
        <w:t xml:space="preserve">第三章 </w:t>
      </w:r>
      <w:bookmarkEnd w:id="118"/>
      <w:bookmarkEnd w:id="119"/>
      <w:bookmarkEnd w:id="120"/>
      <w:bookmarkEnd w:id="121"/>
      <w:bookmarkEnd w:id="122"/>
      <w:bookmarkEnd w:id="123"/>
      <w:bookmarkEnd w:id="124"/>
      <w:bookmarkEnd w:id="125"/>
      <w:bookmarkEnd w:id="126"/>
      <w:r>
        <w:rPr>
          <w:rFonts w:hint="eastAsia" w:ascii="Times New Roman" w:hAnsi="Times New Roman" w:eastAsia="黑体" w:cs="黑体"/>
          <w:b w:val="0"/>
          <w:bCs w:val="0"/>
          <w:snapToGrid w:val="0"/>
          <w:color w:val="000000"/>
          <w:spacing w:val="0"/>
          <w:sz w:val="32"/>
          <w:szCs w:val="31"/>
          <w:lang w:val="en-US" w:eastAsia="zh-CN" w:bidi="ar-SA"/>
        </w:rPr>
        <w:t>草原生态保护利用</w:t>
      </w:r>
      <w:bookmarkEnd w:id="127"/>
      <w:bookmarkEnd w:id="128"/>
      <w:bookmarkEnd w:id="129"/>
      <w:bookmarkEnd w:id="130"/>
      <w:bookmarkEnd w:id="131"/>
      <w:bookmarkEnd w:id="132"/>
      <w:bookmarkEnd w:id="133"/>
      <w:bookmarkEnd w:id="134"/>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135" w:name="_Toc19783"/>
      <w:bookmarkStart w:id="136" w:name="_Toc22277"/>
      <w:bookmarkStart w:id="137" w:name="_Toc22480"/>
      <w:bookmarkStart w:id="138" w:name="_Toc30337"/>
      <w:bookmarkStart w:id="139" w:name="_Toc11415"/>
      <w:bookmarkStart w:id="140" w:name="_Toc21834"/>
      <w:bookmarkStart w:id="141" w:name="_Toc23174"/>
      <w:bookmarkStart w:id="142" w:name="_Toc7891"/>
      <w:r>
        <w:rPr>
          <w:rFonts w:hint="eastAsia" w:ascii="Times New Roman" w:hAnsi="Times New Roman" w:eastAsia="黑体" w:cs="楷体"/>
          <w:bCs/>
          <w:snapToGrid w:val="0"/>
          <w:color w:val="000000"/>
          <w:spacing w:val="0"/>
          <w:sz w:val="32"/>
          <w:szCs w:val="32"/>
          <w:lang w:val="en-US" w:eastAsia="zh-CN" w:bidi="ar-SA"/>
        </w:rPr>
        <w:t>一、落实草原管理制度改革</w:t>
      </w:r>
      <w:bookmarkEnd w:id="135"/>
      <w:bookmarkEnd w:id="136"/>
      <w:bookmarkEnd w:id="137"/>
      <w:bookmarkEnd w:id="138"/>
      <w:bookmarkEnd w:id="139"/>
      <w:bookmarkEnd w:id="140"/>
      <w:bookmarkEnd w:id="141"/>
      <w:bookmarkEnd w:id="142"/>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43" w:name="_Toc389"/>
      <w:bookmarkStart w:id="144" w:name="_Toc17056"/>
      <w:bookmarkStart w:id="145" w:name="_Toc17135"/>
      <w:bookmarkStart w:id="146" w:name="_Toc9306"/>
      <w:bookmarkStart w:id="147" w:name="_Toc19820"/>
      <w:r>
        <w:rPr>
          <w:rFonts w:hint="eastAsia" w:ascii="Times New Roman" w:hAnsi="Times New Roman" w:eastAsia="楷体_GB2312" w:cs="方正仿宋_GB2312"/>
          <w:b w:val="0"/>
          <w:bCs w:val="0"/>
          <w:snapToGrid w:val="0"/>
          <w:color w:val="000000"/>
          <w:spacing w:val="0"/>
          <w:sz w:val="32"/>
          <w:szCs w:val="28"/>
          <w:lang w:val="en-US" w:eastAsia="zh-CN" w:bidi="ar-SA"/>
        </w:rPr>
        <w:t>（一）禁牧休牧制度</w:t>
      </w:r>
      <w:bookmarkEnd w:id="143"/>
      <w:bookmarkEnd w:id="144"/>
      <w:bookmarkEnd w:id="145"/>
      <w:bookmarkEnd w:id="146"/>
      <w:bookmarkEnd w:id="14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巩固禁牧成效，对严重退化、生态极度脆弱草原实施长期禁牧；加强禁牧区巡护执法，建立禁牧区动态监测机制，定期评估禁牧效果，有序调整利用方式。推行季节性休牧，对中度退化草原推行季节性休牧制度，在牧草返青期和枯黄期等关键生长阶段加强休牧管理。落实禁牧补助政策，严格执行国家草原禁牧补助政策，完善禁牧补助绩效考核机制，强化政策激励与约束并举。</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48" w:name="_Toc22030"/>
      <w:bookmarkStart w:id="149" w:name="_Toc21724"/>
      <w:bookmarkStart w:id="150" w:name="_Toc8625"/>
      <w:bookmarkStart w:id="151" w:name="_Toc28147"/>
      <w:bookmarkStart w:id="152" w:name="_Toc24559"/>
      <w:r>
        <w:rPr>
          <w:rFonts w:hint="eastAsia" w:ascii="Times New Roman" w:hAnsi="Times New Roman" w:eastAsia="楷体_GB2312" w:cs="方正仿宋_GB2312"/>
          <w:b w:val="0"/>
          <w:bCs w:val="0"/>
          <w:snapToGrid w:val="0"/>
          <w:color w:val="000000"/>
          <w:spacing w:val="0"/>
          <w:sz w:val="32"/>
          <w:szCs w:val="28"/>
          <w:lang w:val="en-US" w:eastAsia="zh-CN" w:bidi="ar-SA"/>
        </w:rPr>
        <w:t>（二）草畜平衡制度</w:t>
      </w:r>
      <w:bookmarkEnd w:id="148"/>
      <w:bookmarkEnd w:id="149"/>
      <w:bookmarkEnd w:id="150"/>
      <w:bookmarkEnd w:id="151"/>
      <w:bookmarkEnd w:id="152"/>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bookmarkStart w:id="153" w:name="_Toc31618"/>
      <w:r>
        <w:rPr>
          <w:rFonts w:hint="eastAsia" w:ascii="Times New Roman" w:hAnsi="Times New Roman" w:eastAsia="仿宋_GB2312" w:cs="Arial"/>
          <w:snapToGrid w:val="0"/>
          <w:color w:val="000000"/>
          <w:spacing w:val="0"/>
          <w:kern w:val="0"/>
          <w:sz w:val="32"/>
          <w:szCs w:val="21"/>
          <w:lang w:eastAsia="zh-CN"/>
        </w:rPr>
        <w:t>科学核定草原理论载畜量，严格控制放牧强度，防止超载过牧。定期开展草原监测，根据监测结果动态调整载畜量标准。对可利用草原全面落实以草定畜，建立草畜平衡管理台账，常态化开展牲畜存栏核查，精准把控放牧承载底数。</w:t>
      </w:r>
      <w:r>
        <w:rPr>
          <w:rFonts w:hint="eastAsia" w:ascii="Times New Roman" w:hAnsi="Times New Roman" w:eastAsia="仿宋_GB2312" w:cs="Arial"/>
          <w:snapToGrid w:val="0"/>
          <w:color w:val="000000"/>
          <w:spacing w:val="0"/>
          <w:kern w:val="0"/>
          <w:sz w:val="32"/>
          <w:szCs w:val="21"/>
          <w:highlight w:val="none"/>
          <w:lang w:eastAsia="zh-CN"/>
        </w:rPr>
        <w:t>依法依规</w:t>
      </w:r>
      <w:r>
        <w:rPr>
          <w:rFonts w:hint="eastAsia" w:ascii="Times New Roman" w:hAnsi="Times New Roman" w:eastAsia="仿宋_GB2312" w:cs="Arial"/>
          <w:snapToGrid w:val="0"/>
          <w:color w:val="000000"/>
          <w:spacing w:val="0"/>
          <w:kern w:val="0"/>
          <w:sz w:val="32"/>
          <w:szCs w:val="21"/>
          <w:lang w:eastAsia="zh-CN"/>
        </w:rPr>
        <w:t>全面落实草畜平衡奖励政策，刚性约束超载过牧行为。推动健全完善督查考核体系，将制度落实情况纳入地方政府绩效考核，层层压实属地监管责任。</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54" w:name="_Toc19560"/>
      <w:bookmarkStart w:id="155" w:name="_Toc14883"/>
      <w:bookmarkStart w:id="156" w:name="_Toc28680"/>
      <w:bookmarkStart w:id="157" w:name="_Toc26785"/>
      <w:r>
        <w:rPr>
          <w:rFonts w:hint="eastAsia" w:ascii="Times New Roman" w:hAnsi="Times New Roman" w:eastAsia="楷体_GB2312" w:cs="方正仿宋_GB2312"/>
          <w:b w:val="0"/>
          <w:bCs w:val="0"/>
          <w:snapToGrid w:val="0"/>
          <w:color w:val="000000"/>
          <w:spacing w:val="0"/>
          <w:sz w:val="32"/>
          <w:szCs w:val="28"/>
          <w:lang w:val="en-US" w:eastAsia="zh-CN" w:bidi="ar-SA"/>
        </w:rPr>
        <w:t>（三）基本草原保护制度</w:t>
      </w:r>
      <w:bookmarkEnd w:id="153"/>
      <w:bookmarkEnd w:id="154"/>
      <w:bookmarkEnd w:id="155"/>
      <w:bookmarkEnd w:id="156"/>
      <w:bookmarkEnd w:id="15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按照“应划尽划、应保尽保”原则划定基本草原，建立基本草原数据库，推进“上图入库”管理，依法严格执行基本草原保护制度，持续加大执法监管力度，严厉打击非法占用、开垦草原等违法犯罪行为。健全草原监测体系，开展草原生态状况和生态安全风险研判评估，全面掌握草原生态系统演化情况。</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158" w:name="_Toc22537"/>
      <w:bookmarkStart w:id="159" w:name="_Toc12879"/>
      <w:bookmarkStart w:id="160" w:name="_Toc30217"/>
      <w:bookmarkStart w:id="161" w:name="_Toc21959"/>
      <w:bookmarkStart w:id="162" w:name="_Toc25333"/>
      <w:bookmarkStart w:id="163" w:name="_Toc29188"/>
      <w:bookmarkStart w:id="164" w:name="_Toc14535"/>
      <w:bookmarkStart w:id="165" w:name="_Toc16034"/>
      <w:r>
        <w:rPr>
          <w:rFonts w:hint="eastAsia" w:ascii="Times New Roman" w:hAnsi="Times New Roman" w:eastAsia="黑体" w:cs="楷体"/>
          <w:bCs/>
          <w:snapToGrid w:val="0"/>
          <w:color w:val="000000"/>
          <w:spacing w:val="0"/>
          <w:sz w:val="32"/>
          <w:szCs w:val="32"/>
          <w:lang w:val="en-US" w:eastAsia="zh-CN" w:bidi="ar-SA"/>
        </w:rPr>
        <w:t>二、深化草原可持续利用</w:t>
      </w:r>
      <w:bookmarkEnd w:id="158"/>
      <w:bookmarkEnd w:id="159"/>
      <w:bookmarkEnd w:id="160"/>
      <w:bookmarkEnd w:id="161"/>
      <w:bookmarkEnd w:id="162"/>
      <w:bookmarkEnd w:id="163"/>
      <w:bookmarkEnd w:id="164"/>
      <w:bookmarkEnd w:id="165"/>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66" w:name="_Toc5637"/>
      <w:bookmarkStart w:id="167" w:name="_Toc14718"/>
      <w:bookmarkStart w:id="168" w:name="_Toc4865"/>
      <w:bookmarkStart w:id="169" w:name="_Toc21546"/>
      <w:r>
        <w:rPr>
          <w:rFonts w:hint="eastAsia" w:ascii="Times New Roman" w:hAnsi="Times New Roman" w:eastAsia="楷体_GB2312" w:cs="方正仿宋_GB2312"/>
          <w:b w:val="0"/>
          <w:bCs w:val="0"/>
          <w:snapToGrid w:val="0"/>
          <w:color w:val="000000"/>
          <w:spacing w:val="0"/>
          <w:sz w:val="32"/>
          <w:szCs w:val="28"/>
          <w:lang w:val="en-US" w:eastAsia="zh-CN" w:bidi="ar-SA"/>
        </w:rPr>
        <w:t>（一）严格草原定额管控审批</w:t>
      </w:r>
      <w:bookmarkEnd w:id="166"/>
      <w:bookmarkEnd w:id="167"/>
      <w:bookmarkEnd w:id="168"/>
      <w:bookmarkEnd w:id="16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紧扣哈密市草原生态保护与经济社会发展实际，秉持节约集约利用原则，严格落实草原开发利用定额管理制度。规范草原征占用、放牧利用等审批流程，从严审核各类草原开发申请，建立常态化定额使用核查机制。定期核验区域草原利用情况，严查超定额、违规利用行为，保障草原定额管理制度落地见效。</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70" w:name="_Toc28202"/>
      <w:bookmarkStart w:id="171" w:name="_Toc5543"/>
      <w:bookmarkStart w:id="172" w:name="_Toc1978"/>
      <w:bookmarkStart w:id="173" w:name="_Toc13849"/>
      <w:r>
        <w:rPr>
          <w:rFonts w:hint="eastAsia" w:ascii="Times New Roman" w:hAnsi="Times New Roman" w:eastAsia="楷体_GB2312" w:cs="方正仿宋_GB2312"/>
          <w:b w:val="0"/>
          <w:bCs w:val="0"/>
          <w:snapToGrid w:val="0"/>
          <w:color w:val="000000"/>
          <w:spacing w:val="0"/>
          <w:sz w:val="32"/>
          <w:szCs w:val="28"/>
          <w:lang w:val="en-US" w:eastAsia="zh-CN" w:bidi="ar-SA"/>
        </w:rPr>
        <w:t>（二）</w:t>
      </w:r>
      <w:bookmarkEnd w:id="170"/>
      <w:r>
        <w:rPr>
          <w:rFonts w:hint="eastAsia" w:ascii="Times New Roman" w:hAnsi="Times New Roman" w:eastAsia="楷体_GB2312" w:cs="方正仿宋_GB2312"/>
          <w:b w:val="0"/>
          <w:bCs w:val="0"/>
          <w:snapToGrid w:val="0"/>
          <w:color w:val="000000"/>
          <w:spacing w:val="0"/>
          <w:sz w:val="32"/>
          <w:szCs w:val="28"/>
          <w:lang w:val="en-US" w:eastAsia="zh-CN" w:bidi="ar-SA"/>
        </w:rPr>
        <w:t>创新草原利用模式</w:t>
      </w:r>
      <w:bookmarkEnd w:id="171"/>
      <w:bookmarkEnd w:id="172"/>
      <w:bookmarkEnd w:id="17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在保障生态安全、不突破草原生态承载力的前提下，依托草原资源状况和民族文化资源，发展生态观光旅游、休闲牧业、草原研学等新业态，推动草原资源从单一畜牧业利用向生态、经济、文化多元利用转变，提升草原综合利用价值。</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74" w:name="_Toc420"/>
      <w:bookmarkStart w:id="175" w:name="_Toc14562"/>
      <w:bookmarkStart w:id="176" w:name="_Toc22717"/>
      <w:bookmarkStart w:id="177" w:name="_Toc4569"/>
      <w:r>
        <w:rPr>
          <w:rFonts w:hint="eastAsia" w:ascii="Times New Roman" w:hAnsi="Times New Roman" w:eastAsia="楷体_GB2312" w:cs="方正仿宋_GB2312"/>
          <w:b w:val="0"/>
          <w:bCs w:val="0"/>
          <w:snapToGrid w:val="0"/>
          <w:color w:val="000000"/>
          <w:spacing w:val="0"/>
          <w:sz w:val="32"/>
          <w:szCs w:val="28"/>
          <w:lang w:val="en-US" w:eastAsia="zh-CN" w:bidi="ar-SA"/>
        </w:rPr>
        <w:t>（三）</w:t>
      </w:r>
      <w:bookmarkEnd w:id="174"/>
      <w:r>
        <w:rPr>
          <w:rFonts w:hint="eastAsia" w:ascii="Times New Roman" w:hAnsi="Times New Roman" w:eastAsia="楷体_GB2312" w:cs="方正仿宋_GB2312"/>
          <w:b w:val="0"/>
          <w:bCs w:val="0"/>
          <w:snapToGrid w:val="0"/>
          <w:color w:val="000000"/>
          <w:spacing w:val="0"/>
          <w:sz w:val="32"/>
          <w:szCs w:val="28"/>
          <w:lang w:val="en-US" w:eastAsia="zh-CN" w:bidi="ar-SA"/>
        </w:rPr>
        <w:t>促进生态与民生协调发展</w:t>
      </w:r>
      <w:bookmarkEnd w:id="175"/>
      <w:bookmarkEnd w:id="176"/>
      <w:bookmarkEnd w:id="17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统筹草原生态保护与农牧民生产生活需求，依托草原生态保护建设各类工程项目，对符合条件的项目积极推广以工代赈，增加农牧民收入。</w:t>
      </w:r>
      <w:r>
        <w:rPr>
          <w:rFonts w:hint="eastAsia" w:ascii="Times New Roman" w:hAnsi="Times New Roman" w:eastAsia="仿宋_GB2312" w:cs="Arial"/>
          <w:snapToGrid w:val="0"/>
          <w:color w:val="000000"/>
          <w:spacing w:val="0"/>
          <w:kern w:val="0"/>
          <w:sz w:val="32"/>
          <w:szCs w:val="21"/>
          <w:highlight w:val="none"/>
          <w:lang w:eastAsia="zh-CN"/>
        </w:rPr>
        <w:t>依法依规</w:t>
      </w:r>
      <w:r>
        <w:rPr>
          <w:rFonts w:hint="eastAsia" w:ascii="Times New Roman" w:hAnsi="Times New Roman" w:eastAsia="仿宋_GB2312" w:cs="Arial"/>
          <w:snapToGrid w:val="0"/>
          <w:color w:val="000000"/>
          <w:spacing w:val="0"/>
          <w:kern w:val="0"/>
          <w:sz w:val="32"/>
          <w:szCs w:val="21"/>
          <w:lang w:eastAsia="zh-CN"/>
        </w:rPr>
        <w:t>落实草原生态保护补助奖励政策，让农牧民从草原保护中获得稳定收益，实现“保生态”与“保民生”的良性循环，让农牧民成为草原保护的参与者、受益者。</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178" w:name="_Toc32403"/>
      <w:bookmarkStart w:id="179" w:name="_Toc22740"/>
      <w:bookmarkStart w:id="180" w:name="_Toc32429"/>
      <w:bookmarkStart w:id="181" w:name="_Toc31732"/>
      <w:bookmarkStart w:id="182" w:name="_Toc22380"/>
      <w:bookmarkStart w:id="183" w:name="_Toc2425"/>
      <w:bookmarkStart w:id="184" w:name="_Toc17125"/>
      <w:bookmarkStart w:id="185" w:name="_Toc4252"/>
      <w:r>
        <w:rPr>
          <w:rFonts w:hint="eastAsia" w:ascii="Times New Roman" w:hAnsi="Times New Roman" w:eastAsia="黑体" w:cs="楷体"/>
          <w:bCs/>
          <w:snapToGrid w:val="0"/>
          <w:color w:val="000000"/>
          <w:spacing w:val="0"/>
          <w:sz w:val="32"/>
          <w:szCs w:val="32"/>
          <w:lang w:val="en-US" w:eastAsia="zh-CN" w:bidi="ar-SA"/>
        </w:rPr>
        <w:t>三、推进退化草原修复</w:t>
      </w:r>
      <w:bookmarkEnd w:id="178"/>
      <w:bookmarkEnd w:id="179"/>
      <w:bookmarkEnd w:id="180"/>
      <w:bookmarkEnd w:id="181"/>
      <w:bookmarkEnd w:id="182"/>
      <w:bookmarkEnd w:id="183"/>
      <w:bookmarkEnd w:id="184"/>
      <w:bookmarkEnd w:id="185"/>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86" w:name="_Toc16726"/>
      <w:bookmarkStart w:id="187" w:name="_Toc30173"/>
      <w:bookmarkStart w:id="188" w:name="_Toc7486"/>
      <w:bookmarkStart w:id="189" w:name="_Toc25428"/>
      <w:bookmarkStart w:id="190" w:name="_Toc23714"/>
      <w:r>
        <w:rPr>
          <w:rFonts w:hint="eastAsia" w:ascii="Times New Roman" w:hAnsi="Times New Roman" w:eastAsia="楷体_GB2312" w:cs="方正仿宋_GB2312"/>
          <w:b w:val="0"/>
          <w:bCs w:val="0"/>
          <w:snapToGrid w:val="0"/>
          <w:color w:val="000000"/>
          <w:spacing w:val="0"/>
          <w:sz w:val="32"/>
          <w:szCs w:val="28"/>
          <w:lang w:val="en-US" w:eastAsia="zh-CN" w:bidi="ar-SA"/>
        </w:rPr>
        <w:t>（一）</w:t>
      </w:r>
      <w:bookmarkEnd w:id="186"/>
      <w:r>
        <w:rPr>
          <w:rFonts w:hint="eastAsia" w:ascii="Times New Roman" w:hAnsi="Times New Roman" w:eastAsia="楷体_GB2312" w:cs="方正仿宋_GB2312"/>
          <w:b w:val="0"/>
          <w:bCs w:val="0"/>
          <w:snapToGrid w:val="0"/>
          <w:color w:val="000000"/>
          <w:spacing w:val="0"/>
          <w:sz w:val="32"/>
          <w:szCs w:val="28"/>
          <w:lang w:val="en-US" w:eastAsia="zh-CN" w:bidi="ar-SA"/>
        </w:rPr>
        <w:t>开展分级分类修复</w:t>
      </w:r>
      <w:bookmarkEnd w:id="187"/>
      <w:bookmarkEnd w:id="188"/>
      <w:bookmarkEnd w:id="189"/>
      <w:bookmarkEnd w:id="190"/>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根据天然草原演替规律和发育阶段，坚持自然恢复为主，对具备修复条件的退化草原辅以人工干预，科学实施人工促进、自然更新等修复措施。对严重退化草原实施围栏封育和补播改良，退化严重区域视情况开展大面积封禁保护，对中度退化草原实施围栏保护和自然恢复，对轻度退化草原以草畜平衡管理和动态监测为主。结合农田防护林、防风固沙林建设，在草原沙化区域构建乔灌草结合的多层次防风固沙体系，遏制草原沙化扩展趋势。</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b w:val="0"/>
          <w:bCs w:val="0"/>
          <w:snapToGrid w:val="0"/>
          <w:color w:val="000000"/>
          <w:spacing w:val="0"/>
          <w:kern w:val="0"/>
          <w:sz w:val="32"/>
          <w:szCs w:val="21"/>
          <w:lang w:eastAsia="en-US"/>
        </w:rPr>
      </w:pPr>
      <w:bookmarkStart w:id="191" w:name="_Toc21946"/>
      <w:bookmarkStart w:id="192" w:name="_Toc8584"/>
      <w:bookmarkStart w:id="193" w:name="_Toc10539"/>
      <w:bookmarkStart w:id="194" w:name="_Toc21311"/>
      <w:r>
        <w:rPr>
          <w:rFonts w:hint="eastAsia" w:ascii="Times New Roman" w:hAnsi="Times New Roman" w:eastAsia="楷体_GB2312" w:cs="方正仿宋_GB2312"/>
          <w:b w:val="0"/>
          <w:bCs w:val="0"/>
          <w:snapToGrid w:val="0"/>
          <w:color w:val="000000"/>
          <w:spacing w:val="0"/>
          <w:kern w:val="0"/>
          <w:sz w:val="32"/>
          <w:szCs w:val="28"/>
        </w:rPr>
        <w:t>（二）加强草原支撑体系建设</w:t>
      </w:r>
    </w:p>
    <w:bookmarkEnd w:id="191"/>
    <w:bookmarkEnd w:id="192"/>
    <w:bookmarkEnd w:id="193"/>
    <w:bookmarkEnd w:id="194"/>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bookmarkStart w:id="195" w:name="_Toc20203"/>
      <w:r>
        <w:rPr>
          <w:rFonts w:hint="eastAsia" w:ascii="Times New Roman" w:hAnsi="Times New Roman" w:eastAsia="仿宋_GB2312" w:cs="Arial"/>
          <w:snapToGrid w:val="0"/>
          <w:color w:val="000000"/>
          <w:spacing w:val="0"/>
          <w:kern w:val="0"/>
          <w:sz w:val="32"/>
          <w:szCs w:val="21"/>
          <w:lang w:eastAsia="zh-CN"/>
        </w:rPr>
        <w:t>持续推进草原资源常态化动态监测，扎实推进草原固定监测点标准化建设与运维管理，常态化开展草原执法巡查，压实基层管护站运行保障职责，全方位夯实草原保护治理基础支撑。同步健全本地化草原生态保护补偿机制，细化补偿标准与兑付流程，以正向政策激励引导广大农牧民主动参与草原日常管护和生态修复工作。</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196" w:name="_Toc27140"/>
      <w:bookmarkStart w:id="197" w:name="_Toc21792"/>
      <w:bookmarkStart w:id="198" w:name="_Toc24529"/>
      <w:bookmarkStart w:id="199" w:name="_Toc22143"/>
      <w:r>
        <w:rPr>
          <w:rFonts w:hint="eastAsia" w:ascii="Times New Roman" w:hAnsi="Times New Roman" w:eastAsia="楷体_GB2312" w:cs="方正仿宋_GB2312"/>
          <w:b w:val="0"/>
          <w:bCs w:val="0"/>
          <w:snapToGrid w:val="0"/>
          <w:color w:val="000000"/>
          <w:spacing w:val="0"/>
          <w:sz w:val="32"/>
          <w:szCs w:val="28"/>
          <w:lang w:val="en-US" w:eastAsia="zh-CN" w:bidi="ar-SA"/>
        </w:rPr>
        <w:t>（三）建设乡土草种基地</w:t>
      </w:r>
      <w:bookmarkEnd w:id="195"/>
      <w:bookmarkEnd w:id="196"/>
      <w:bookmarkEnd w:id="197"/>
      <w:bookmarkEnd w:id="198"/>
      <w:bookmarkEnd w:id="19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黑体" w:hAnsi="黑体" w:eastAsia="黑体" w:cs="黑体"/>
          <w:snapToGrid w:val="0"/>
          <w:color w:val="000000"/>
          <w:spacing w:val="0"/>
          <w:kern w:val="0"/>
          <w:sz w:val="32"/>
          <w:szCs w:val="32"/>
          <w:lang w:eastAsia="zh-CN"/>
        </w:rPr>
      </w:pPr>
      <w:r>
        <w:rPr>
          <w:rFonts w:hint="eastAsia" w:ascii="Times New Roman" w:hAnsi="Times New Roman" w:eastAsia="仿宋_GB2312" w:cs="Arial"/>
          <w:snapToGrid w:val="0"/>
          <w:color w:val="000000"/>
          <w:spacing w:val="0"/>
          <w:kern w:val="0"/>
          <w:sz w:val="32"/>
          <w:szCs w:val="21"/>
          <w:lang w:eastAsia="zh-CN"/>
        </w:rPr>
        <w:t>依托自治区草品种区域试验站（哈密站），持续承接自治区草品种区域试验和适应性示范种植任务，开展适应极干旱、干旱区生态环境的优良草种选育、试验示范、品种备案和推广应用；重点针对不同海拔梯度、不同退化程度草场的修复需求，筛选培育针对性强的草种组合，为全市草原修复提供精准种源支撑。</w:t>
      </w:r>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bookmarkStart w:id="200" w:name="_Toc12872"/>
      <w:bookmarkStart w:id="201" w:name="_Toc2949"/>
      <w:bookmarkStart w:id="202" w:name="_Toc22612"/>
      <w:bookmarkStart w:id="203" w:name="_Toc30539"/>
      <w:bookmarkStart w:id="204" w:name="_Toc31756"/>
      <w:bookmarkStart w:id="205" w:name="_Toc27967"/>
      <w:bookmarkStart w:id="206" w:name="_Toc31941"/>
      <w:bookmarkStart w:id="207" w:name="_Toc15976"/>
      <w:r>
        <w:rPr>
          <w:rFonts w:hint="eastAsia" w:ascii="Times New Roman" w:hAnsi="Times New Roman" w:eastAsia="黑体" w:cs="黑体"/>
          <w:b w:val="0"/>
          <w:bCs w:val="0"/>
          <w:snapToGrid w:val="0"/>
          <w:color w:val="000000"/>
          <w:spacing w:val="0"/>
          <w:sz w:val="32"/>
          <w:szCs w:val="31"/>
          <w:lang w:val="en-US" w:eastAsia="zh-CN" w:bidi="ar-SA"/>
        </w:rPr>
        <w:t>第四章 荒漠化综合治理</w:t>
      </w:r>
      <w:bookmarkEnd w:id="200"/>
      <w:bookmarkEnd w:id="201"/>
      <w:bookmarkEnd w:id="202"/>
      <w:bookmarkEnd w:id="203"/>
      <w:bookmarkEnd w:id="204"/>
      <w:bookmarkEnd w:id="205"/>
      <w:bookmarkEnd w:id="206"/>
      <w:bookmarkEnd w:id="20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208" w:name="_Toc30403"/>
      <w:bookmarkStart w:id="209" w:name="_Toc24423"/>
      <w:bookmarkStart w:id="210" w:name="_Toc8774"/>
      <w:bookmarkStart w:id="211" w:name="_Toc11453"/>
      <w:bookmarkStart w:id="212" w:name="_Toc314"/>
      <w:bookmarkStart w:id="213" w:name="_Toc13112"/>
      <w:bookmarkStart w:id="214" w:name="_Toc2181"/>
      <w:bookmarkStart w:id="215" w:name="_Toc8057"/>
      <w:r>
        <w:rPr>
          <w:rFonts w:hint="eastAsia" w:ascii="Times New Roman" w:hAnsi="Times New Roman" w:eastAsia="黑体" w:cs="楷体"/>
          <w:bCs/>
          <w:snapToGrid w:val="0"/>
          <w:color w:val="000000"/>
          <w:spacing w:val="0"/>
          <w:sz w:val="32"/>
          <w:szCs w:val="32"/>
          <w:lang w:val="en-US" w:eastAsia="zh-CN" w:bidi="ar-SA"/>
        </w:rPr>
        <w:t>一、抓实沙化土地封禁保护区管护</w:t>
      </w:r>
      <w:bookmarkEnd w:id="208"/>
      <w:bookmarkEnd w:id="209"/>
      <w:bookmarkEnd w:id="210"/>
      <w:bookmarkEnd w:id="211"/>
      <w:bookmarkEnd w:id="212"/>
      <w:bookmarkEnd w:id="213"/>
      <w:bookmarkEnd w:id="214"/>
      <w:bookmarkEnd w:id="215"/>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val="en-US" w:eastAsia="zh-CN"/>
        </w:rPr>
        <w:t>按照国家、自治区“三北”工程六期规划、哈密市防沙治沙规划既定要求，</w:t>
      </w:r>
      <w:r>
        <w:rPr>
          <w:rFonts w:hint="eastAsia" w:ascii="Times New Roman" w:hAnsi="Times New Roman" w:eastAsia="仿宋_GB2312" w:cs="Arial"/>
          <w:snapToGrid w:val="0"/>
          <w:color w:val="000000"/>
          <w:spacing w:val="0"/>
          <w:kern w:val="0"/>
          <w:sz w:val="32"/>
          <w:szCs w:val="21"/>
          <w:highlight w:val="none"/>
          <w:lang w:val="en-US" w:eastAsia="zh-CN"/>
        </w:rPr>
        <w:t>依法依规</w:t>
      </w:r>
      <w:r>
        <w:rPr>
          <w:rFonts w:hint="eastAsia" w:ascii="Times New Roman" w:hAnsi="Times New Roman" w:eastAsia="仿宋_GB2312" w:cs="Arial"/>
          <w:snapToGrid w:val="0"/>
          <w:color w:val="000000"/>
          <w:spacing w:val="0"/>
          <w:kern w:val="0"/>
          <w:sz w:val="32"/>
          <w:szCs w:val="21"/>
          <w:lang w:val="en-US" w:eastAsia="zh-CN"/>
        </w:rPr>
        <w:t>精准落地沙化土地封禁保护补助各项政策，</w:t>
      </w:r>
      <w:r>
        <w:rPr>
          <w:rFonts w:hint="eastAsia" w:ascii="Times New Roman" w:hAnsi="Times New Roman" w:eastAsia="仿宋_GB2312" w:cs="Arial"/>
          <w:snapToGrid w:val="0"/>
          <w:color w:val="000000"/>
          <w:spacing w:val="0"/>
          <w:kern w:val="0"/>
          <w:sz w:val="32"/>
          <w:szCs w:val="21"/>
          <w:lang w:eastAsia="zh-CN"/>
        </w:rPr>
        <w:t>聚焦伊州区重点沙化土地封禁保护区开展常态化管护工作。定期排查、维修更新沙障、防护围栏等核心治沙设施，及时修复破损老化设施，保障封禁防护体系完整有效。持续开展全域常态化巡护，严禁区域内开垦、放牧、滥采滥挖等破坏荒漠植被的行为。同步开展生态恢复动态监测与气象数据跟踪，精准掌握区域生态修复成效。</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216" w:name="_Toc3057"/>
      <w:bookmarkStart w:id="217" w:name="_Toc1084"/>
      <w:bookmarkStart w:id="218" w:name="_Toc5991"/>
      <w:bookmarkStart w:id="219" w:name="_Toc1586"/>
      <w:bookmarkStart w:id="220" w:name="_Toc17897"/>
      <w:bookmarkStart w:id="221" w:name="_Toc23153"/>
      <w:bookmarkStart w:id="222" w:name="_Toc13911"/>
      <w:bookmarkStart w:id="223" w:name="_Toc25167"/>
      <w:r>
        <w:rPr>
          <w:rFonts w:hint="eastAsia" w:ascii="Times New Roman" w:hAnsi="Times New Roman" w:eastAsia="黑体" w:cs="楷体"/>
          <w:bCs/>
          <w:snapToGrid w:val="0"/>
          <w:color w:val="000000"/>
          <w:spacing w:val="0"/>
          <w:sz w:val="32"/>
          <w:szCs w:val="32"/>
          <w:lang w:val="en-US" w:eastAsia="zh-CN" w:bidi="ar-SA"/>
        </w:rPr>
        <w:t>二、构建乔灌草复合生物固沙体系</w:t>
      </w:r>
      <w:bookmarkEnd w:id="216"/>
      <w:bookmarkEnd w:id="217"/>
      <w:bookmarkEnd w:id="218"/>
      <w:bookmarkEnd w:id="219"/>
      <w:bookmarkEnd w:id="220"/>
      <w:bookmarkEnd w:id="221"/>
      <w:bookmarkEnd w:id="222"/>
      <w:bookmarkEnd w:id="22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坚持自然恢复为主、人工修复为辅，坚持以水资源承载力为根本原则，立足哈密干旱少雨、风沙频发的地域特点，适地适树，优选耐旱抗逆乡土树种开展治沙造林。遵循灌木为主、乔灌草搭配的造林模式，科学搭配草本植被，打造结构稳定、层级丰富的防风固沙林带。通过造林补绿、退化植被修复，补齐荒漠区域植被短板，构建本土化、可持续的生物固沙防护屏障，提升区域风沙抵御能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224" w:name="_Toc15131"/>
      <w:bookmarkStart w:id="225" w:name="_Toc14105"/>
      <w:bookmarkStart w:id="226" w:name="_Toc32507"/>
      <w:bookmarkStart w:id="227" w:name="_Toc3755"/>
      <w:bookmarkStart w:id="228" w:name="_Toc11436"/>
      <w:bookmarkStart w:id="229" w:name="_Toc8428"/>
      <w:bookmarkStart w:id="230" w:name="_Toc22777"/>
      <w:bookmarkStart w:id="231" w:name="_Toc662"/>
      <w:r>
        <w:rPr>
          <w:rFonts w:hint="eastAsia" w:ascii="Times New Roman" w:hAnsi="Times New Roman" w:eastAsia="黑体" w:cs="楷体"/>
          <w:bCs/>
          <w:snapToGrid w:val="0"/>
          <w:color w:val="000000"/>
          <w:spacing w:val="0"/>
          <w:sz w:val="32"/>
          <w:szCs w:val="32"/>
          <w:lang w:val="en-US" w:eastAsia="zh-CN" w:bidi="ar-SA"/>
        </w:rPr>
        <w:t>三、推进工程生态协同治沙发展</w:t>
      </w:r>
      <w:bookmarkEnd w:id="224"/>
      <w:bookmarkEnd w:id="225"/>
      <w:bookmarkEnd w:id="226"/>
      <w:bookmarkEnd w:id="227"/>
      <w:bookmarkEnd w:id="228"/>
      <w:bookmarkEnd w:id="229"/>
      <w:bookmarkEnd w:id="230"/>
      <w:bookmarkEnd w:id="23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坚持工程固沙与植物固沙双向发力、综合治理，针对哈密沙漠、戈壁、荒漠重点区域，因地制宜布设草方格、砾石压沙、尼龙网格等工程固沙措施，有效固定流动沙地、遏制风沙蔓延。统筹区域生态保护与产业发展，配合推进哈密荒漠戈壁站实施，常态化开展生态系统结构、生物多样性、植被覆盖度、沙化动态、生态承载力等指标监测，立足荒漠土地资源优势，合理统筹风电、光伏新能源项目开发建设，探索建立风光电项目生态修复与收益反哺机制。严格规范施工范围与作业流程，最大限度降低工程扰动，实现荒漠化防治与新能源产业协同绿色发展。积极对接“三北”工程六期核心攻坚区吐哈盆地（天山森林草原）荒漠综合治理项目、协同推进区准噶尔盆地绿洲保护综合治理项目等重大生态工程，形成协同保护格局。</w:t>
      </w:r>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bookmarkStart w:id="232" w:name="_Toc11673"/>
      <w:bookmarkStart w:id="233" w:name="_Toc25705"/>
      <w:bookmarkStart w:id="234" w:name="_Toc19101"/>
      <w:bookmarkStart w:id="235" w:name="_Toc4534"/>
      <w:bookmarkStart w:id="236" w:name="_Toc24031"/>
      <w:bookmarkStart w:id="237" w:name="_Toc30904"/>
      <w:bookmarkStart w:id="238" w:name="_Toc1580"/>
      <w:bookmarkStart w:id="239" w:name="_Toc3679"/>
      <w:r>
        <w:rPr>
          <w:rFonts w:hint="eastAsia" w:ascii="Times New Roman" w:hAnsi="Times New Roman" w:eastAsia="黑体" w:cs="黑体"/>
          <w:b w:val="0"/>
          <w:bCs w:val="0"/>
          <w:snapToGrid w:val="0"/>
          <w:color w:val="000000"/>
          <w:spacing w:val="0"/>
          <w:sz w:val="32"/>
          <w:szCs w:val="31"/>
          <w:lang w:val="en-US" w:eastAsia="zh-CN" w:bidi="ar-SA"/>
        </w:rPr>
        <w:t>第五章 推进自然保护地体系与生物多样性保护</w:t>
      </w:r>
      <w:bookmarkEnd w:id="232"/>
      <w:bookmarkEnd w:id="233"/>
      <w:bookmarkEnd w:id="234"/>
      <w:bookmarkEnd w:id="235"/>
      <w:bookmarkEnd w:id="236"/>
      <w:bookmarkEnd w:id="237"/>
      <w:bookmarkEnd w:id="238"/>
      <w:bookmarkEnd w:id="23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240" w:name="_Toc2008"/>
      <w:bookmarkStart w:id="241" w:name="_Toc925"/>
      <w:bookmarkStart w:id="242" w:name="_Toc7021"/>
      <w:bookmarkStart w:id="243" w:name="_Toc24641"/>
      <w:bookmarkStart w:id="244" w:name="_Toc11134"/>
      <w:bookmarkStart w:id="245" w:name="_Toc2340"/>
      <w:bookmarkStart w:id="246" w:name="_Toc6334"/>
      <w:bookmarkStart w:id="247" w:name="_Toc3741"/>
      <w:r>
        <w:rPr>
          <w:rFonts w:hint="eastAsia" w:ascii="Times New Roman" w:hAnsi="Times New Roman" w:eastAsia="黑体" w:cs="楷体"/>
          <w:bCs/>
          <w:snapToGrid w:val="0"/>
          <w:color w:val="000000"/>
          <w:spacing w:val="0"/>
          <w:sz w:val="32"/>
          <w:szCs w:val="32"/>
          <w:lang w:val="en-US" w:eastAsia="zh-CN" w:bidi="ar-SA"/>
        </w:rPr>
        <w:t>一、建立健全自然保护地体系</w:t>
      </w:r>
      <w:bookmarkEnd w:id="240"/>
      <w:bookmarkEnd w:id="241"/>
      <w:bookmarkEnd w:id="242"/>
      <w:bookmarkEnd w:id="243"/>
      <w:bookmarkEnd w:id="244"/>
      <w:bookmarkEnd w:id="245"/>
      <w:bookmarkEnd w:id="246"/>
      <w:bookmarkEnd w:id="24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48" w:name="_Toc1148"/>
      <w:bookmarkStart w:id="249" w:name="_Toc11122"/>
      <w:bookmarkStart w:id="250" w:name="_Toc30361"/>
      <w:bookmarkStart w:id="251" w:name="_Toc22190"/>
      <w:r>
        <w:rPr>
          <w:rFonts w:hint="eastAsia" w:ascii="Times New Roman" w:hAnsi="Times New Roman" w:eastAsia="楷体_GB2312" w:cs="方正仿宋_GB2312"/>
          <w:b w:val="0"/>
          <w:bCs w:val="0"/>
          <w:snapToGrid w:val="0"/>
          <w:color w:val="000000"/>
          <w:spacing w:val="0"/>
          <w:sz w:val="32"/>
          <w:szCs w:val="28"/>
          <w:lang w:val="en-US" w:eastAsia="zh-CN" w:bidi="ar-SA"/>
        </w:rPr>
        <w:t>（一）实施整合优化</w:t>
      </w:r>
      <w:bookmarkEnd w:id="248"/>
      <w:bookmarkEnd w:id="249"/>
      <w:bookmarkEnd w:id="250"/>
      <w:bookmarkEnd w:id="25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实施</w:t>
      </w:r>
      <w:r>
        <w:rPr>
          <w:rFonts w:hint="eastAsia" w:ascii="Times New Roman" w:hAnsi="Times New Roman" w:eastAsia="仿宋_GB2312" w:cs="Arial"/>
          <w:snapToGrid w:val="0"/>
          <w:color w:val="000000"/>
          <w:spacing w:val="0"/>
          <w:kern w:val="0"/>
          <w:sz w:val="32"/>
          <w:szCs w:val="21"/>
          <w:lang w:val="en-US" w:eastAsia="zh-CN"/>
        </w:rPr>
        <w:t>新疆罗布泊野骆驼国家级自然保护区（哈密片区）、哈密河国家湿地公园等</w:t>
      </w:r>
      <w:r>
        <w:rPr>
          <w:rFonts w:hint="eastAsia" w:ascii="Times New Roman" w:hAnsi="Times New Roman" w:eastAsia="仿宋_GB2312" w:cs="Arial"/>
          <w:snapToGrid w:val="0"/>
          <w:color w:val="000000"/>
          <w:spacing w:val="0"/>
          <w:kern w:val="0"/>
          <w:sz w:val="32"/>
          <w:szCs w:val="21"/>
          <w:lang w:eastAsia="zh-CN"/>
        </w:rPr>
        <w:t>自然保护地整合优化，系统保护典型荒漠、山地森林、内陆湿地等生态系统。开展自然保护地总体规划编制修订、勘界立标，推进自然保护地资源本底调查，提升自然保护地精准管理水平。</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52" w:name="_Toc29210"/>
      <w:bookmarkStart w:id="253" w:name="_Toc6625"/>
      <w:bookmarkStart w:id="254" w:name="_Toc8424"/>
      <w:bookmarkStart w:id="255" w:name="_Toc4011"/>
      <w:r>
        <w:rPr>
          <w:rFonts w:hint="eastAsia" w:ascii="Times New Roman" w:hAnsi="Times New Roman" w:eastAsia="楷体_GB2312" w:cs="方正仿宋_GB2312"/>
          <w:b w:val="0"/>
          <w:bCs w:val="0"/>
          <w:snapToGrid w:val="0"/>
          <w:color w:val="000000"/>
          <w:spacing w:val="0"/>
          <w:sz w:val="32"/>
          <w:szCs w:val="28"/>
          <w:lang w:val="en-US" w:eastAsia="zh-CN" w:bidi="ar-SA"/>
        </w:rPr>
        <w:t>（二）健全管理制度</w:t>
      </w:r>
      <w:bookmarkEnd w:id="252"/>
      <w:bookmarkEnd w:id="253"/>
      <w:bookmarkEnd w:id="254"/>
      <w:bookmarkEnd w:id="255"/>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进一步完善自然保护地管理制度，落实分级管理和分区管控。健全保护地专职管护人员队伍，完善日常巡护制度和考核机制；强化执法监管，建立违法行为发现、上报、查处和整改闭环机制，对自然保护地内非法开发、违规建设等行为依法严肃查处。</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56" w:name="_Toc9031"/>
      <w:bookmarkStart w:id="257" w:name="_Toc9082"/>
      <w:bookmarkStart w:id="258" w:name="_Toc28085"/>
      <w:bookmarkStart w:id="259" w:name="_Toc25957"/>
      <w:r>
        <w:rPr>
          <w:rFonts w:hint="eastAsia" w:ascii="Times New Roman" w:hAnsi="Times New Roman" w:eastAsia="楷体_GB2312" w:cs="方正仿宋_GB2312"/>
          <w:b w:val="0"/>
          <w:bCs w:val="0"/>
          <w:snapToGrid w:val="0"/>
          <w:color w:val="000000"/>
          <w:spacing w:val="0"/>
          <w:sz w:val="32"/>
          <w:szCs w:val="28"/>
          <w:lang w:val="en-US" w:eastAsia="zh-CN" w:bidi="ar-SA"/>
        </w:rPr>
        <w:t>（三）提升管护能力</w:t>
      </w:r>
      <w:bookmarkEnd w:id="256"/>
      <w:bookmarkEnd w:id="257"/>
      <w:bookmarkEnd w:id="258"/>
      <w:bookmarkEnd w:id="25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依托国家级自然保护区管护能力提升项目，完善巡护体系，加强卫星通讯、无人机巡护等技术手段配置；完善保护地基础监测设施，建立涵盖生物多样性、水文水质、气象等要素的综合监测网络；推进自然保护地智慧管理系统应用，逐步实现自然保护地资源动态监测和管理信息化。</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60" w:name="_Toc27621"/>
      <w:bookmarkStart w:id="261" w:name="_Toc13680"/>
      <w:bookmarkStart w:id="262" w:name="_Toc2822"/>
      <w:bookmarkStart w:id="263" w:name="_Toc11413"/>
      <w:r>
        <w:rPr>
          <w:rFonts w:hint="eastAsia" w:ascii="Times New Roman" w:hAnsi="Times New Roman" w:eastAsia="楷体_GB2312" w:cs="方正仿宋_GB2312"/>
          <w:b w:val="0"/>
          <w:bCs w:val="0"/>
          <w:snapToGrid w:val="0"/>
          <w:color w:val="000000"/>
          <w:spacing w:val="0"/>
          <w:sz w:val="32"/>
          <w:szCs w:val="28"/>
          <w:lang w:val="en-US" w:eastAsia="zh-CN" w:bidi="ar-SA"/>
        </w:rPr>
        <w:t>（四）推动健康发展</w:t>
      </w:r>
      <w:bookmarkEnd w:id="260"/>
      <w:bookmarkEnd w:id="261"/>
      <w:bookmarkEnd w:id="262"/>
      <w:bookmarkEnd w:id="26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坚持自然恢复为主，科学开展生态修复。提升自然保护地生态服务功能，丰富宣传教育方式方法，培育生态观光、科普教育、自然体验等特色旅游产品，完善宣教展示和游客服务设施，促进自然保护地绿色可持续发展。</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264" w:name="_Toc21640"/>
      <w:bookmarkStart w:id="265" w:name="_Toc27809"/>
      <w:bookmarkStart w:id="266" w:name="_Toc19457"/>
      <w:bookmarkStart w:id="267" w:name="_Toc2355"/>
      <w:bookmarkStart w:id="268" w:name="_Toc1226"/>
      <w:bookmarkStart w:id="269" w:name="_Toc1"/>
      <w:bookmarkStart w:id="270" w:name="_Toc13039"/>
      <w:bookmarkStart w:id="271" w:name="_Toc3835"/>
      <w:r>
        <w:rPr>
          <w:rFonts w:hint="eastAsia" w:ascii="Times New Roman" w:hAnsi="Times New Roman" w:eastAsia="黑体" w:cs="楷体"/>
          <w:bCs/>
          <w:snapToGrid w:val="0"/>
          <w:color w:val="000000"/>
          <w:spacing w:val="0"/>
          <w:sz w:val="32"/>
          <w:szCs w:val="32"/>
          <w:lang w:val="en-US" w:eastAsia="zh-CN" w:bidi="ar-SA"/>
        </w:rPr>
        <w:t>二、全面保护湿地</w:t>
      </w:r>
      <w:bookmarkEnd w:id="264"/>
      <w:bookmarkEnd w:id="265"/>
      <w:bookmarkEnd w:id="266"/>
      <w:bookmarkEnd w:id="267"/>
      <w:bookmarkEnd w:id="268"/>
      <w:bookmarkEnd w:id="269"/>
      <w:bookmarkEnd w:id="270"/>
      <w:bookmarkEnd w:id="27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72" w:name="_Toc25003"/>
      <w:bookmarkStart w:id="273" w:name="_Toc32456"/>
      <w:bookmarkStart w:id="274" w:name="_Toc28841"/>
      <w:bookmarkStart w:id="275" w:name="_Toc29487"/>
      <w:bookmarkStart w:id="276" w:name="_Toc13481"/>
      <w:r>
        <w:rPr>
          <w:rFonts w:hint="eastAsia" w:ascii="Times New Roman" w:hAnsi="Times New Roman" w:eastAsia="楷体_GB2312" w:cs="方正仿宋_GB2312"/>
          <w:b w:val="0"/>
          <w:bCs w:val="0"/>
          <w:snapToGrid w:val="0"/>
          <w:color w:val="000000"/>
          <w:spacing w:val="0"/>
          <w:sz w:val="32"/>
          <w:szCs w:val="28"/>
          <w:lang w:val="en-US" w:eastAsia="zh-CN" w:bidi="ar-SA"/>
        </w:rPr>
        <w:t>（一）落实湿地总量分级管控</w:t>
      </w:r>
      <w:bookmarkEnd w:id="272"/>
      <w:bookmarkEnd w:id="273"/>
      <w:bookmarkEnd w:id="274"/>
      <w:bookmarkEnd w:id="275"/>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严格对标自治区湿地保护工作要求，严守湿地面积总量管控底线，健全全市湿地分级分类管理体系。积极推动各区县申报国家级、自治区级重要湿地，发布一般湿地名录。从严审核各类湿地占用审批事项，加大日常巡查监管力度，严厉查处违规占用、破坏湿地等违法行为，切实守护湿地生态系统完整稳定。</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77" w:name="_Toc9668"/>
      <w:bookmarkStart w:id="278" w:name="_Toc31236"/>
      <w:bookmarkStart w:id="279" w:name="_Toc15640"/>
      <w:bookmarkStart w:id="280" w:name="_Toc18427"/>
      <w:r>
        <w:rPr>
          <w:rFonts w:hint="eastAsia" w:ascii="Times New Roman" w:hAnsi="Times New Roman" w:eastAsia="楷体_GB2312" w:cs="方正仿宋_GB2312"/>
          <w:b w:val="0"/>
          <w:bCs w:val="0"/>
          <w:snapToGrid w:val="0"/>
          <w:color w:val="000000"/>
          <w:spacing w:val="0"/>
          <w:sz w:val="32"/>
          <w:szCs w:val="28"/>
          <w:lang w:val="en-US" w:eastAsia="zh-CN" w:bidi="ar-SA"/>
        </w:rPr>
        <w:t>（二）完善湿地生态补水保障</w:t>
      </w:r>
      <w:bookmarkEnd w:id="277"/>
      <w:bookmarkEnd w:id="278"/>
      <w:bookmarkEnd w:id="279"/>
      <w:bookmarkEnd w:id="280"/>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方正仿宋_GB2312" w:hAnsi="方正仿宋_GB2312" w:eastAsia="仿宋_GB2312" w:cs="方正仿宋_GB2312"/>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val="en-US" w:eastAsia="zh-CN"/>
        </w:rPr>
        <w:t>加强哈密河、巴里坤湖等湿地生态补水，</w:t>
      </w:r>
      <w:r>
        <w:rPr>
          <w:rFonts w:hint="eastAsia" w:ascii="Times New Roman" w:hAnsi="Times New Roman" w:eastAsia="仿宋_GB2312" w:cs="Arial"/>
          <w:snapToGrid w:val="0"/>
          <w:color w:val="000000"/>
          <w:spacing w:val="0"/>
          <w:kern w:val="0"/>
          <w:sz w:val="32"/>
          <w:szCs w:val="21"/>
          <w:lang w:eastAsia="zh-CN"/>
        </w:rPr>
        <w:t>持续提升重点湿地补水保障能力。通过精准生态补水有效改善湿地水系循环条件，优化区域水土环境，以河流、湖泊基本生态流量为基准，助力湿地植被恢复生长。建立常态化补水运维机制，破解湿地缺水难题，持续夯实湿地水源涵养基础功能，提升湿地生态自我修复能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81" w:name="_Toc10393"/>
      <w:bookmarkStart w:id="282" w:name="_Toc26524"/>
      <w:bookmarkStart w:id="283" w:name="_Toc30066"/>
      <w:bookmarkStart w:id="284" w:name="_Toc26534"/>
      <w:r>
        <w:rPr>
          <w:rFonts w:hint="eastAsia" w:ascii="Times New Roman" w:hAnsi="Times New Roman" w:eastAsia="楷体_GB2312" w:cs="方正仿宋_GB2312"/>
          <w:b w:val="0"/>
          <w:bCs w:val="0"/>
          <w:snapToGrid w:val="0"/>
          <w:color w:val="000000"/>
          <w:spacing w:val="0"/>
          <w:sz w:val="32"/>
          <w:szCs w:val="28"/>
          <w:lang w:val="en-US" w:eastAsia="zh-CN" w:bidi="ar-SA"/>
        </w:rPr>
        <w:t>（三）抓实重点湿地管护修复</w:t>
      </w:r>
      <w:bookmarkEnd w:id="281"/>
      <w:bookmarkEnd w:id="282"/>
      <w:bookmarkEnd w:id="283"/>
      <w:bookmarkEnd w:id="284"/>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重点推进巴里坤湖</w:t>
      </w:r>
      <w:r>
        <w:rPr>
          <w:rFonts w:hint="eastAsia" w:ascii="Times New Roman" w:hAnsi="Times New Roman" w:eastAsia="仿宋_GB2312" w:cs="Arial"/>
          <w:snapToGrid w:val="0"/>
          <w:color w:val="000000"/>
          <w:spacing w:val="0"/>
          <w:kern w:val="0"/>
          <w:sz w:val="32"/>
          <w:szCs w:val="21"/>
          <w:lang w:val="en-US" w:eastAsia="zh-CN"/>
        </w:rPr>
        <w:t>湿地</w:t>
      </w:r>
      <w:r>
        <w:rPr>
          <w:rFonts w:hint="eastAsia" w:ascii="Times New Roman" w:hAnsi="Times New Roman" w:eastAsia="仿宋_GB2312" w:cs="Arial"/>
          <w:snapToGrid w:val="0"/>
          <w:color w:val="000000"/>
          <w:spacing w:val="0"/>
          <w:kern w:val="0"/>
          <w:sz w:val="32"/>
          <w:szCs w:val="21"/>
          <w:lang w:eastAsia="zh-CN"/>
        </w:rPr>
        <w:t>管护工作，持续优化湖泊水文生态环境，强化生物多样性保护。常态化开展托勒库勒湖、伊吾河流域湿地管护保育工作，健全水系管控、植被养护长效机制。对生态修复完成区域建立动态监测档案，定期开展成效评估，持续巩固湿地生态修复成果。</w:t>
      </w:r>
    </w:p>
    <w:bookmarkEnd w:id="276"/>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285" w:name="_Toc13408"/>
      <w:bookmarkStart w:id="286" w:name="_Toc1653"/>
      <w:bookmarkStart w:id="287" w:name="_Toc31598"/>
      <w:bookmarkStart w:id="288" w:name="_Toc8529"/>
      <w:bookmarkStart w:id="289" w:name="_Toc18088"/>
      <w:bookmarkStart w:id="290" w:name="_Toc27389"/>
      <w:bookmarkStart w:id="291" w:name="_Toc9104"/>
      <w:bookmarkStart w:id="292" w:name="_Toc29456"/>
      <w:r>
        <w:rPr>
          <w:rFonts w:hint="eastAsia" w:ascii="Times New Roman" w:hAnsi="Times New Roman" w:eastAsia="黑体" w:cs="楷体"/>
          <w:bCs/>
          <w:snapToGrid w:val="0"/>
          <w:color w:val="000000"/>
          <w:spacing w:val="0"/>
          <w:sz w:val="32"/>
          <w:szCs w:val="32"/>
          <w:lang w:val="en-US" w:eastAsia="zh-CN" w:bidi="ar-SA"/>
        </w:rPr>
        <w:t>三、加强野生动植物保护</w:t>
      </w:r>
      <w:bookmarkEnd w:id="285"/>
      <w:bookmarkEnd w:id="286"/>
      <w:bookmarkEnd w:id="287"/>
      <w:bookmarkEnd w:id="288"/>
      <w:bookmarkEnd w:id="289"/>
      <w:bookmarkEnd w:id="290"/>
      <w:bookmarkEnd w:id="291"/>
      <w:bookmarkEnd w:id="292"/>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293" w:name="_Toc9908"/>
      <w:bookmarkStart w:id="294" w:name="_Toc22"/>
      <w:bookmarkStart w:id="295" w:name="_Toc26850"/>
      <w:bookmarkStart w:id="296" w:name="_Toc31524"/>
      <w:bookmarkStart w:id="297" w:name="_Toc19410"/>
      <w:r>
        <w:rPr>
          <w:rFonts w:hint="eastAsia" w:ascii="Times New Roman" w:hAnsi="Times New Roman" w:eastAsia="楷体_GB2312" w:cs="方正仿宋_GB2312"/>
          <w:b w:val="0"/>
          <w:bCs w:val="0"/>
          <w:snapToGrid w:val="0"/>
          <w:color w:val="000000"/>
          <w:spacing w:val="0"/>
          <w:sz w:val="32"/>
          <w:szCs w:val="28"/>
          <w:lang w:val="en-US" w:eastAsia="zh-CN" w:bidi="ar-SA"/>
        </w:rPr>
        <w:t>（一）重点物种与栖息地保护</w:t>
      </w:r>
      <w:bookmarkEnd w:id="293"/>
      <w:bookmarkEnd w:id="294"/>
      <w:bookmarkEnd w:id="295"/>
      <w:bookmarkEnd w:id="296"/>
      <w:bookmarkEnd w:id="29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以新疆罗布泊野骆驼国家级自然保护区、东天山等关键区域为重点，加强野骆驼、雪豹、</w:t>
      </w:r>
      <w:r>
        <w:rPr>
          <w:rFonts w:hint="eastAsia" w:ascii="Times New Roman" w:hAnsi="Times New Roman" w:eastAsia="仿宋_GB2312" w:cs="Arial"/>
          <w:snapToGrid w:val="0"/>
          <w:color w:val="000000"/>
          <w:spacing w:val="0"/>
          <w:kern w:val="0"/>
          <w:sz w:val="32"/>
          <w:szCs w:val="21"/>
          <w:lang w:val="en-US" w:eastAsia="zh-CN"/>
        </w:rPr>
        <w:t>蒙古野驴、戈壁熊、</w:t>
      </w:r>
      <w:r>
        <w:rPr>
          <w:rFonts w:hint="eastAsia" w:ascii="Times New Roman" w:hAnsi="Times New Roman" w:eastAsia="仿宋_GB2312" w:cs="Arial"/>
          <w:snapToGrid w:val="0"/>
          <w:color w:val="000000"/>
          <w:spacing w:val="0"/>
          <w:kern w:val="0"/>
          <w:sz w:val="32"/>
          <w:szCs w:val="21"/>
          <w:lang w:eastAsia="zh-CN"/>
        </w:rPr>
        <w:t>雪莲等重点珍稀濒危野生动植物栖息地（生境）保护。扎实开展野生动物收容救护。严厉打击涉野生动植物违法行为。加强鸟类迁徙期巡护值守工作，配合自治区持续开展越冬水鸟同步监测调查。深入开展保护鸟类活动和打击非法捕猎贩卖鸟类专项行动。</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hint="eastAsia" w:ascii="Times New Roman" w:hAnsi="Times New Roman" w:eastAsia="楷体_GB2312" w:cs="方正仿宋_GB2312"/>
          <w:b w:val="0"/>
          <w:bCs w:val="0"/>
          <w:snapToGrid w:val="0"/>
          <w:color w:val="000000"/>
          <w:spacing w:val="0"/>
          <w:sz w:val="32"/>
          <w:szCs w:val="28"/>
          <w:lang w:val="en-US" w:eastAsia="zh-CN" w:bidi="ar-SA"/>
        </w:rPr>
      </w:pPr>
      <w:bookmarkStart w:id="298" w:name="_Toc12658"/>
      <w:bookmarkStart w:id="299" w:name="_Toc32603"/>
      <w:bookmarkStart w:id="300" w:name="_Toc24152"/>
      <w:bookmarkStart w:id="301" w:name="_Toc10655"/>
      <w:bookmarkStart w:id="302" w:name="_Toc24069"/>
      <w:r>
        <w:rPr>
          <w:rFonts w:hint="eastAsia" w:ascii="Times New Roman" w:hAnsi="Times New Roman" w:eastAsia="楷体_GB2312" w:cs="方正仿宋_GB2312"/>
          <w:b w:val="0"/>
          <w:bCs w:val="0"/>
          <w:snapToGrid w:val="0"/>
          <w:color w:val="000000"/>
          <w:spacing w:val="0"/>
          <w:sz w:val="32"/>
          <w:szCs w:val="28"/>
          <w:lang w:val="en-US" w:eastAsia="zh-CN" w:bidi="ar-SA"/>
        </w:rPr>
        <w:t>（二）野生动物疫源疫病监测防控</w:t>
      </w:r>
      <w:bookmarkEnd w:id="298"/>
      <w:bookmarkEnd w:id="299"/>
      <w:bookmarkEnd w:id="300"/>
      <w:bookmarkEnd w:id="301"/>
      <w:bookmarkEnd w:id="302"/>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聚焦野生动物保护防控重点，做好国家、自治区级疫源疫病监测站各项工作，常态化开展野生动物疫源疫病监测，加强疫病趋势会商研判与风险评估。强化高致病性禽流感、小反刍兽疫、非洲猪瘟等重点疫病监测预警。依托野外红外相机等科技设备提升监测效能，配齐配足专项防护物资，严格落实信息报送制度，全面强化早期预警、联防联控与应急处置能力，全面提升野生动物疫病防控安全水平。</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hint="eastAsia" w:ascii="Times New Roman" w:hAnsi="Times New Roman" w:eastAsia="楷体_GB2312" w:cs="方正仿宋_GB2312"/>
          <w:b w:val="0"/>
          <w:bCs w:val="0"/>
          <w:snapToGrid w:val="0"/>
          <w:color w:val="000000"/>
          <w:spacing w:val="0"/>
          <w:sz w:val="32"/>
          <w:szCs w:val="28"/>
          <w:lang w:val="en-US" w:eastAsia="zh-CN" w:bidi="ar-SA"/>
        </w:rPr>
      </w:pPr>
      <w:bookmarkStart w:id="303" w:name="_Toc4639"/>
      <w:bookmarkStart w:id="304" w:name="_Toc6575"/>
      <w:bookmarkStart w:id="305" w:name="_Toc1625"/>
      <w:bookmarkStart w:id="306" w:name="_Toc23371"/>
      <w:bookmarkStart w:id="307" w:name="_Toc20072"/>
      <w:r>
        <w:rPr>
          <w:rFonts w:hint="eastAsia" w:ascii="Times New Roman" w:hAnsi="Times New Roman" w:eastAsia="楷体_GB2312" w:cs="方正仿宋_GB2312"/>
          <w:b w:val="0"/>
          <w:bCs w:val="0"/>
          <w:snapToGrid w:val="0"/>
          <w:color w:val="000000"/>
          <w:spacing w:val="0"/>
          <w:sz w:val="32"/>
          <w:szCs w:val="28"/>
          <w:lang w:val="en-US" w:eastAsia="zh-CN" w:bidi="ar-SA"/>
        </w:rPr>
        <w:t>（三）防范野生动物致害</w:t>
      </w:r>
      <w:bookmarkEnd w:id="303"/>
      <w:bookmarkEnd w:id="304"/>
      <w:bookmarkEnd w:id="305"/>
      <w:bookmarkEnd w:id="306"/>
      <w:bookmarkEnd w:id="30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开展野生动物致害情况摸底调查与动态监测，结合哈密野外生态分布及人畜活动特点，科学确定野生动物致害防控重点区域、重点物种和防控措施。持续健全野生动物致害保险赔付机制，探索主动防御措施，有效化解群众损失风险。深入开展安全防范宣传，提升群众避险防护意识，切实保障人居安全与生态安全。</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hint="eastAsia" w:ascii="Times New Roman" w:hAnsi="Times New Roman" w:eastAsia="楷体_GB2312" w:cs="方正仿宋_GB2312"/>
          <w:b w:val="0"/>
          <w:bCs w:val="0"/>
          <w:snapToGrid w:val="0"/>
          <w:color w:val="000000"/>
          <w:spacing w:val="0"/>
          <w:sz w:val="32"/>
          <w:szCs w:val="28"/>
          <w:lang w:val="en-US" w:eastAsia="zh-CN" w:bidi="ar-SA"/>
        </w:rPr>
      </w:pPr>
      <w:bookmarkStart w:id="308" w:name="_Toc27030"/>
      <w:bookmarkStart w:id="309" w:name="_Toc9892"/>
      <w:bookmarkStart w:id="310" w:name="_Toc14901"/>
      <w:bookmarkStart w:id="311" w:name="_Toc32016"/>
      <w:bookmarkStart w:id="312" w:name="_Toc4884"/>
      <w:r>
        <w:rPr>
          <w:rFonts w:hint="eastAsia" w:ascii="Times New Roman" w:hAnsi="Times New Roman" w:eastAsia="楷体_GB2312" w:cs="方正仿宋_GB2312"/>
          <w:b w:val="0"/>
          <w:bCs w:val="0"/>
          <w:snapToGrid w:val="0"/>
          <w:color w:val="000000"/>
          <w:spacing w:val="0"/>
          <w:sz w:val="32"/>
          <w:szCs w:val="28"/>
          <w:lang w:val="en-US" w:eastAsia="zh-CN" w:bidi="ar-SA"/>
        </w:rPr>
        <w:t>（四）古树名木保护</w:t>
      </w:r>
      <w:bookmarkEnd w:id="308"/>
      <w:bookmarkEnd w:id="309"/>
      <w:bookmarkEnd w:id="310"/>
      <w:bookmarkEnd w:id="311"/>
      <w:bookmarkEnd w:id="312"/>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依据古树衰退程度分类制定抢救复壮方案，实施土壤改良、树体支撑、病虫害防治、营养液注射等综合复壮措施；对左公柳实施持续抢救复壮，维护好扦插繁育苗木培育工作，推进左公柳种质资源保护与传承；建立健全古树名木健康监测、信息化管理档案，定期评估复壮成效，动态调整保护措施，配合开展第三次全国古树名木资源调查，动态更新古树名木数据库。落实古树名木责任单位和责任人制度。</w:t>
      </w:r>
    </w:p>
    <w:p>
      <w:pPr>
        <w:keepNext w:val="0"/>
        <w:keepLines w:val="0"/>
        <w:pageBreakBefore w:val="0"/>
        <w:widowControl w:val="0"/>
        <w:kinsoku/>
        <w:wordWrap w:val="0"/>
        <w:overflowPunct/>
        <w:topLinePunct/>
        <w:autoSpaceDN/>
        <w:bidi w:val="0"/>
        <w:adjustRightInd w:val="0"/>
        <w:snapToGrid w:val="0"/>
        <w:spacing w:line="560" w:lineRule="exact"/>
        <w:ind w:firstLine="640" w:firstLineChars="200"/>
        <w:jc w:val="both"/>
        <w:textAlignment w:val="baseline"/>
        <w:outlineLvl w:val="1"/>
        <w:rPr>
          <w:rFonts w:hint="eastAsia" w:ascii="Times New Roman" w:hAnsi="Times New Roman" w:eastAsia="黑体" w:cs="楷体"/>
          <w:bCs/>
          <w:snapToGrid w:val="0"/>
          <w:color w:val="000000"/>
          <w:spacing w:val="0"/>
          <w:sz w:val="32"/>
          <w:szCs w:val="32"/>
          <w:lang w:val="en-US" w:eastAsia="zh-CN" w:bidi="ar-SA"/>
        </w:rPr>
      </w:pPr>
      <w:bookmarkStart w:id="313" w:name="_Toc5135"/>
      <w:bookmarkStart w:id="314" w:name="_Toc26308"/>
      <w:bookmarkStart w:id="315" w:name="_Toc18046"/>
      <w:bookmarkStart w:id="316" w:name="_Toc4794"/>
      <w:bookmarkStart w:id="317" w:name="_Toc32567"/>
      <w:bookmarkStart w:id="318" w:name="_Toc13109"/>
      <w:r>
        <w:rPr>
          <w:rFonts w:hint="eastAsia" w:ascii="Times New Roman" w:hAnsi="Times New Roman" w:eastAsia="黑体" w:cs="楷体"/>
          <w:bCs/>
          <w:snapToGrid w:val="0"/>
          <w:color w:val="000000"/>
          <w:spacing w:val="0"/>
          <w:sz w:val="32"/>
          <w:szCs w:val="32"/>
          <w:lang w:val="en-US" w:eastAsia="zh-CN" w:bidi="ar-SA"/>
        </w:rPr>
        <w:t>四、加强生物多样性保护宣传教育</w:t>
      </w:r>
      <w:bookmarkEnd w:id="313"/>
      <w:bookmarkEnd w:id="314"/>
      <w:bookmarkEnd w:id="315"/>
      <w:bookmarkEnd w:id="316"/>
      <w:bookmarkEnd w:id="317"/>
      <w:bookmarkEnd w:id="318"/>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依托湿地公园、地质公园、国家森林公园等林草生态资源，建设一批自然教育基地和科普宣教课堂，完善宣教展示设施与解说标识体系。用好</w:t>
      </w:r>
      <w:r>
        <w:rPr>
          <w:rFonts w:hint="eastAsia" w:ascii="Times New Roman" w:hAnsi="Times New Roman" w:eastAsia="仿宋_GB2312" w:cs="Arial"/>
          <w:snapToGrid w:val="0"/>
          <w:color w:val="auto"/>
          <w:spacing w:val="0"/>
          <w:kern w:val="0"/>
          <w:sz w:val="32"/>
          <w:szCs w:val="21"/>
          <w:lang w:eastAsia="zh-CN"/>
        </w:rPr>
        <w:t>“国际生物多样性日”“世界野生动植物日”等重要时间节点，开展主题宣传活动，普及野生动植物保护、栖息地修复、外来入侵物种防控等知识，营造全社会关注、参与生</w:t>
      </w:r>
      <w:r>
        <w:rPr>
          <w:rFonts w:hint="eastAsia" w:ascii="Times New Roman" w:hAnsi="Times New Roman" w:eastAsia="仿宋_GB2312" w:cs="Arial"/>
          <w:snapToGrid w:val="0"/>
          <w:color w:val="000000"/>
          <w:spacing w:val="0"/>
          <w:kern w:val="0"/>
          <w:sz w:val="32"/>
          <w:szCs w:val="21"/>
          <w:lang w:eastAsia="zh-CN"/>
        </w:rPr>
        <w:t>物多样性保护的浓厚氛围。</w:t>
      </w:r>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bookmarkStart w:id="319" w:name="_Toc2709"/>
      <w:bookmarkStart w:id="320" w:name="_Toc5200"/>
      <w:bookmarkStart w:id="321" w:name="_Toc11022"/>
      <w:bookmarkStart w:id="322" w:name="_Toc27340"/>
      <w:r>
        <w:rPr>
          <w:rFonts w:hint="eastAsia" w:ascii="Times New Roman" w:hAnsi="Times New Roman" w:eastAsia="黑体" w:cs="黑体"/>
          <w:b w:val="0"/>
          <w:bCs w:val="0"/>
          <w:snapToGrid w:val="0"/>
          <w:color w:val="000000"/>
          <w:spacing w:val="0"/>
          <w:sz w:val="32"/>
          <w:szCs w:val="31"/>
          <w:lang w:val="en-US" w:eastAsia="zh-CN" w:bidi="ar-SA"/>
        </w:rPr>
        <w:t>第六章 现代林草产业高质量发展</w:t>
      </w:r>
      <w:bookmarkEnd w:id="319"/>
      <w:bookmarkEnd w:id="320"/>
      <w:bookmarkEnd w:id="321"/>
      <w:bookmarkEnd w:id="322"/>
    </w:p>
    <w:p>
      <w:pPr>
        <w:pStyle w:val="4"/>
        <w:keepNext w:val="0"/>
        <w:keepLines w:val="0"/>
        <w:pageBreakBefore w:val="0"/>
        <w:widowControl w:val="0"/>
        <w:kinsoku/>
        <w:wordWrap/>
        <w:overflowPunct/>
        <w:topLinePunct w:val="0"/>
        <w:autoSpaceDE w:val="0"/>
        <w:autoSpaceDN/>
        <w:bidi w:val="0"/>
        <w:adjustRightInd/>
        <w:snapToGrid/>
        <w:spacing w:line="560" w:lineRule="exact"/>
        <w:ind w:firstLine="616" w:firstLineChars="200"/>
        <w:textAlignment w:val="auto"/>
        <w:rPr>
          <w:rFonts w:hint="eastAsia"/>
          <w:sz w:val="32"/>
          <w:szCs w:val="32"/>
        </w:rPr>
      </w:pPr>
      <w:bookmarkStart w:id="323" w:name="_Toc9999"/>
      <w:bookmarkStart w:id="324" w:name="_Toc22687"/>
      <w:bookmarkStart w:id="325" w:name="_Toc27936"/>
      <w:bookmarkStart w:id="326" w:name="_Toc19942"/>
      <w:bookmarkStart w:id="327" w:name="_Toc22713"/>
      <w:r>
        <w:rPr>
          <w:rFonts w:hint="eastAsia"/>
          <w:sz w:val="32"/>
          <w:szCs w:val="32"/>
        </w:rPr>
        <w:t>一、发展特色林果业</w:t>
      </w:r>
      <w:bookmarkEnd w:id="323"/>
    </w:p>
    <w:p>
      <w:pPr>
        <w:keepNext w:val="0"/>
        <w:keepLines w:val="0"/>
        <w:pageBreakBefore w:val="0"/>
        <w:widowControl w:val="0"/>
        <w:kinsoku/>
        <w:wordWrap/>
        <w:overflowPunct/>
        <w:topLinePunct w:val="0"/>
        <w:autoSpaceDE w:val="0"/>
        <w:autoSpaceDN/>
        <w:bidi w:val="0"/>
        <w:adjustRightInd/>
        <w:snapToGrid/>
        <w:spacing w:line="560" w:lineRule="exact"/>
        <w:ind w:firstLine="640" w:firstLineChars="200"/>
        <w:textAlignment w:val="auto"/>
        <w:rPr>
          <w:rFonts w:hint="eastAsia" w:ascii="Times New Roman" w:hAnsi="Times New Roman" w:eastAsia="黑体" w:cs="楷体"/>
          <w:bCs/>
          <w:snapToGrid w:val="0"/>
          <w:color w:val="000000"/>
          <w:spacing w:val="0"/>
          <w:sz w:val="32"/>
          <w:szCs w:val="32"/>
          <w:lang w:val="en-US" w:eastAsia="zh-CN" w:bidi="ar-SA"/>
        </w:rPr>
      </w:pPr>
      <w:r>
        <w:rPr>
          <w:rFonts w:hint="eastAsia" w:ascii="仿宋_GB2312" w:hAnsi="仿宋_GB2312" w:eastAsia="仿宋_GB2312" w:cs="仿宋_GB2312"/>
          <w:sz w:val="32"/>
          <w:szCs w:val="32"/>
          <w:highlight w:val="none"/>
          <w:lang w:eastAsia="zh-CN"/>
        </w:rPr>
        <w:t>立足水土资源禀赋，坚持因地制宜、错位发展，优化特色林果产业布局，稳定适宜区域种植规模，统筹推进红枣、葡萄、杏、沙棘等特色经济林科学布局、规范发展。依托伊州区巩固红枣、葡萄、杏等主导林果产业，依托伊吾县等山北区域发展杏、沙棘等特色林果，构建区域差异化发展格局；适度引进培育西梅、苹果、桃等优良新品种。推进林果基地标准化建设，有序实施老旧低效果园改造提升，鼓励发展设施林果，探索打造智慧果园。延伸完善林果全产业链，推动林果精深加工，拓宽特色林果产品消费市场。推进哈密特色林果产品地理标志和农产品品牌建设，持续提升“哈密大枣”等区域公用品牌知名度和市场竞争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r>
        <w:rPr>
          <w:rFonts w:hint="eastAsia" w:ascii="Times New Roman" w:hAnsi="Times New Roman" w:eastAsia="黑体" w:cs="楷体"/>
          <w:bCs/>
          <w:snapToGrid w:val="0"/>
          <w:color w:val="000000"/>
          <w:spacing w:val="0"/>
          <w:sz w:val="32"/>
          <w:szCs w:val="32"/>
          <w:lang w:val="en-US" w:eastAsia="zh-CN" w:bidi="ar-SA"/>
        </w:rPr>
        <w:t>二、因地制宜发展林下经济</w:t>
      </w:r>
      <w:bookmarkEnd w:id="324"/>
      <w:bookmarkEnd w:id="325"/>
      <w:bookmarkEnd w:id="326"/>
      <w:bookmarkEnd w:id="32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立足本地林地资源禀赋，</w:t>
      </w:r>
      <w:r>
        <w:rPr>
          <w:rFonts w:hint="eastAsia" w:ascii="Times New Roman" w:hAnsi="Times New Roman" w:eastAsia="仿宋_GB2312" w:cs="Arial"/>
          <w:snapToGrid w:val="0"/>
          <w:color w:val="000000"/>
          <w:spacing w:val="0"/>
          <w:kern w:val="0"/>
          <w:sz w:val="32"/>
          <w:szCs w:val="21"/>
          <w:highlight w:val="none"/>
          <w:lang w:eastAsia="zh-CN"/>
        </w:rPr>
        <w:t>因地制宜发展林下特色种植产业，优选适配干旱气候的中药材品种，</w:t>
      </w:r>
      <w:r>
        <w:rPr>
          <w:rFonts w:hint="eastAsia" w:ascii="Times New Roman" w:hAnsi="Times New Roman" w:eastAsia="仿宋_GB2312" w:cs="Arial"/>
          <w:snapToGrid w:val="0"/>
          <w:color w:val="000000"/>
          <w:spacing w:val="0"/>
          <w:kern w:val="0"/>
          <w:sz w:val="32"/>
          <w:szCs w:val="21"/>
          <w:lang w:eastAsia="zh-CN"/>
        </w:rPr>
        <w:t>推广治沙固沙与林下种药融合模式。探索“乔木+灌草”“乔木+中药材”复合种植模式，提升林地空间利用率。因地制宜发展林下养殖，探索“林+禽”“林+畜”等生态养殖模式。稳步发展林下采集、初加工产业，延伸林下经济产业链条，推进标准化林下经济示范基地建设，拓宽生态增效、群众增收渠道。</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328" w:name="_Toc7517"/>
      <w:bookmarkStart w:id="329" w:name="_Toc30756"/>
      <w:bookmarkStart w:id="330" w:name="_Toc16200"/>
      <w:bookmarkStart w:id="331" w:name="_Toc19851"/>
      <w:r>
        <w:rPr>
          <w:rFonts w:hint="eastAsia" w:ascii="Times New Roman" w:hAnsi="Times New Roman" w:eastAsia="黑体" w:cs="楷体"/>
          <w:bCs/>
          <w:snapToGrid w:val="0"/>
          <w:color w:val="000000"/>
          <w:spacing w:val="0"/>
          <w:sz w:val="32"/>
          <w:szCs w:val="32"/>
          <w:lang w:val="en-US" w:eastAsia="zh-CN" w:bidi="ar-SA"/>
        </w:rPr>
        <w:t>三、推进现代草产业融合发展</w:t>
      </w:r>
      <w:bookmarkEnd w:id="328"/>
      <w:bookmarkEnd w:id="329"/>
      <w:bookmarkEnd w:id="330"/>
      <w:bookmarkEnd w:id="33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highlight w:val="none"/>
          <w:lang w:eastAsia="zh-CN"/>
        </w:rPr>
        <w:t>强化本土优良草种繁育与示范推广，开展草品种区域适应性试验种植，积极推动“莫钦乌拉”新麦草等乡土草种繁育利用。</w:t>
      </w:r>
      <w:r>
        <w:rPr>
          <w:rFonts w:hint="eastAsia" w:ascii="Times New Roman" w:hAnsi="Times New Roman" w:eastAsia="仿宋_GB2312" w:cs="Arial"/>
          <w:snapToGrid w:val="0"/>
          <w:color w:val="000000"/>
          <w:spacing w:val="0"/>
          <w:kern w:val="0"/>
          <w:sz w:val="32"/>
          <w:szCs w:val="21"/>
          <w:lang w:eastAsia="zh-CN"/>
        </w:rPr>
        <w:t>科学布局人工草地及优质牧草种植基地，鼓励依托退耕地、撂荒地等闲置土地，规模化发展优质牧草种植。培育壮大草畜一体化经营模式，引导群众融入草业产业链，推动草畜产业融合发展。</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332" w:name="_Toc6183"/>
      <w:bookmarkStart w:id="333" w:name="_Toc27466"/>
      <w:bookmarkStart w:id="334" w:name="_Toc29596"/>
      <w:bookmarkStart w:id="335" w:name="_Toc28460"/>
      <w:r>
        <w:rPr>
          <w:rFonts w:hint="eastAsia" w:ascii="Times New Roman" w:hAnsi="Times New Roman" w:eastAsia="黑体" w:cs="楷体"/>
          <w:bCs/>
          <w:snapToGrid w:val="0"/>
          <w:color w:val="000000"/>
          <w:spacing w:val="0"/>
          <w:sz w:val="32"/>
          <w:szCs w:val="32"/>
          <w:lang w:val="en-US" w:eastAsia="zh-CN" w:bidi="ar-SA"/>
        </w:rPr>
        <w:t>四、促进沙产业创新联动发展</w:t>
      </w:r>
      <w:bookmarkEnd w:id="332"/>
      <w:bookmarkEnd w:id="333"/>
      <w:bookmarkEnd w:id="334"/>
      <w:bookmarkEnd w:id="335"/>
    </w:p>
    <w:p>
      <w:pPr>
        <w:keepNext w:val="0"/>
        <w:keepLines w:val="0"/>
        <w:pageBreakBefore w:val="0"/>
        <w:widowControl w:val="0"/>
        <w:kinsoku/>
        <w:wordWrap/>
        <w:overflowPunct/>
        <w:topLinePunct w:val="0"/>
        <w:autoSpaceDE w:val="0"/>
        <w:autoSpaceDN/>
        <w:bidi w:val="0"/>
        <w:adjustRightInd w:val="0"/>
        <w:snapToGrid w:val="0"/>
        <w:spacing w:line="560" w:lineRule="exact"/>
        <w:ind w:firstLine="641"/>
        <w:jc w:val="both"/>
        <w:textAlignment w:val="auto"/>
        <w:rPr>
          <w:rFonts w:hint="eastAsia" w:ascii="Times New Roman" w:hAnsi="Times New Roman" w:eastAsia="黑体" w:cs="黑体"/>
          <w:b w:val="0"/>
          <w:bCs w:val="0"/>
          <w:snapToGrid w:val="0"/>
          <w:color w:val="000000"/>
          <w:spacing w:val="0"/>
          <w:sz w:val="32"/>
          <w:szCs w:val="31"/>
          <w:lang w:val="en-US" w:eastAsia="zh-CN" w:bidi="ar-SA"/>
        </w:rPr>
      </w:pPr>
      <w:r>
        <w:rPr>
          <w:rFonts w:hint="eastAsia" w:ascii="仿宋_GB2312" w:hAnsi="仿宋_GB2312" w:eastAsia="仿宋_GB2312" w:cs="仿宋_GB2312"/>
          <w:snapToGrid w:val="0"/>
          <w:color w:val="000000"/>
          <w:spacing w:val="0"/>
          <w:kern w:val="0"/>
          <w:sz w:val="32"/>
          <w:szCs w:val="21"/>
          <w:lang w:eastAsia="zh-CN"/>
        </w:rPr>
        <w:t>坚持生态修复与产业培育协同联动，探索治沙固沙与特色沙产业融合发展模式。依托伊州区大泉湾乡、二堡镇、花园乡等梭梭林修复片区，鼓励开展梭梭嫁接肉苁蓉特色产业。加强林木种苗繁育基地建设，选育推广耐旱抗逆乡土树种草种，提升良种壮苗保障能力。同步培育沙区生态文旅新业态，推动生态治理、沙地保护与特色产业互促共进</w:t>
      </w:r>
      <w:r>
        <w:rPr>
          <w:rFonts w:hint="eastAsia" w:ascii="Times New Roman" w:hAnsi="Times New Roman" w:eastAsia="仿宋_GB2312" w:cs="Arial"/>
          <w:snapToGrid w:val="0"/>
          <w:color w:val="000000"/>
          <w:kern w:val="0"/>
          <w:sz w:val="32"/>
          <w:szCs w:val="21"/>
          <w:lang w:eastAsia="zh-CN"/>
        </w:rPr>
        <w:t>。</w:t>
      </w:r>
      <w:bookmarkStart w:id="336" w:name="_Toc19912"/>
      <w:bookmarkStart w:id="337" w:name="_Toc12728"/>
      <w:bookmarkStart w:id="338" w:name="_Toc31762"/>
      <w:bookmarkStart w:id="339" w:name="_Toc32163"/>
      <w:bookmarkStart w:id="340" w:name="_Toc18614"/>
      <w:bookmarkStart w:id="341" w:name="_Toc6057"/>
      <w:bookmarkStart w:id="342" w:name="_Toc26513"/>
      <w:bookmarkStart w:id="343" w:name="_Toc30537"/>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r>
        <w:rPr>
          <w:rFonts w:hint="eastAsia" w:ascii="Times New Roman" w:hAnsi="Times New Roman" w:eastAsia="黑体" w:cs="黑体"/>
          <w:b w:val="0"/>
          <w:bCs w:val="0"/>
          <w:snapToGrid w:val="0"/>
          <w:color w:val="000000"/>
          <w:spacing w:val="0"/>
          <w:sz w:val="32"/>
          <w:szCs w:val="31"/>
          <w:lang w:val="en-US" w:eastAsia="zh-CN" w:bidi="ar-SA"/>
        </w:rPr>
        <w:t>第七章 灾害防控与支撑保障</w:t>
      </w:r>
      <w:bookmarkEnd w:id="336"/>
      <w:bookmarkEnd w:id="337"/>
      <w:bookmarkEnd w:id="338"/>
      <w:bookmarkEnd w:id="339"/>
      <w:bookmarkEnd w:id="340"/>
      <w:bookmarkEnd w:id="341"/>
      <w:bookmarkEnd w:id="342"/>
      <w:bookmarkEnd w:id="34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 w:val="0"/>
          <w:bCs/>
          <w:snapToGrid w:val="0"/>
          <w:color w:val="000000"/>
          <w:spacing w:val="0"/>
          <w:sz w:val="32"/>
          <w:szCs w:val="32"/>
          <w:lang w:val="en-US" w:eastAsia="zh-CN" w:bidi="ar-SA"/>
        </w:rPr>
      </w:pPr>
      <w:bookmarkStart w:id="344" w:name="_Toc32488"/>
      <w:bookmarkStart w:id="345" w:name="_Toc30731"/>
      <w:bookmarkStart w:id="346" w:name="_Toc10907"/>
      <w:bookmarkStart w:id="347" w:name="_Toc3430"/>
      <w:bookmarkStart w:id="348" w:name="_Toc27093"/>
      <w:bookmarkStart w:id="349" w:name="_Toc3127"/>
      <w:bookmarkStart w:id="350" w:name="_Toc488"/>
      <w:bookmarkStart w:id="351" w:name="_Toc7817"/>
      <w:r>
        <w:rPr>
          <w:rFonts w:hint="eastAsia" w:ascii="Times New Roman" w:hAnsi="Times New Roman" w:eastAsia="黑体" w:cs="楷体"/>
          <w:b w:val="0"/>
          <w:bCs/>
          <w:snapToGrid w:val="0"/>
          <w:color w:val="000000"/>
          <w:spacing w:val="0"/>
          <w:sz w:val="32"/>
          <w:szCs w:val="32"/>
          <w:lang w:val="en-US" w:eastAsia="zh-CN" w:bidi="ar-SA"/>
        </w:rPr>
        <w:t>一、森林草原防火体系建设</w:t>
      </w:r>
      <w:bookmarkEnd w:id="344"/>
      <w:bookmarkEnd w:id="345"/>
      <w:bookmarkEnd w:id="346"/>
      <w:bookmarkEnd w:id="347"/>
      <w:bookmarkEnd w:id="348"/>
      <w:bookmarkEnd w:id="349"/>
      <w:bookmarkEnd w:id="350"/>
      <w:bookmarkEnd w:id="35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352" w:name="_Toc23194"/>
      <w:bookmarkStart w:id="353" w:name="_Toc21593"/>
      <w:bookmarkStart w:id="354" w:name="_Toc26455"/>
      <w:bookmarkStart w:id="355" w:name="_Toc12246"/>
      <w:r>
        <w:rPr>
          <w:rFonts w:hint="eastAsia" w:ascii="Times New Roman" w:hAnsi="Times New Roman" w:eastAsia="楷体_GB2312" w:cs="方正仿宋_GB2312"/>
          <w:b w:val="0"/>
          <w:bCs w:val="0"/>
          <w:snapToGrid w:val="0"/>
          <w:color w:val="000000"/>
          <w:spacing w:val="0"/>
          <w:sz w:val="32"/>
          <w:szCs w:val="28"/>
          <w:lang w:val="en-US" w:eastAsia="zh-CN" w:bidi="ar-SA"/>
        </w:rPr>
        <w:t>（一）健全全域预防管理体系</w:t>
      </w:r>
      <w:bookmarkEnd w:id="352"/>
      <w:bookmarkEnd w:id="353"/>
      <w:bookmarkEnd w:id="354"/>
      <w:bookmarkEnd w:id="355"/>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健全市、区县、乡镇、重点管护区域联防联控体系，打通多级协同防控壁垒。常态化开展火险等级区划工作，动态掌握区域火险等级变化。坚持常态管控与应急处置相结合，规范火情会商研判、信息报送、指挥调度全流程工作机制。常态化开展防火应急演练，推动防火工作从季节性防控向全年全过程治理、传统经验防控向数字化智能防控转型，全面夯实源头预防管控基础。</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ascii="Times New Roman" w:hAnsi="Times New Roman" w:eastAsia="楷体_GB2312" w:cs="方正仿宋_GB2312"/>
          <w:b w:val="0"/>
          <w:bCs w:val="0"/>
          <w:snapToGrid w:val="0"/>
          <w:color w:val="000000"/>
          <w:spacing w:val="0"/>
          <w:sz w:val="32"/>
          <w:szCs w:val="28"/>
          <w:lang w:val="en-US" w:eastAsia="zh-CN" w:bidi="ar-SA"/>
        </w:rPr>
      </w:pPr>
      <w:bookmarkStart w:id="356" w:name="_Toc3783"/>
      <w:bookmarkStart w:id="357" w:name="_Toc1820"/>
      <w:bookmarkStart w:id="358" w:name="_Toc17726"/>
      <w:bookmarkStart w:id="359" w:name="_Toc13286"/>
      <w:r>
        <w:rPr>
          <w:rFonts w:hint="eastAsia" w:ascii="Times New Roman" w:hAnsi="Times New Roman" w:eastAsia="楷体_GB2312" w:cs="方正仿宋_GB2312"/>
          <w:b w:val="0"/>
          <w:bCs w:val="0"/>
          <w:snapToGrid w:val="0"/>
          <w:color w:val="000000"/>
          <w:spacing w:val="0"/>
          <w:sz w:val="32"/>
          <w:szCs w:val="28"/>
          <w:lang w:val="en-US" w:eastAsia="zh-CN" w:bidi="ar-SA"/>
        </w:rPr>
        <w:t>（二）完善应急处置扑救体系</w:t>
      </w:r>
      <w:bookmarkEnd w:id="356"/>
      <w:bookmarkEnd w:id="357"/>
      <w:bookmarkEnd w:id="358"/>
      <w:bookmarkEnd w:id="35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推进重点防火基础设施升级改造。对伊州区白石头乡营房基地进行标准化改造，配套建设瞭望塔、专业训练场、储水罐等核心设施，补齐重点区域防火硬件短板。依托完善的基础设施搭建快速响应扑救体系，健全标准化应急处置流程，全面提升火情快速发现、就近处置、高效扑救的工作能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hint="eastAsia" w:ascii="Times New Roman" w:hAnsi="Times New Roman" w:eastAsia="楷体_GB2312" w:cs="方正仿宋_GB2312"/>
          <w:b w:val="0"/>
          <w:bCs w:val="0"/>
          <w:snapToGrid w:val="0"/>
          <w:color w:val="000000"/>
          <w:spacing w:val="0"/>
          <w:sz w:val="32"/>
          <w:szCs w:val="28"/>
          <w:lang w:val="en-US" w:eastAsia="zh-CN" w:bidi="ar-SA"/>
        </w:rPr>
      </w:pPr>
      <w:bookmarkStart w:id="360" w:name="_Toc4003"/>
      <w:bookmarkStart w:id="361" w:name="_Toc12014"/>
      <w:bookmarkStart w:id="362" w:name="_Toc26580"/>
      <w:bookmarkStart w:id="363" w:name="_Toc18272"/>
      <w:r>
        <w:rPr>
          <w:rFonts w:hint="eastAsia" w:ascii="Times New Roman" w:hAnsi="Times New Roman" w:eastAsia="楷体_GB2312" w:cs="方正仿宋_GB2312"/>
          <w:b w:val="0"/>
          <w:bCs w:val="0"/>
          <w:snapToGrid w:val="0"/>
          <w:color w:val="000000"/>
          <w:spacing w:val="0"/>
          <w:sz w:val="32"/>
          <w:szCs w:val="28"/>
          <w:lang w:val="en-US" w:eastAsia="zh-CN" w:bidi="ar-SA"/>
        </w:rPr>
        <w:t>（三）夯实基层基础保障体系</w:t>
      </w:r>
      <w:bookmarkEnd w:id="360"/>
      <w:bookmarkEnd w:id="361"/>
      <w:bookmarkEnd w:id="362"/>
      <w:bookmarkEnd w:id="36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结合重点火险区域实际，科学布局防火物资储备点位，落地实施防火物资储备项目，足额配齐更新扑火机具、通信设备、防护装备等应急物资。持续完善重点区域防火应急道路网络，全面提升火情巡查、机具通行、应急救援通达能力，夯实基层防火安全保障能力。</w:t>
      </w:r>
    </w:p>
    <w:p>
      <w:pPr>
        <w:pStyle w:val="2"/>
        <w:rPr>
          <w:lang w:eastAsia="zh-CN"/>
        </w:rPr>
      </w:pP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364" w:name="_Toc4803"/>
      <w:bookmarkStart w:id="365" w:name="_Toc27176"/>
      <w:bookmarkStart w:id="366" w:name="_Toc16909"/>
      <w:bookmarkStart w:id="367" w:name="_Toc2455"/>
      <w:bookmarkStart w:id="368" w:name="_Toc19488"/>
      <w:bookmarkStart w:id="369" w:name="_Toc7965"/>
      <w:bookmarkStart w:id="370" w:name="_Toc8033"/>
      <w:bookmarkStart w:id="371" w:name="_Toc19102"/>
      <w:r>
        <w:rPr>
          <w:rFonts w:hint="eastAsia" w:ascii="Times New Roman" w:hAnsi="Times New Roman" w:eastAsia="黑体" w:cs="楷体"/>
          <w:bCs/>
          <w:snapToGrid w:val="0"/>
          <w:color w:val="000000"/>
          <w:spacing w:val="0"/>
          <w:sz w:val="32"/>
          <w:szCs w:val="32"/>
          <w:lang w:val="en-US" w:eastAsia="zh-CN" w:bidi="ar-SA"/>
        </w:rPr>
        <w:t>二、林草有害生物防控体系建设</w:t>
      </w:r>
      <w:bookmarkEnd w:id="364"/>
      <w:bookmarkEnd w:id="365"/>
      <w:bookmarkEnd w:id="366"/>
      <w:bookmarkEnd w:id="367"/>
      <w:bookmarkEnd w:id="368"/>
      <w:bookmarkEnd w:id="369"/>
      <w:bookmarkEnd w:id="370"/>
      <w:bookmarkEnd w:id="37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hint="eastAsia" w:ascii="Times New Roman" w:hAnsi="Times New Roman" w:eastAsia="楷体_GB2312" w:cs="方正仿宋_GB2312"/>
          <w:b w:val="0"/>
          <w:bCs w:val="0"/>
          <w:snapToGrid w:val="0"/>
          <w:color w:val="000000"/>
          <w:spacing w:val="0"/>
          <w:sz w:val="32"/>
          <w:szCs w:val="28"/>
          <w:lang w:val="en-US" w:eastAsia="en-US" w:bidi="ar-SA"/>
        </w:rPr>
      </w:pPr>
      <w:bookmarkStart w:id="372" w:name="_Toc5199"/>
      <w:bookmarkStart w:id="373" w:name="_Toc30786"/>
      <w:bookmarkStart w:id="374" w:name="_Toc27009"/>
      <w:bookmarkStart w:id="375" w:name="_Toc9700"/>
      <w:r>
        <w:rPr>
          <w:rFonts w:hint="eastAsia" w:ascii="Times New Roman" w:hAnsi="Times New Roman" w:eastAsia="楷体_GB2312" w:cs="方正仿宋_GB2312"/>
          <w:b w:val="0"/>
          <w:bCs w:val="0"/>
          <w:snapToGrid w:val="0"/>
          <w:color w:val="000000"/>
          <w:spacing w:val="0"/>
          <w:sz w:val="32"/>
          <w:szCs w:val="28"/>
          <w:lang w:val="en-US" w:eastAsia="zh-CN" w:bidi="ar-SA"/>
        </w:rPr>
        <w:t>（一）强化监测预警能力建设</w:t>
      </w:r>
    </w:p>
    <w:bookmarkEnd w:id="372"/>
    <w:bookmarkEnd w:id="373"/>
    <w:bookmarkEnd w:id="374"/>
    <w:bookmarkEnd w:id="375"/>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严格落实林业有害生物报告制度，发挥伊州区国家级林业有害生物中心测报点及区县测报点的职能，及时掌握虫情动态。持续开展草原有害生物专项调查、动态监测与风险评估，重点做好松树塘草原生物灾害监测防控试验站、巴里坤大红柳峡草原鼠害监测站点的设备维护及设施建设。</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hint="eastAsia" w:ascii="Times New Roman" w:hAnsi="Times New Roman" w:eastAsia="楷体_GB2312" w:cs="方正仿宋_GB2312"/>
          <w:b w:val="0"/>
          <w:bCs w:val="0"/>
          <w:snapToGrid w:val="0"/>
          <w:color w:val="000000"/>
          <w:spacing w:val="0"/>
          <w:sz w:val="32"/>
          <w:szCs w:val="28"/>
          <w:lang w:val="en-US" w:eastAsia="en-US" w:bidi="ar-SA"/>
        </w:rPr>
      </w:pPr>
      <w:bookmarkStart w:id="376" w:name="_Toc25084"/>
      <w:bookmarkStart w:id="377" w:name="_Toc28983"/>
      <w:bookmarkStart w:id="378" w:name="_Toc13525"/>
      <w:bookmarkStart w:id="379" w:name="_Toc1659"/>
      <w:r>
        <w:rPr>
          <w:rFonts w:hint="eastAsia" w:ascii="Times New Roman" w:hAnsi="Times New Roman" w:eastAsia="楷体_GB2312" w:cs="方正仿宋_GB2312"/>
          <w:b w:val="0"/>
          <w:bCs w:val="0"/>
          <w:snapToGrid w:val="0"/>
          <w:color w:val="000000"/>
          <w:spacing w:val="0"/>
          <w:sz w:val="32"/>
          <w:szCs w:val="28"/>
          <w:lang w:val="en-US" w:eastAsia="zh-CN" w:bidi="ar-SA"/>
        </w:rPr>
        <w:t>（二）强化检疫阻截能力建设</w:t>
      </w:r>
    </w:p>
    <w:bookmarkEnd w:id="376"/>
    <w:bookmarkEnd w:id="377"/>
    <w:bookmarkEnd w:id="378"/>
    <w:bookmarkEnd w:id="379"/>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定期开展检疫性、危险性或重点预防的林业有害生物专项调查，完成伊州区白石头天然林松科植物蛀干类害虫系统调查研究。</w:t>
      </w:r>
      <w:r>
        <w:rPr>
          <w:rFonts w:ascii="Times New Roman" w:hAnsi="Times New Roman" w:eastAsia="仿宋_GB2312" w:cs="Arial"/>
          <w:snapToGrid w:val="0"/>
          <w:color w:val="000000"/>
          <w:spacing w:val="0"/>
          <w:kern w:val="0"/>
          <w:sz w:val="32"/>
          <w:szCs w:val="21"/>
          <w:lang w:eastAsia="zh-CN"/>
        </w:rPr>
        <w:t>落实产地检疫、调运检疫和</w:t>
      </w:r>
      <w:r>
        <w:rPr>
          <w:rFonts w:hint="eastAsia" w:ascii="Times New Roman" w:hAnsi="Times New Roman" w:eastAsia="仿宋_GB2312" w:cs="Arial"/>
          <w:snapToGrid w:val="0"/>
          <w:color w:val="000000"/>
          <w:spacing w:val="0"/>
          <w:kern w:val="0"/>
          <w:sz w:val="32"/>
          <w:szCs w:val="21"/>
          <w:lang w:eastAsia="zh-CN"/>
        </w:rPr>
        <w:t>落</w:t>
      </w:r>
      <w:r>
        <w:rPr>
          <w:rFonts w:ascii="Times New Roman" w:hAnsi="Times New Roman" w:eastAsia="仿宋_GB2312" w:cs="Arial"/>
          <w:snapToGrid w:val="0"/>
          <w:color w:val="000000"/>
          <w:spacing w:val="0"/>
          <w:kern w:val="0"/>
          <w:sz w:val="32"/>
          <w:szCs w:val="21"/>
          <w:lang w:eastAsia="zh-CN"/>
        </w:rPr>
        <w:t>地复检工作机制，重点做好“三北”工程项目苗木复检，强化林区外调板材、木质电缆盘和包装材料检疫检查</w:t>
      </w:r>
      <w:r>
        <w:rPr>
          <w:rFonts w:hint="eastAsia" w:ascii="Times New Roman" w:hAnsi="Times New Roman" w:eastAsia="仿宋_GB2312" w:cs="Arial"/>
          <w:snapToGrid w:val="0"/>
          <w:color w:val="000000"/>
          <w:spacing w:val="0"/>
          <w:kern w:val="0"/>
          <w:sz w:val="32"/>
          <w:szCs w:val="21"/>
          <w:lang w:eastAsia="zh-CN"/>
        </w:rPr>
        <w:t>。持续推进检疫执法工作，严厉打击妨害植物防疫、检疫行为。加强新疆哈密公路动植物联合防疫检疫站设施设备和检疫值守能力建设，严防外来有害生物传入扩散。</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2"/>
        <w:rPr>
          <w:rFonts w:hint="eastAsia" w:ascii="Times New Roman" w:hAnsi="Times New Roman" w:eastAsia="楷体_GB2312" w:cs="方正仿宋_GB2312"/>
          <w:b w:val="0"/>
          <w:bCs w:val="0"/>
          <w:snapToGrid w:val="0"/>
          <w:color w:val="000000"/>
          <w:spacing w:val="0"/>
          <w:sz w:val="32"/>
          <w:szCs w:val="28"/>
          <w:lang w:val="en-US" w:eastAsia="en-US" w:bidi="ar-SA"/>
        </w:rPr>
      </w:pPr>
      <w:bookmarkStart w:id="380" w:name="_Toc13564"/>
      <w:bookmarkStart w:id="381" w:name="_Toc18239"/>
      <w:bookmarkStart w:id="382" w:name="_Toc13038"/>
      <w:bookmarkStart w:id="383" w:name="_Toc31017"/>
      <w:r>
        <w:rPr>
          <w:rFonts w:hint="eastAsia" w:ascii="Times New Roman" w:hAnsi="Times New Roman" w:eastAsia="楷体_GB2312" w:cs="方正仿宋_GB2312"/>
          <w:b w:val="0"/>
          <w:bCs w:val="0"/>
          <w:snapToGrid w:val="0"/>
          <w:color w:val="000000"/>
          <w:spacing w:val="0"/>
          <w:sz w:val="32"/>
          <w:szCs w:val="28"/>
          <w:lang w:val="en-US" w:eastAsia="zh-CN" w:bidi="ar-SA"/>
        </w:rPr>
        <w:t>（三）强化防灾减灾能力建设</w:t>
      </w:r>
    </w:p>
    <w:bookmarkEnd w:id="380"/>
    <w:bookmarkEnd w:id="381"/>
    <w:bookmarkEnd w:id="382"/>
    <w:bookmarkEnd w:id="383"/>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健全完善林草有害生物灾害防控应急预案，提高灾害应急处置能力。构筑兵地联防联控机制，强化基层测报、防治和检疫队伍建设，提升有害生物全链条监测防控水平。结合实际，推动先进适用技术转化应用，重点加强对伊州区“枣树一号病”及白石头公益林区小蠹虫发生区防治；积极推广牧鸡牧鸭、筑巢引鸟、招鹰控鼠等生物技术措施开展绿色防控。</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384" w:name="_Toc10821"/>
      <w:bookmarkStart w:id="385" w:name="_Toc17051"/>
      <w:bookmarkStart w:id="386" w:name="_Toc32644"/>
      <w:bookmarkStart w:id="387" w:name="_Toc27455"/>
      <w:bookmarkStart w:id="388" w:name="_Toc3431"/>
      <w:bookmarkStart w:id="389" w:name="_Toc11169"/>
      <w:bookmarkStart w:id="390" w:name="_Toc10678"/>
      <w:bookmarkStart w:id="391" w:name="_Toc21722"/>
      <w:r>
        <w:rPr>
          <w:rFonts w:hint="eastAsia" w:ascii="Times New Roman" w:hAnsi="Times New Roman" w:eastAsia="黑体" w:cs="楷体"/>
          <w:bCs/>
          <w:snapToGrid w:val="0"/>
          <w:color w:val="000000"/>
          <w:spacing w:val="0"/>
          <w:sz w:val="32"/>
          <w:szCs w:val="32"/>
          <w:lang w:val="en-US" w:eastAsia="zh-CN" w:bidi="ar-SA"/>
        </w:rPr>
        <w:t>三、强化外来入侵物种防控</w:t>
      </w:r>
      <w:bookmarkEnd w:id="384"/>
      <w:bookmarkEnd w:id="385"/>
      <w:bookmarkEnd w:id="386"/>
      <w:bookmarkEnd w:id="387"/>
      <w:bookmarkEnd w:id="388"/>
      <w:bookmarkEnd w:id="389"/>
      <w:bookmarkEnd w:id="390"/>
      <w:bookmarkEnd w:id="39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方正仿宋_GB2312" w:hAnsi="方正仿宋_GB2312" w:eastAsia="仿宋_GB2312" w:cs="方正仿宋_GB2312"/>
          <w:snapToGrid w:val="0"/>
          <w:color w:val="000000"/>
          <w:spacing w:val="0"/>
          <w:kern w:val="0"/>
          <w:sz w:val="32"/>
          <w:szCs w:val="32"/>
          <w:lang w:eastAsia="zh-CN"/>
        </w:rPr>
      </w:pPr>
      <w:r>
        <w:rPr>
          <w:rFonts w:hint="eastAsia" w:ascii="Times New Roman" w:hAnsi="Times New Roman" w:eastAsia="仿宋_GB2312" w:cs="Arial"/>
          <w:snapToGrid w:val="0"/>
          <w:color w:val="000000"/>
          <w:kern w:val="0"/>
          <w:sz w:val="32"/>
          <w:szCs w:val="21"/>
          <w:lang w:eastAsia="zh-CN"/>
        </w:rPr>
        <w:t>配合自治区开展外来入侵物种本底调查，摸清物种分布、种群规模及扩散态势。严格外来野生动植物引种</w:t>
      </w:r>
      <w:r>
        <w:rPr>
          <w:rFonts w:hint="eastAsia" w:ascii="Times New Roman" w:hAnsi="Times New Roman" w:eastAsia="仿宋_GB2312" w:cs="Arial"/>
          <w:snapToGrid w:val="0"/>
          <w:color w:val="000000"/>
          <w:spacing w:val="0"/>
          <w:kern w:val="0"/>
          <w:sz w:val="32"/>
          <w:szCs w:val="21"/>
          <w:lang w:eastAsia="zh-CN"/>
        </w:rPr>
        <w:t>审批和风险管控，针对市域内已发现的外来入侵动植物，科学制定分区分类、精准施策的防治方案。依托现有林草有害生物常态化监测网络，将外来入侵物种排查监测纳入日常巡护工作，持续提升一线隐患发现、信息报送及初期处置能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392" w:name="_Toc13476"/>
      <w:bookmarkStart w:id="393" w:name="_Toc9793"/>
      <w:bookmarkStart w:id="394" w:name="_Toc9666"/>
      <w:bookmarkStart w:id="395" w:name="_Toc29470"/>
      <w:bookmarkStart w:id="396" w:name="_Toc13103"/>
      <w:bookmarkStart w:id="397" w:name="_Toc29731"/>
      <w:bookmarkStart w:id="398" w:name="_Toc26523"/>
      <w:bookmarkStart w:id="399" w:name="_Toc6272"/>
      <w:r>
        <w:rPr>
          <w:rFonts w:hint="eastAsia" w:ascii="Times New Roman" w:hAnsi="Times New Roman" w:eastAsia="黑体" w:cs="楷体"/>
          <w:bCs/>
          <w:snapToGrid w:val="0"/>
          <w:color w:val="000000"/>
          <w:spacing w:val="0"/>
          <w:sz w:val="32"/>
          <w:szCs w:val="32"/>
          <w:lang w:val="en-US" w:eastAsia="zh-CN" w:bidi="ar-SA"/>
        </w:rPr>
        <w:t>四、抓实林草行业安全生产常态化管控</w:t>
      </w:r>
      <w:bookmarkEnd w:id="392"/>
      <w:bookmarkEnd w:id="393"/>
      <w:bookmarkEnd w:id="394"/>
      <w:bookmarkEnd w:id="395"/>
      <w:bookmarkEnd w:id="396"/>
      <w:bookmarkEnd w:id="397"/>
      <w:bookmarkEnd w:id="398"/>
      <w:bookmarkEnd w:id="399"/>
    </w:p>
    <w:p>
      <w:pPr>
        <w:keepNext w:val="0"/>
        <w:keepLines w:val="0"/>
        <w:pageBreakBefore w:val="0"/>
        <w:widowControl w:val="0"/>
        <w:kinsoku/>
        <w:wordWrap/>
        <w:overflowPunct/>
        <w:autoSpaceDE w:val="0"/>
        <w:autoSpaceDN/>
        <w:bidi w:val="0"/>
        <w:spacing w:line="560" w:lineRule="exact"/>
        <w:ind w:firstLine="640"/>
        <w:jc w:val="both"/>
        <w:rPr>
          <w:rFonts w:hint="eastAsia" w:ascii="Times New Roman" w:hAnsi="Times New Roman" w:eastAsia="仿宋_GB2312" w:cs="Arial"/>
          <w:snapToGrid w:val="0"/>
          <w:color w:val="00000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严格落实安全生产责任制。将安全管控贯穿项目实施、野外作业、设施运维全过程，实现安全生产全域全覆盖、无死角。规范野外作业安全管理，落实作业前安全检查和岗前培训，规范人员防护配置，全面提升一线人员安全防范和应急处置能力，从源头防范野外作业风险。定期对管护站点、防火设施、防控站点等重点部位开展安全隐患排查，建立问题台账，实行清单化、闭环式销号整改，确保各类安全隐患动态清零，筑牢行业安全底线</w:t>
      </w:r>
      <w:r>
        <w:rPr>
          <w:rFonts w:hint="eastAsia" w:ascii="Times New Roman" w:hAnsi="Times New Roman" w:eastAsia="仿宋_GB2312" w:cs="Arial"/>
          <w:snapToGrid w:val="0"/>
          <w:color w:val="000000"/>
          <w:kern w:val="0"/>
          <w:sz w:val="32"/>
          <w:szCs w:val="21"/>
          <w:lang w:eastAsia="zh-CN"/>
        </w:rPr>
        <w:t>。</w:t>
      </w:r>
      <w:bookmarkStart w:id="400" w:name="_Toc9318"/>
      <w:bookmarkStart w:id="401" w:name="_Toc16371"/>
      <w:bookmarkStart w:id="402" w:name="_Toc4974"/>
      <w:bookmarkStart w:id="403" w:name="_Toc8478"/>
      <w:bookmarkStart w:id="404" w:name="_Toc24702"/>
      <w:bookmarkStart w:id="405" w:name="_Toc14387"/>
      <w:bookmarkStart w:id="406" w:name="_Toc1312"/>
      <w:bookmarkStart w:id="407" w:name="_Toc30780"/>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r>
        <w:rPr>
          <w:rFonts w:hint="eastAsia" w:ascii="Times New Roman" w:hAnsi="Times New Roman" w:eastAsia="黑体" w:cs="黑体"/>
          <w:b w:val="0"/>
          <w:bCs w:val="0"/>
          <w:snapToGrid w:val="0"/>
          <w:color w:val="000000"/>
          <w:spacing w:val="0"/>
          <w:sz w:val="32"/>
          <w:szCs w:val="31"/>
          <w:lang w:val="en-US" w:eastAsia="zh-CN" w:bidi="ar-SA"/>
        </w:rPr>
        <w:t>第八章 科技创新与人才队伍</w:t>
      </w:r>
      <w:bookmarkEnd w:id="400"/>
      <w:bookmarkEnd w:id="401"/>
      <w:bookmarkEnd w:id="402"/>
      <w:bookmarkEnd w:id="403"/>
      <w:bookmarkEnd w:id="404"/>
      <w:bookmarkEnd w:id="405"/>
      <w:bookmarkEnd w:id="406"/>
      <w:bookmarkEnd w:id="40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408" w:name="_Toc20482"/>
      <w:bookmarkStart w:id="409" w:name="_Toc27063"/>
      <w:bookmarkStart w:id="410" w:name="_Toc11794"/>
      <w:bookmarkStart w:id="411" w:name="_Toc16444"/>
      <w:bookmarkStart w:id="412" w:name="_Toc9238"/>
      <w:bookmarkStart w:id="413" w:name="_Toc25767"/>
      <w:bookmarkStart w:id="414" w:name="_Toc1561"/>
      <w:bookmarkStart w:id="415" w:name="_Toc7073"/>
      <w:r>
        <w:rPr>
          <w:rFonts w:hint="eastAsia" w:ascii="Times New Roman" w:hAnsi="Times New Roman" w:eastAsia="黑体" w:cs="楷体"/>
          <w:bCs/>
          <w:snapToGrid w:val="0"/>
          <w:color w:val="000000"/>
          <w:spacing w:val="0"/>
          <w:sz w:val="32"/>
          <w:szCs w:val="32"/>
          <w:lang w:val="en-US" w:eastAsia="zh-CN" w:bidi="ar-SA"/>
        </w:rPr>
        <w:t>一、增强科技创新能力</w:t>
      </w:r>
      <w:bookmarkEnd w:id="408"/>
      <w:bookmarkEnd w:id="409"/>
      <w:bookmarkEnd w:id="410"/>
      <w:bookmarkEnd w:id="411"/>
      <w:bookmarkEnd w:id="412"/>
      <w:bookmarkEnd w:id="413"/>
      <w:bookmarkEnd w:id="414"/>
      <w:bookmarkEnd w:id="415"/>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9"/>
        <w:rPr>
          <w:rFonts w:ascii="Arial" w:hAnsi="Arial" w:eastAsia="仿宋_GB2312" w:cs="Arial"/>
          <w:b w:val="0"/>
          <w:bCs w:val="0"/>
          <w:snapToGrid w:val="0"/>
          <w:color w:val="000000"/>
          <w:spacing w:val="0"/>
          <w:kern w:val="0"/>
          <w:sz w:val="32"/>
          <w:szCs w:val="21"/>
          <w:lang w:eastAsia="en-US"/>
        </w:rPr>
      </w:pPr>
      <w:bookmarkStart w:id="416" w:name="_Toc13195"/>
      <w:bookmarkStart w:id="417" w:name="_Toc30648"/>
      <w:bookmarkStart w:id="418" w:name="_Toc22626"/>
      <w:bookmarkStart w:id="419" w:name="_Toc20791"/>
      <w:bookmarkStart w:id="420" w:name="_Toc7843"/>
      <w:bookmarkStart w:id="421" w:name="_Toc9411"/>
      <w:bookmarkStart w:id="422" w:name="_Toc29233"/>
      <w:bookmarkStart w:id="423" w:name="_Toc28487"/>
      <w:r>
        <w:rPr>
          <w:rFonts w:hint="eastAsia" w:ascii="Arial" w:hAnsi="Arial" w:eastAsia="楷体_GB2312" w:cs="方正仿宋_GB2312"/>
          <w:b w:val="0"/>
          <w:bCs w:val="0"/>
          <w:snapToGrid w:val="0"/>
          <w:color w:val="000000"/>
          <w:spacing w:val="0"/>
          <w:kern w:val="0"/>
          <w:sz w:val="32"/>
          <w:szCs w:val="28"/>
        </w:rPr>
        <w:t>（一）聚焦重点领域关键技术攻关</w:t>
      </w:r>
      <w:bookmarkEnd w:id="416"/>
      <w:bookmarkEnd w:id="417"/>
      <w:bookmarkEnd w:id="418"/>
      <w:bookmarkEnd w:id="419"/>
      <w:bookmarkEnd w:id="420"/>
      <w:bookmarkEnd w:id="421"/>
      <w:bookmarkEnd w:id="422"/>
      <w:bookmarkEnd w:id="42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立足哈密极干旱、干旱区域生态治理需求，深化与科研院校产学研协同合作，建立长期技术攻关机制。重点围绕干旱区节水造林、退化林修复、草原改良、沙化治理等核心生态领域，突破困难立地造林、生态系统重建等技术瓶颈，同步推进防护林优化培育、林草有害生物绿色防控技术研究，构建适配本地气候的系统化生态治理技术体系。</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9"/>
        <w:rPr>
          <w:rFonts w:hint="eastAsia" w:ascii="Arial" w:hAnsi="Arial" w:eastAsia="楷体_GB2312" w:cs="方正仿宋_GB2312"/>
          <w:b w:val="0"/>
          <w:bCs w:val="0"/>
          <w:snapToGrid w:val="0"/>
          <w:color w:val="000000"/>
          <w:spacing w:val="0"/>
          <w:kern w:val="0"/>
          <w:sz w:val="32"/>
          <w:szCs w:val="28"/>
          <w:lang w:eastAsia="en-US"/>
        </w:rPr>
      </w:pPr>
      <w:bookmarkStart w:id="424" w:name="_Toc27998"/>
      <w:bookmarkStart w:id="425" w:name="_Toc19431"/>
      <w:bookmarkStart w:id="426" w:name="_Toc11744"/>
      <w:bookmarkStart w:id="427" w:name="_Toc29760"/>
      <w:bookmarkStart w:id="428" w:name="_Toc29862"/>
      <w:bookmarkStart w:id="429" w:name="_Toc22219"/>
      <w:bookmarkStart w:id="430" w:name="_Toc19898"/>
      <w:bookmarkStart w:id="431" w:name="_Toc29579"/>
      <w:r>
        <w:rPr>
          <w:rFonts w:hint="eastAsia" w:ascii="Arial" w:hAnsi="Arial" w:eastAsia="楷体_GB2312" w:cs="方正仿宋_GB2312"/>
          <w:b w:val="0"/>
          <w:bCs w:val="0"/>
          <w:snapToGrid w:val="0"/>
          <w:color w:val="000000"/>
          <w:spacing w:val="0"/>
          <w:kern w:val="0"/>
          <w:sz w:val="32"/>
          <w:szCs w:val="28"/>
        </w:rPr>
        <w:t>（二）优化国土绿化管护技术体系</w:t>
      </w:r>
      <w:bookmarkEnd w:id="424"/>
      <w:bookmarkEnd w:id="425"/>
      <w:bookmarkEnd w:id="426"/>
      <w:bookmarkEnd w:id="427"/>
      <w:bookmarkEnd w:id="428"/>
      <w:bookmarkEnd w:id="429"/>
      <w:bookmarkEnd w:id="430"/>
      <w:bookmarkEnd w:id="43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聚焦本地生态绿化建设管护工作，重点攻关退化防护林修复、林带结构优化、乡土树种繁育推广等实用技术，探索适配干旱区域的精准节水造林与抚育模式。依托科研技术力量，持续优化国土绿化技术模式，强化良种应用与规范化管理，稳步提升全域造林绿化质量和科学化管护水平，夯实生态修复技术基础。</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9"/>
        <w:rPr>
          <w:rFonts w:hint="eastAsia" w:ascii="Arial" w:hAnsi="Arial" w:eastAsia="楷体_GB2312" w:cs="方正仿宋_GB2312"/>
          <w:b w:val="0"/>
          <w:bCs w:val="0"/>
          <w:snapToGrid w:val="0"/>
          <w:color w:val="000000"/>
          <w:spacing w:val="0"/>
          <w:kern w:val="0"/>
          <w:sz w:val="32"/>
          <w:szCs w:val="28"/>
          <w:lang w:eastAsia="en-US"/>
        </w:rPr>
      </w:pPr>
      <w:bookmarkStart w:id="432" w:name="_Toc5291"/>
      <w:bookmarkStart w:id="433" w:name="_Toc23894"/>
      <w:bookmarkStart w:id="434" w:name="_Toc3983"/>
      <w:bookmarkStart w:id="435" w:name="_Toc28630"/>
      <w:bookmarkStart w:id="436" w:name="_Toc29211"/>
      <w:bookmarkStart w:id="437" w:name="_Toc6219"/>
      <w:bookmarkStart w:id="438" w:name="_Toc5880"/>
      <w:bookmarkStart w:id="439" w:name="_Toc20377"/>
      <w:r>
        <w:rPr>
          <w:rFonts w:hint="eastAsia" w:ascii="Arial" w:hAnsi="Arial" w:eastAsia="楷体_GB2312" w:cs="方正仿宋_GB2312"/>
          <w:b w:val="0"/>
          <w:bCs w:val="0"/>
          <w:snapToGrid w:val="0"/>
          <w:color w:val="000000"/>
          <w:spacing w:val="0"/>
          <w:kern w:val="0"/>
          <w:sz w:val="32"/>
          <w:szCs w:val="28"/>
        </w:rPr>
        <w:t>（三）搭建专家服务与成果转化机制</w:t>
      </w:r>
      <w:bookmarkEnd w:id="432"/>
      <w:bookmarkEnd w:id="433"/>
      <w:bookmarkEnd w:id="434"/>
      <w:bookmarkEnd w:id="435"/>
      <w:bookmarkEnd w:id="436"/>
      <w:bookmarkEnd w:id="437"/>
      <w:bookmarkEnd w:id="438"/>
      <w:bookmarkEnd w:id="439"/>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依托自治区林草专家服务支撑体系，组建专项技术服务团队，围绕生态修复、防护林管护、荒漠治理、绿色防控等领域，开展全程技术指导和基层业务培训。健全林草科技成果遴选、示范、推广全链条转化机制，推动科研成果贴合本地生态治理实际落地应用，推广智能监测、无人机防治等绿色技术，全面提升林草治理科学化水平。</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440" w:name="_Toc30545"/>
      <w:bookmarkStart w:id="441" w:name="_Toc24147"/>
      <w:bookmarkStart w:id="442" w:name="_Toc29064"/>
      <w:bookmarkStart w:id="443" w:name="_Toc24171"/>
      <w:bookmarkStart w:id="444" w:name="_Toc31601"/>
      <w:bookmarkStart w:id="445" w:name="_Toc14655"/>
      <w:bookmarkStart w:id="446" w:name="_Toc19011"/>
      <w:bookmarkStart w:id="447" w:name="_Toc29999"/>
      <w:r>
        <w:rPr>
          <w:rFonts w:hint="eastAsia" w:ascii="Times New Roman" w:hAnsi="Times New Roman" w:eastAsia="黑体" w:cs="楷体"/>
          <w:bCs/>
          <w:snapToGrid w:val="0"/>
          <w:color w:val="000000"/>
          <w:spacing w:val="0"/>
          <w:sz w:val="32"/>
          <w:szCs w:val="32"/>
          <w:lang w:val="en-US" w:eastAsia="zh-CN" w:bidi="ar-SA"/>
        </w:rPr>
        <w:t>二、推进数智林草建设</w:t>
      </w:r>
      <w:bookmarkEnd w:id="440"/>
      <w:bookmarkEnd w:id="441"/>
      <w:bookmarkEnd w:id="442"/>
      <w:bookmarkEnd w:id="443"/>
      <w:bookmarkEnd w:id="444"/>
      <w:bookmarkEnd w:id="445"/>
      <w:bookmarkEnd w:id="446"/>
      <w:bookmarkEnd w:id="447"/>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9"/>
        <w:rPr>
          <w:rFonts w:hint="eastAsia" w:ascii="Arial" w:hAnsi="Arial" w:eastAsia="楷体_GB2312" w:cs="方正仿宋_GB2312"/>
          <w:b w:val="0"/>
          <w:bCs w:val="0"/>
          <w:snapToGrid w:val="0"/>
          <w:color w:val="000000"/>
          <w:spacing w:val="0"/>
          <w:kern w:val="0"/>
          <w:sz w:val="32"/>
          <w:szCs w:val="28"/>
          <w:lang w:eastAsia="en-US"/>
        </w:rPr>
      </w:pPr>
      <w:bookmarkStart w:id="448" w:name="_Toc18020"/>
      <w:bookmarkStart w:id="449" w:name="_Toc10225"/>
      <w:bookmarkStart w:id="450" w:name="_Toc30221"/>
      <w:bookmarkStart w:id="451" w:name="_Toc30665"/>
      <w:bookmarkStart w:id="452" w:name="_Toc4035"/>
      <w:bookmarkStart w:id="453" w:name="_Toc6421"/>
      <w:bookmarkStart w:id="454" w:name="_Toc25746"/>
      <w:bookmarkStart w:id="455" w:name="_Toc9526"/>
      <w:r>
        <w:rPr>
          <w:rFonts w:hint="eastAsia" w:ascii="Arial" w:hAnsi="Arial" w:eastAsia="楷体_GB2312" w:cs="方正仿宋_GB2312"/>
          <w:b w:val="0"/>
          <w:bCs w:val="0"/>
          <w:snapToGrid w:val="0"/>
          <w:color w:val="000000"/>
          <w:spacing w:val="0"/>
          <w:kern w:val="0"/>
          <w:sz w:val="32"/>
          <w:szCs w:val="28"/>
        </w:rPr>
        <w:t>（一）完善林草资源数据底板</w:t>
      </w:r>
      <w:bookmarkEnd w:id="448"/>
      <w:bookmarkEnd w:id="449"/>
      <w:bookmarkEnd w:id="450"/>
      <w:bookmarkEnd w:id="451"/>
      <w:bookmarkEnd w:id="452"/>
      <w:bookmarkEnd w:id="453"/>
      <w:bookmarkEnd w:id="454"/>
      <w:bookmarkEnd w:id="455"/>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常态化推进国土绿化落地上图精细化管理，及时归集各类林草项目建设成果数据并入库上图。持续完善林、草、湿、荒等各类资源监测数据，常态化开展图斑核查更新，夯实数字化数据基础。推进跨部门数据共享与业务协同机制，全面推进林草业务数字化转型，实现全域资源全链条动态监管。</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9"/>
        <w:rPr>
          <w:rFonts w:hint="eastAsia" w:ascii="Arial" w:hAnsi="Arial" w:eastAsia="楷体_GB2312" w:cs="方正仿宋_GB2312"/>
          <w:b w:val="0"/>
          <w:bCs w:val="0"/>
          <w:snapToGrid w:val="0"/>
          <w:color w:val="000000"/>
          <w:spacing w:val="0"/>
          <w:kern w:val="0"/>
          <w:sz w:val="32"/>
          <w:szCs w:val="28"/>
          <w:lang w:eastAsia="en-US"/>
        </w:rPr>
      </w:pPr>
      <w:bookmarkStart w:id="456" w:name="_Toc24306"/>
      <w:bookmarkStart w:id="457" w:name="_Toc15454"/>
      <w:bookmarkStart w:id="458" w:name="_Toc28915"/>
      <w:bookmarkStart w:id="459" w:name="_Toc17441"/>
      <w:bookmarkStart w:id="460" w:name="_Toc28685"/>
      <w:bookmarkStart w:id="461" w:name="_Toc17326"/>
      <w:bookmarkStart w:id="462" w:name="_Toc1658"/>
      <w:bookmarkStart w:id="463" w:name="_Toc26598"/>
      <w:r>
        <w:rPr>
          <w:rFonts w:hint="eastAsia" w:ascii="Arial" w:hAnsi="Arial" w:eastAsia="楷体_GB2312" w:cs="方正仿宋_GB2312"/>
          <w:b w:val="0"/>
          <w:bCs w:val="0"/>
          <w:snapToGrid w:val="0"/>
          <w:color w:val="000000"/>
          <w:spacing w:val="0"/>
          <w:kern w:val="0"/>
          <w:sz w:val="32"/>
          <w:szCs w:val="28"/>
        </w:rPr>
        <w:t>（二）构建智慧灾害预警指挥体系</w:t>
      </w:r>
      <w:bookmarkEnd w:id="456"/>
      <w:bookmarkEnd w:id="457"/>
      <w:bookmarkEnd w:id="458"/>
      <w:bookmarkEnd w:id="459"/>
      <w:bookmarkEnd w:id="460"/>
      <w:bookmarkEnd w:id="461"/>
      <w:bookmarkEnd w:id="462"/>
      <w:bookmarkEnd w:id="46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整合现有森林草原防火设备、红外探测、气象感知、有害生物监测等前端设备数据，搭建“空、天、地”一体化林草灾害综合信息平台。深化智能化防控应用，构建灾害防控大数据分析模型，精准研判火险等级、病虫害发生趋势，实现灾害风险动态预警、智能分析，全面提升林草灾害科学化防控能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9"/>
        <w:rPr>
          <w:rFonts w:hint="eastAsia" w:ascii="Arial" w:hAnsi="Arial" w:eastAsia="楷体_GB2312" w:cs="方正仿宋_GB2312"/>
          <w:b w:val="0"/>
          <w:bCs w:val="0"/>
          <w:snapToGrid w:val="0"/>
          <w:color w:val="000000"/>
          <w:spacing w:val="0"/>
          <w:kern w:val="0"/>
          <w:sz w:val="32"/>
          <w:szCs w:val="28"/>
          <w:lang w:eastAsia="en-US"/>
        </w:rPr>
      </w:pPr>
      <w:bookmarkStart w:id="464" w:name="_Toc20879"/>
      <w:bookmarkStart w:id="465" w:name="_Toc22858"/>
      <w:bookmarkStart w:id="466" w:name="_Toc698"/>
      <w:bookmarkStart w:id="467" w:name="_Toc24274"/>
      <w:bookmarkStart w:id="468" w:name="_Toc28773"/>
      <w:bookmarkStart w:id="469" w:name="_Toc30925"/>
      <w:bookmarkStart w:id="470" w:name="_Toc5816"/>
      <w:bookmarkStart w:id="471" w:name="_Toc13585"/>
      <w:r>
        <w:rPr>
          <w:rFonts w:hint="eastAsia" w:ascii="Arial" w:hAnsi="Arial" w:eastAsia="楷体_GB2312" w:cs="方正仿宋_GB2312"/>
          <w:b w:val="0"/>
          <w:bCs w:val="0"/>
          <w:snapToGrid w:val="0"/>
          <w:color w:val="000000"/>
          <w:spacing w:val="0"/>
          <w:kern w:val="0"/>
          <w:sz w:val="32"/>
          <w:szCs w:val="28"/>
        </w:rPr>
        <w:t>（三）夯实基层数字化应用能力</w:t>
      </w:r>
      <w:bookmarkEnd w:id="464"/>
      <w:bookmarkEnd w:id="465"/>
      <w:bookmarkEnd w:id="466"/>
      <w:bookmarkEnd w:id="467"/>
      <w:bookmarkEnd w:id="468"/>
      <w:bookmarkEnd w:id="469"/>
      <w:bookmarkEnd w:id="470"/>
      <w:bookmarkEnd w:id="471"/>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全面推进基层巡护移动端、手持智能终端配置普及，将数据查询、日常巡护、任务派发、问题上报、整改反馈等功能覆盖至区县乡一线。打通数字化治理落地“最后一公里”，推动林草智能监管、数字服务、闭环治理全面向基层延伸，持续提升全域林草数字化、精细化治理水平。</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472" w:name="_Toc19688"/>
      <w:bookmarkStart w:id="473" w:name="_Toc11707"/>
      <w:bookmarkStart w:id="474" w:name="_Toc30473"/>
      <w:bookmarkStart w:id="475" w:name="_Toc25268"/>
      <w:bookmarkStart w:id="476" w:name="_Toc4380"/>
      <w:bookmarkStart w:id="477" w:name="_Toc13364"/>
      <w:bookmarkStart w:id="478" w:name="_Toc32107"/>
      <w:bookmarkStart w:id="479" w:name="_Toc8406"/>
      <w:r>
        <w:rPr>
          <w:rFonts w:hint="eastAsia" w:ascii="Times New Roman" w:hAnsi="Times New Roman" w:eastAsia="黑体" w:cs="楷体"/>
          <w:bCs/>
          <w:snapToGrid w:val="0"/>
          <w:color w:val="000000"/>
          <w:spacing w:val="0"/>
          <w:sz w:val="32"/>
          <w:szCs w:val="32"/>
          <w:lang w:val="en-US" w:eastAsia="zh-CN" w:bidi="ar-SA"/>
        </w:rPr>
        <w:t>三、强化林草人才队伍建设</w:t>
      </w:r>
      <w:bookmarkEnd w:id="472"/>
      <w:bookmarkEnd w:id="473"/>
      <w:bookmarkEnd w:id="474"/>
      <w:bookmarkEnd w:id="475"/>
      <w:bookmarkEnd w:id="476"/>
      <w:bookmarkEnd w:id="477"/>
      <w:bookmarkEnd w:id="478"/>
      <w:bookmarkEnd w:id="479"/>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baseline"/>
        <w:outlineLvl w:val="9"/>
        <w:rPr>
          <w:rFonts w:hint="eastAsia" w:ascii="Arial" w:hAnsi="Arial" w:eastAsia="仿宋_GB2312" w:cs="Arial"/>
          <w:b w:val="0"/>
          <w:bCs w:val="0"/>
          <w:snapToGrid w:val="0"/>
          <w:color w:val="000000"/>
          <w:spacing w:val="0"/>
          <w:kern w:val="0"/>
          <w:sz w:val="32"/>
          <w:szCs w:val="21"/>
          <w:lang w:eastAsia="en-US"/>
        </w:rPr>
      </w:pPr>
      <w:bookmarkStart w:id="480" w:name="_Toc10079"/>
      <w:bookmarkStart w:id="481" w:name="_Toc17333"/>
      <w:bookmarkStart w:id="482" w:name="_Toc26973"/>
      <w:bookmarkStart w:id="483" w:name="_Toc3767"/>
      <w:r>
        <w:rPr>
          <w:rFonts w:hint="eastAsia" w:ascii="Arial" w:hAnsi="Arial" w:eastAsia="楷体_GB2312" w:cs="方正仿宋_GB2312"/>
          <w:b w:val="0"/>
          <w:bCs w:val="0"/>
          <w:snapToGrid w:val="0"/>
          <w:color w:val="000000"/>
          <w:spacing w:val="0"/>
          <w:kern w:val="0"/>
          <w:sz w:val="32"/>
          <w:szCs w:val="28"/>
        </w:rPr>
        <w:t>（一）加大专业人才引育力度</w:t>
      </w:r>
    </w:p>
    <w:bookmarkEnd w:id="480"/>
    <w:bookmarkEnd w:id="481"/>
    <w:bookmarkEnd w:id="482"/>
    <w:bookmarkEnd w:id="483"/>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拓宽人才引进渠道，积极引进先进技术、管理经验和专业人才。聚焦本地林草人才梯队培育，搭建分层分类常态化培训体系，深化与科研院校合作，通过联合培养、进修学习、挂职锻炼等多种方式，持续提升从业人员专业素养和业务实操能力。</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baseline"/>
        <w:outlineLvl w:val="9"/>
        <w:rPr>
          <w:rFonts w:hint="eastAsia" w:ascii="Arial" w:hAnsi="Arial" w:eastAsia="楷体_GB2312" w:cs="方正仿宋_GB2312"/>
          <w:b w:val="0"/>
          <w:bCs w:val="0"/>
          <w:snapToGrid w:val="0"/>
          <w:color w:val="000000"/>
          <w:spacing w:val="0"/>
          <w:kern w:val="0"/>
          <w:sz w:val="32"/>
          <w:szCs w:val="28"/>
          <w:lang w:eastAsia="en-US"/>
        </w:rPr>
      </w:pPr>
      <w:bookmarkStart w:id="484" w:name="_Toc12321"/>
      <w:bookmarkStart w:id="485" w:name="_Toc14546"/>
      <w:bookmarkStart w:id="486" w:name="_Toc20334"/>
      <w:bookmarkStart w:id="487" w:name="_Toc31609"/>
      <w:r>
        <w:rPr>
          <w:rFonts w:hint="eastAsia" w:ascii="Arial" w:hAnsi="Arial" w:eastAsia="楷体_GB2312" w:cs="方正仿宋_GB2312"/>
          <w:b w:val="0"/>
          <w:bCs w:val="0"/>
          <w:snapToGrid w:val="0"/>
          <w:color w:val="000000"/>
          <w:spacing w:val="0"/>
          <w:kern w:val="0"/>
          <w:sz w:val="32"/>
          <w:szCs w:val="28"/>
        </w:rPr>
        <w:t>（二）夯实基层技术队伍建设</w:t>
      </w:r>
    </w:p>
    <w:bookmarkEnd w:id="484"/>
    <w:bookmarkEnd w:id="485"/>
    <w:bookmarkEnd w:id="486"/>
    <w:bookmarkEnd w:id="487"/>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结合生态保护、数字化治理等重点工作，常态化开展基层实用技术、信息化操作专项培训。落实好权限内基层技术人员职称评定聘用，压实岗位履职责任，培育一批懂技术、接地气、善实操的基层复合型业务骨干。</w:t>
      </w:r>
    </w:p>
    <w:p>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jc w:val="both"/>
        <w:textAlignment w:val="baseline"/>
        <w:outlineLvl w:val="9"/>
        <w:rPr>
          <w:rFonts w:hint="eastAsia" w:ascii="Arial" w:hAnsi="Arial" w:eastAsia="楷体_GB2312" w:cs="方正仿宋_GB2312"/>
          <w:b w:val="0"/>
          <w:bCs w:val="0"/>
          <w:snapToGrid w:val="0"/>
          <w:color w:val="000000"/>
          <w:spacing w:val="0"/>
          <w:kern w:val="0"/>
          <w:sz w:val="32"/>
          <w:szCs w:val="28"/>
          <w:lang w:eastAsia="en-US"/>
        </w:rPr>
      </w:pPr>
      <w:bookmarkStart w:id="488" w:name="_Toc14891"/>
      <w:bookmarkStart w:id="489" w:name="_Toc8112"/>
      <w:bookmarkStart w:id="490" w:name="_Toc15324"/>
      <w:bookmarkStart w:id="491" w:name="_Toc23672"/>
      <w:r>
        <w:rPr>
          <w:rFonts w:hint="eastAsia" w:ascii="Arial" w:hAnsi="Arial" w:eastAsia="楷体_GB2312" w:cs="方正仿宋_GB2312"/>
          <w:b w:val="0"/>
          <w:bCs w:val="0"/>
          <w:snapToGrid w:val="0"/>
          <w:color w:val="000000"/>
          <w:spacing w:val="0"/>
          <w:kern w:val="0"/>
          <w:sz w:val="32"/>
          <w:szCs w:val="28"/>
        </w:rPr>
        <w:t>（三）健全人才激励交流机制</w:t>
      </w:r>
    </w:p>
    <w:bookmarkEnd w:id="488"/>
    <w:bookmarkEnd w:id="489"/>
    <w:bookmarkEnd w:id="490"/>
    <w:bookmarkEnd w:id="491"/>
    <w:p>
      <w:pPr>
        <w:keepNext w:val="0"/>
        <w:keepLines w:val="0"/>
        <w:pageBreakBefore w:val="0"/>
        <w:widowControl w:val="0"/>
        <w:kinsoku/>
        <w:wordWrap/>
        <w:overflowPunct/>
        <w:autoSpaceDE w:val="0"/>
        <w:autoSpaceDN/>
        <w:bidi w:val="0"/>
        <w:spacing w:line="560" w:lineRule="exact"/>
        <w:ind w:firstLine="640"/>
        <w:jc w:val="both"/>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完善林草人才激励政策，提升基层技术岗位吸引力，稳定基层人才队伍。深化区域人才交流协作，依托援疆对口帮扶机制，常态化开展干部挂职、跟岗实训。推进搭建市域、区县与科研院校人才双向流动平台，推动管理经验、科研成果双向转化，优化人才资源配置。</w:t>
      </w:r>
      <w:bookmarkStart w:id="492" w:name="_Toc1473"/>
      <w:bookmarkStart w:id="493" w:name="_Toc15458"/>
      <w:bookmarkStart w:id="494" w:name="_Toc15392"/>
      <w:bookmarkStart w:id="495" w:name="_Toc24394"/>
      <w:bookmarkStart w:id="496" w:name="_Toc23443"/>
      <w:bookmarkStart w:id="497" w:name="_Toc9638"/>
      <w:bookmarkStart w:id="498" w:name="_Toc24070"/>
      <w:bookmarkStart w:id="499" w:name="_Toc17840"/>
      <w:bookmarkStart w:id="500" w:name="_Toc1098"/>
      <w:bookmarkStart w:id="501" w:name="_Toc22900"/>
      <w:bookmarkStart w:id="502" w:name="_Toc8599"/>
      <w:bookmarkStart w:id="503" w:name="_Toc12647"/>
      <w:bookmarkStart w:id="504" w:name="_Toc28245"/>
      <w:bookmarkStart w:id="505" w:name="_Toc21269"/>
      <w:bookmarkStart w:id="506" w:name="_Toc17183"/>
      <w:bookmarkStart w:id="507" w:name="_Toc20526"/>
      <w:bookmarkStart w:id="508" w:name="_Toc31061"/>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eastAsia" w:ascii="Times New Roman" w:hAnsi="Times New Roman" w:eastAsia="黑体" w:cs="黑体"/>
          <w:b w:val="0"/>
          <w:bCs w:val="0"/>
          <w:snapToGrid w:val="0"/>
          <w:color w:val="000000"/>
          <w:spacing w:val="0"/>
          <w:sz w:val="32"/>
          <w:szCs w:val="31"/>
          <w:lang w:val="en-US" w:eastAsia="zh-CN" w:bidi="ar-SA"/>
        </w:rPr>
      </w:pPr>
      <w:r>
        <w:rPr>
          <w:rFonts w:hint="eastAsia" w:ascii="Times New Roman" w:hAnsi="Times New Roman" w:eastAsia="黑体" w:cs="黑体"/>
          <w:b w:val="0"/>
          <w:bCs w:val="0"/>
          <w:snapToGrid w:val="0"/>
          <w:color w:val="000000"/>
          <w:spacing w:val="0"/>
          <w:sz w:val="32"/>
          <w:szCs w:val="31"/>
          <w:lang w:val="en-US" w:eastAsia="zh-CN" w:bidi="ar-SA"/>
        </w:rPr>
        <w:t xml:space="preserve">第九章 </w:t>
      </w:r>
      <w:bookmarkEnd w:id="492"/>
      <w:bookmarkEnd w:id="493"/>
      <w:bookmarkEnd w:id="494"/>
      <w:bookmarkEnd w:id="495"/>
      <w:r>
        <w:rPr>
          <w:rFonts w:hint="eastAsia" w:ascii="Times New Roman" w:hAnsi="Times New Roman" w:eastAsia="黑体" w:cs="黑体"/>
          <w:b w:val="0"/>
          <w:bCs w:val="0"/>
          <w:snapToGrid w:val="0"/>
          <w:color w:val="000000"/>
          <w:spacing w:val="0"/>
          <w:sz w:val="32"/>
          <w:szCs w:val="31"/>
          <w:lang w:val="en-US" w:eastAsia="zh-CN" w:bidi="ar-SA"/>
        </w:rPr>
        <w:t>环境影响评价及强化水资源刚性约束</w:t>
      </w:r>
      <w:bookmarkEnd w:id="496"/>
      <w:bookmarkEnd w:id="497"/>
      <w:bookmarkEnd w:id="498"/>
      <w:bookmarkEnd w:id="499"/>
    </w:p>
    <w:p>
      <w:pPr>
        <w:keepNext w:val="0"/>
        <w:keepLines w:val="0"/>
        <w:pageBreakBefore w:val="0"/>
        <w:widowControl w:val="0"/>
        <w:kinsoku/>
        <w:wordWrap w:val="0"/>
        <w:overflowPunct/>
        <w:topLinePunct/>
        <w:autoSpaceDE/>
        <w:autoSpaceDN/>
        <w:bidi w:val="0"/>
        <w:adjustRightInd w:val="0"/>
        <w:snapToGrid w:val="0"/>
        <w:spacing w:line="560" w:lineRule="exact"/>
        <w:ind w:firstLine="640" w:firstLineChars="200"/>
        <w:jc w:val="both"/>
        <w:textAlignment w:val="baseline"/>
        <w:outlineLvl w:val="1"/>
        <w:rPr>
          <w:rFonts w:hint="default" w:ascii="Times New Roman" w:hAnsi="Times New Roman" w:eastAsia="黑体" w:cs="楷体"/>
          <w:bCs/>
          <w:snapToGrid w:val="0"/>
          <w:color w:val="000000"/>
          <w:spacing w:val="0"/>
          <w:sz w:val="32"/>
          <w:szCs w:val="32"/>
          <w:lang w:val="en-US" w:eastAsia="zh-CN" w:bidi="ar-SA"/>
        </w:rPr>
      </w:pPr>
      <w:bookmarkStart w:id="509" w:name="_Toc25676"/>
      <w:bookmarkStart w:id="510" w:name="_Toc27738"/>
      <w:bookmarkStart w:id="511" w:name="_Toc4031"/>
      <w:bookmarkStart w:id="512" w:name="_Toc8680"/>
      <w:bookmarkStart w:id="513" w:name="_Toc16500"/>
      <w:bookmarkStart w:id="514" w:name="_Toc20910"/>
      <w:bookmarkStart w:id="515" w:name="_Toc19217"/>
      <w:bookmarkStart w:id="516" w:name="_Toc7400"/>
      <w:r>
        <w:rPr>
          <w:rFonts w:hint="eastAsia" w:ascii="Times New Roman" w:hAnsi="Times New Roman" w:eastAsia="黑体" w:cs="楷体"/>
          <w:bCs/>
          <w:snapToGrid w:val="0"/>
          <w:color w:val="000000"/>
          <w:spacing w:val="0"/>
          <w:sz w:val="32"/>
          <w:szCs w:val="32"/>
          <w:lang w:val="en-US" w:eastAsia="zh-CN" w:bidi="ar-SA"/>
        </w:rPr>
        <w:t>一、</w:t>
      </w:r>
      <w:bookmarkEnd w:id="509"/>
      <w:bookmarkEnd w:id="510"/>
      <w:bookmarkEnd w:id="511"/>
      <w:bookmarkEnd w:id="512"/>
      <w:r>
        <w:rPr>
          <w:rFonts w:hint="eastAsia" w:ascii="Times New Roman" w:hAnsi="Times New Roman" w:eastAsia="黑体" w:cs="楷体"/>
          <w:bCs/>
          <w:snapToGrid w:val="0"/>
          <w:color w:val="000000"/>
          <w:spacing w:val="0"/>
          <w:sz w:val="32"/>
          <w:szCs w:val="32"/>
          <w:lang w:val="en-US" w:eastAsia="zh-CN" w:bidi="ar-SA"/>
        </w:rPr>
        <w:t>环境影响评价</w:t>
      </w:r>
      <w:bookmarkEnd w:id="513"/>
      <w:bookmarkEnd w:id="514"/>
      <w:bookmarkEnd w:id="515"/>
      <w:bookmarkEnd w:id="516"/>
    </w:p>
    <w:p>
      <w:pPr>
        <w:keepNext w:val="0"/>
        <w:keepLines w:val="0"/>
        <w:pageBreakBefore w:val="0"/>
        <w:widowControl w:val="0"/>
        <w:kinsoku/>
        <w:wordWrap w:val="0"/>
        <w:overflowPunct/>
        <w:topLinePunct/>
        <w:autoSpaceDE/>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val="en-US" w:eastAsia="zh-CN"/>
        </w:rPr>
      </w:pPr>
      <w:r>
        <w:rPr>
          <w:rFonts w:hint="eastAsia" w:ascii="Times New Roman" w:hAnsi="Times New Roman" w:eastAsia="仿宋_GB2312" w:cs="Arial"/>
          <w:snapToGrid w:val="0"/>
          <w:color w:val="000000"/>
          <w:spacing w:val="0"/>
          <w:kern w:val="0"/>
          <w:sz w:val="32"/>
          <w:szCs w:val="21"/>
          <w:lang w:eastAsia="zh-CN"/>
        </w:rPr>
        <w:t>本规划实施的重点任务以生态保护修复为主，包括退化林修复、退化草原修复、荒漠化综合治理、自然保护地建设等，总体有利于改善</w:t>
      </w:r>
      <w:bookmarkStart w:id="620" w:name="_GoBack"/>
      <w:bookmarkEnd w:id="620"/>
      <w:r>
        <w:rPr>
          <w:rFonts w:hint="eastAsia" w:ascii="Times New Roman" w:hAnsi="Times New Roman" w:eastAsia="仿宋_GB2312" w:cs="Arial"/>
          <w:snapToGrid w:val="0"/>
          <w:color w:val="000000"/>
          <w:spacing w:val="0"/>
          <w:kern w:val="0"/>
          <w:sz w:val="32"/>
          <w:szCs w:val="21"/>
          <w:lang w:eastAsia="zh-CN"/>
        </w:rPr>
        <w:t>生态环境质量、提升生态系统服务功能，未涉及新增高耗水、高污染产业项目，对区域生态环境不会产生明显不利影响。规划实施中涉及的建设项目，将依法依规履行环境影响评价程序，落实各项生态保护和污染防治措施，最大限度降低施工扰动和运行影响，确保规划任务实施与生态环境保护相协调。</w:t>
      </w:r>
    </w:p>
    <w:p>
      <w:pPr>
        <w:keepNext w:val="0"/>
        <w:keepLines w:val="0"/>
        <w:pageBreakBefore w:val="0"/>
        <w:widowControl w:val="0"/>
        <w:kinsoku/>
        <w:wordWrap w:val="0"/>
        <w:overflowPunct/>
        <w:topLinePunct/>
        <w:autoSpaceDE/>
        <w:autoSpaceDN/>
        <w:bidi w:val="0"/>
        <w:adjustRightInd w:val="0"/>
        <w:snapToGrid w:val="0"/>
        <w:spacing w:line="560" w:lineRule="exact"/>
        <w:ind w:firstLine="640" w:firstLineChars="200"/>
        <w:jc w:val="both"/>
        <w:textAlignment w:val="baseline"/>
        <w:outlineLvl w:val="1"/>
        <w:rPr>
          <w:rFonts w:hint="eastAsia" w:ascii="Times New Roman" w:hAnsi="Times New Roman" w:eastAsia="黑体" w:cs="楷体"/>
          <w:bCs/>
          <w:snapToGrid w:val="0"/>
          <w:color w:val="000000"/>
          <w:spacing w:val="0"/>
          <w:sz w:val="32"/>
          <w:szCs w:val="32"/>
          <w:lang w:val="en-US" w:eastAsia="zh-CN" w:bidi="ar-SA"/>
        </w:rPr>
      </w:pPr>
      <w:bookmarkStart w:id="517" w:name="_Toc12651"/>
      <w:bookmarkStart w:id="518" w:name="_Toc268"/>
      <w:bookmarkStart w:id="519" w:name="_Toc11642"/>
      <w:bookmarkStart w:id="520" w:name="_Toc2883"/>
      <w:bookmarkStart w:id="521" w:name="_Toc9644"/>
      <w:bookmarkStart w:id="522" w:name="_Toc10651"/>
      <w:bookmarkStart w:id="523" w:name="_Toc19504"/>
      <w:bookmarkStart w:id="524" w:name="_Toc20056"/>
      <w:r>
        <w:rPr>
          <w:rFonts w:hint="eastAsia" w:ascii="Times New Roman" w:hAnsi="Times New Roman" w:eastAsia="黑体" w:cs="楷体"/>
          <w:bCs/>
          <w:snapToGrid w:val="0"/>
          <w:color w:val="000000"/>
          <w:spacing w:val="0"/>
          <w:sz w:val="32"/>
          <w:szCs w:val="32"/>
          <w:lang w:val="en-US" w:eastAsia="zh-CN" w:bidi="ar-SA"/>
        </w:rPr>
        <w:t>二、</w:t>
      </w:r>
      <w:bookmarkEnd w:id="517"/>
      <w:bookmarkEnd w:id="518"/>
      <w:bookmarkEnd w:id="519"/>
      <w:bookmarkEnd w:id="520"/>
      <w:r>
        <w:rPr>
          <w:rFonts w:hint="eastAsia" w:ascii="Times New Roman" w:hAnsi="Times New Roman" w:eastAsia="黑体" w:cs="楷体"/>
          <w:bCs/>
          <w:snapToGrid w:val="0"/>
          <w:color w:val="000000"/>
          <w:spacing w:val="0"/>
          <w:sz w:val="32"/>
          <w:szCs w:val="32"/>
          <w:lang w:val="en-US" w:eastAsia="zh-CN" w:bidi="ar-SA"/>
        </w:rPr>
        <w:t>强化水资源刚性约束</w:t>
      </w:r>
      <w:bookmarkEnd w:id="521"/>
      <w:bookmarkEnd w:id="522"/>
      <w:bookmarkEnd w:id="523"/>
      <w:bookmarkEnd w:id="524"/>
    </w:p>
    <w:p>
      <w:pPr>
        <w:keepNext w:val="0"/>
        <w:keepLines w:val="0"/>
        <w:pageBreakBefore w:val="0"/>
        <w:widowControl w:val="0"/>
        <w:kinsoku/>
        <w:wordWrap w:val="0"/>
        <w:overflowPunct/>
        <w:topLinePunct/>
        <w:autoSpaceDE/>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highlight w:val="none"/>
          <w:lang w:eastAsia="zh-CN"/>
        </w:rPr>
      </w:pPr>
      <w:r>
        <w:rPr>
          <w:rFonts w:hint="eastAsia" w:ascii="Times New Roman" w:hAnsi="Times New Roman" w:eastAsia="仿宋_GB2312" w:cs="Arial"/>
          <w:snapToGrid w:val="0"/>
          <w:color w:val="000000"/>
          <w:spacing w:val="0"/>
          <w:kern w:val="0"/>
          <w:sz w:val="32"/>
          <w:szCs w:val="21"/>
          <w:lang w:eastAsia="zh-CN"/>
        </w:rPr>
        <w:t>坚持以水定绿，将水资源承载能力作为林草生态建设的刚性约束条件，严格落实哈密市用水总量和强度双控要求。规划确定的退化林修复、人工防护林建设等各类营造林活动，</w:t>
      </w:r>
      <w:r>
        <w:rPr>
          <w:rFonts w:hint="eastAsia" w:ascii="Times New Roman" w:hAnsi="Times New Roman" w:eastAsia="仿宋_GB2312" w:cs="Arial"/>
          <w:snapToGrid w:val="0"/>
          <w:color w:val="000000"/>
          <w:spacing w:val="0"/>
          <w:kern w:val="0"/>
          <w:sz w:val="32"/>
          <w:szCs w:val="21"/>
          <w:highlight w:val="none"/>
          <w:lang w:val="en-US" w:eastAsia="zh-CN"/>
        </w:rPr>
        <w:t>优先</w:t>
      </w:r>
      <w:r>
        <w:rPr>
          <w:rFonts w:hint="eastAsia" w:ascii="Times New Roman" w:hAnsi="Times New Roman" w:eastAsia="仿宋_GB2312" w:cs="Arial"/>
          <w:snapToGrid w:val="0"/>
          <w:color w:val="000000"/>
          <w:spacing w:val="0"/>
          <w:kern w:val="0"/>
          <w:sz w:val="32"/>
          <w:szCs w:val="21"/>
          <w:highlight w:val="none"/>
          <w:lang w:eastAsia="zh-CN"/>
        </w:rPr>
        <w:t>利用现有灌溉设施改造升级，</w:t>
      </w:r>
      <w:r>
        <w:rPr>
          <w:rFonts w:hint="eastAsia" w:ascii="Times New Roman" w:hAnsi="Times New Roman" w:eastAsia="仿宋_GB2312" w:cs="Arial"/>
          <w:snapToGrid w:val="0"/>
          <w:color w:val="000000"/>
          <w:spacing w:val="0"/>
          <w:kern w:val="0"/>
          <w:sz w:val="32"/>
          <w:szCs w:val="21"/>
          <w:highlight w:val="none"/>
          <w:lang w:val="en-US" w:eastAsia="zh-CN"/>
        </w:rPr>
        <w:t>严格控制</w:t>
      </w:r>
      <w:r>
        <w:rPr>
          <w:rFonts w:hint="eastAsia" w:ascii="Times New Roman" w:hAnsi="Times New Roman" w:eastAsia="仿宋_GB2312" w:cs="Arial"/>
          <w:snapToGrid w:val="0"/>
          <w:color w:val="000000"/>
          <w:spacing w:val="0"/>
          <w:kern w:val="0"/>
          <w:sz w:val="32"/>
          <w:szCs w:val="21"/>
          <w:highlight w:val="none"/>
          <w:lang w:eastAsia="zh-CN"/>
        </w:rPr>
        <w:t>新增取水许可</w:t>
      </w:r>
      <w:r>
        <w:rPr>
          <w:rFonts w:hint="eastAsia" w:ascii="Times New Roman" w:hAnsi="Times New Roman" w:eastAsia="仿宋_GB2312" w:cs="Arial"/>
          <w:snapToGrid w:val="0"/>
          <w:color w:val="000000"/>
          <w:spacing w:val="0"/>
          <w:kern w:val="0"/>
          <w:sz w:val="32"/>
          <w:szCs w:val="21"/>
          <w:highlight w:val="none"/>
          <w:lang w:val="en-US" w:eastAsia="zh-CN"/>
        </w:rPr>
        <w:t>和</w:t>
      </w:r>
      <w:r>
        <w:rPr>
          <w:rFonts w:hint="eastAsia" w:ascii="Times New Roman" w:hAnsi="Times New Roman" w:eastAsia="仿宋_GB2312" w:cs="Arial"/>
          <w:snapToGrid w:val="0"/>
          <w:color w:val="000000"/>
          <w:spacing w:val="0"/>
          <w:kern w:val="0"/>
          <w:sz w:val="32"/>
          <w:szCs w:val="21"/>
          <w:highlight w:val="none"/>
          <w:lang w:eastAsia="zh-CN"/>
        </w:rPr>
        <w:t>用水指标。退化</w:t>
      </w:r>
      <w:r>
        <w:rPr>
          <w:rFonts w:hint="eastAsia" w:ascii="Times New Roman" w:hAnsi="Times New Roman" w:eastAsia="仿宋_GB2312" w:cs="Arial"/>
          <w:snapToGrid w:val="0"/>
          <w:color w:val="000000"/>
          <w:spacing w:val="0"/>
          <w:kern w:val="0"/>
          <w:sz w:val="32"/>
          <w:szCs w:val="21"/>
          <w:lang w:eastAsia="zh-CN"/>
        </w:rPr>
        <w:t>草原修复以自然恢复、围栏封育、补播改良为主，不实施人工灌溉。荒漠化综合治理坚持以自然恢复为主、人工干预为辅。加强与水利部门协同联动，将林草生态建设用水纳入区域水资源统一调度和计量监管体系</w:t>
      </w:r>
      <w:r>
        <w:rPr>
          <w:rFonts w:hint="eastAsia" w:ascii="Times New Roman" w:hAnsi="Times New Roman" w:eastAsia="仿宋_GB2312" w:cs="Arial"/>
          <w:snapToGrid w:val="0"/>
          <w:color w:val="000000"/>
          <w:spacing w:val="0"/>
          <w:kern w:val="0"/>
          <w:sz w:val="32"/>
          <w:szCs w:val="21"/>
          <w:highlight w:val="none"/>
          <w:lang w:eastAsia="zh-CN"/>
        </w:rPr>
        <w:t>，涉及取用水的新建项目，严格按规定开展水资源论证，落实取水许可审批程序。实现林草生态建设与区域水资源承载能力相协调、相适应。</w:t>
      </w:r>
      <w:bookmarkStart w:id="525" w:name="_Toc9529"/>
      <w:bookmarkStart w:id="526" w:name="_Toc32559"/>
      <w:bookmarkStart w:id="527" w:name="_Toc14593"/>
      <w:bookmarkStart w:id="528" w:name="_Toc15712"/>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hint="default" w:ascii="Times New Roman" w:hAnsi="Times New Roman" w:eastAsia="仿宋_GB2312" w:cs="Arial"/>
          <w:snapToGrid w:val="0"/>
          <w:color w:val="000000"/>
          <w:spacing w:val="0"/>
          <w:kern w:val="0"/>
          <w:sz w:val="32"/>
          <w:szCs w:val="21"/>
          <w:lang w:eastAsia="zh-CN"/>
        </w:rPr>
      </w:pPr>
      <w:r>
        <w:rPr>
          <w:rFonts w:hint="eastAsia" w:ascii="Times New Roman" w:hAnsi="Times New Roman" w:eastAsia="黑体" w:cs="黑体"/>
          <w:b w:val="0"/>
          <w:bCs w:val="0"/>
          <w:snapToGrid w:val="0"/>
          <w:color w:val="000000"/>
          <w:spacing w:val="0"/>
          <w:sz w:val="32"/>
          <w:szCs w:val="31"/>
          <w:lang w:val="en-US" w:eastAsia="zh-CN" w:bidi="ar-SA"/>
        </w:rPr>
        <w:t>第十章 持续深化林草制度改革</w:t>
      </w:r>
      <w:bookmarkEnd w:id="525"/>
      <w:bookmarkEnd w:id="526"/>
      <w:bookmarkEnd w:id="527"/>
      <w:bookmarkEnd w:id="528"/>
    </w:p>
    <w:p>
      <w:pPr>
        <w:keepNext w:val="0"/>
        <w:keepLines w:val="0"/>
        <w:pageBreakBefore w:val="0"/>
        <w:widowControl w:val="0"/>
        <w:numPr>
          <w:ilvl w:val="0"/>
          <w:numId w:val="0"/>
        </w:numPr>
        <w:kinsoku/>
        <w:wordWrap w:val="0"/>
        <w:overflowPunct/>
        <w:topLinePunct/>
        <w:autoSpaceDE/>
        <w:autoSpaceDN/>
        <w:bidi w:val="0"/>
        <w:adjustRightInd w:val="0"/>
        <w:snapToGrid w:val="0"/>
        <w:spacing w:line="560" w:lineRule="exact"/>
        <w:ind w:firstLine="640" w:firstLineChars="200"/>
        <w:jc w:val="both"/>
        <w:textAlignment w:val="baseline"/>
        <w:outlineLvl w:val="1"/>
        <w:rPr>
          <w:rFonts w:hint="default" w:ascii="Times New Roman" w:hAnsi="Times New Roman" w:eastAsia="黑体" w:cs="楷体"/>
          <w:bCs/>
          <w:snapToGrid w:val="0"/>
          <w:color w:val="000000"/>
          <w:spacing w:val="0"/>
          <w:sz w:val="32"/>
          <w:szCs w:val="32"/>
          <w:lang w:val="en-US" w:eastAsia="zh-CN" w:bidi="ar-SA"/>
        </w:rPr>
      </w:pPr>
      <w:bookmarkStart w:id="529" w:name="_Toc23753"/>
      <w:bookmarkStart w:id="530" w:name="_Toc29142"/>
      <w:bookmarkStart w:id="531" w:name="_Toc20803"/>
      <w:bookmarkStart w:id="532" w:name="_Toc27672"/>
      <w:r>
        <w:rPr>
          <w:rFonts w:hint="eastAsia" w:ascii="Times New Roman" w:hAnsi="Times New Roman" w:eastAsia="黑体" w:cs="楷体"/>
          <w:bCs/>
          <w:snapToGrid w:val="0"/>
          <w:color w:val="000000"/>
          <w:spacing w:val="0"/>
          <w:sz w:val="32"/>
          <w:szCs w:val="32"/>
          <w:lang w:val="en-US" w:eastAsia="zh-CN" w:bidi="ar-SA"/>
        </w:rPr>
        <w:t>一</w:t>
      </w:r>
      <w:r>
        <w:rPr>
          <w:rFonts w:hint="default" w:ascii="Times New Roman" w:hAnsi="Times New Roman" w:eastAsia="黑体" w:cs="楷体"/>
          <w:bCs/>
          <w:snapToGrid w:val="0"/>
          <w:color w:val="000000"/>
          <w:spacing w:val="0"/>
          <w:sz w:val="32"/>
          <w:szCs w:val="32"/>
          <w:lang w:val="en-US" w:eastAsia="zh-CN" w:bidi="ar-SA"/>
        </w:rPr>
        <w:t>、深化国有林场改革</w:t>
      </w:r>
      <w:bookmarkEnd w:id="529"/>
      <w:bookmarkEnd w:id="530"/>
      <w:bookmarkEnd w:id="531"/>
      <w:bookmarkEnd w:id="532"/>
    </w:p>
    <w:p>
      <w:pPr>
        <w:keepNext w:val="0"/>
        <w:keepLines w:val="0"/>
        <w:pageBreakBefore w:val="0"/>
        <w:widowControl w:val="0"/>
        <w:numPr>
          <w:ilvl w:val="0"/>
          <w:numId w:val="0"/>
        </w:numPr>
        <w:kinsoku/>
        <w:wordWrap w:val="0"/>
        <w:overflowPunct/>
        <w:topLinePunct/>
        <w:autoSpaceDE/>
        <w:autoSpaceDN/>
        <w:bidi w:val="0"/>
        <w:adjustRightInd w:val="0"/>
        <w:snapToGrid w:val="0"/>
        <w:spacing w:line="560" w:lineRule="exact"/>
        <w:ind w:firstLine="640" w:firstLineChars="200"/>
        <w:jc w:val="both"/>
        <w:textAlignment w:val="baseline"/>
        <w:rPr>
          <w:rFonts w:hint="default" w:ascii="Times New Roman" w:hAnsi="Times New Roman" w:eastAsia="仿宋_GB2312" w:cs="Arial"/>
          <w:snapToGrid w:val="0"/>
          <w:color w:val="000000"/>
          <w:spacing w:val="0"/>
          <w:kern w:val="0"/>
          <w:sz w:val="32"/>
          <w:szCs w:val="21"/>
          <w:lang w:eastAsia="zh-CN"/>
        </w:rPr>
      </w:pPr>
      <w:r>
        <w:rPr>
          <w:rFonts w:hint="default" w:ascii="Times New Roman" w:hAnsi="Times New Roman" w:eastAsia="仿宋_GB2312" w:cs="Arial"/>
          <w:snapToGrid w:val="0"/>
          <w:color w:val="000000"/>
          <w:spacing w:val="0"/>
          <w:kern w:val="0"/>
          <w:sz w:val="32"/>
          <w:szCs w:val="21"/>
          <w:lang w:eastAsia="zh-CN"/>
        </w:rPr>
        <w:t>进一步完善基础设施建设，切实提升基层管护工作保障能力，推行网格化、精细化、智慧化日常管护模式，确保国有林场资源安全。编制实施国有林场森林经营方案，科学制定森林抚育、林分改造等经营措施，提升林分质量和生态功能。落实国有林场改革相关政策</w:t>
      </w:r>
      <w:r>
        <w:rPr>
          <w:rFonts w:hint="eastAsia" w:ascii="Times New Roman" w:hAnsi="Times New Roman" w:eastAsia="仿宋_GB2312" w:cs="Arial"/>
          <w:snapToGrid w:val="0"/>
          <w:color w:val="000000"/>
          <w:spacing w:val="0"/>
          <w:kern w:val="0"/>
          <w:sz w:val="32"/>
          <w:szCs w:val="21"/>
          <w:lang w:eastAsia="zh-CN"/>
        </w:rPr>
        <w:t>措施</w:t>
      </w:r>
      <w:r>
        <w:rPr>
          <w:rFonts w:hint="default" w:ascii="Times New Roman" w:hAnsi="Times New Roman" w:eastAsia="仿宋_GB2312" w:cs="Arial"/>
          <w:snapToGrid w:val="0"/>
          <w:color w:val="000000"/>
          <w:spacing w:val="0"/>
          <w:kern w:val="0"/>
          <w:sz w:val="32"/>
          <w:szCs w:val="21"/>
          <w:lang w:eastAsia="zh-CN"/>
        </w:rPr>
        <w:t>，探索国有林场与自然保护地协同管理模式，整合管护资源，提升整体管理效能。推进现代化国有林场建设，提升林场基础设施和信息化管理能力，增强国有林场综合服务保障功能。</w:t>
      </w:r>
    </w:p>
    <w:p>
      <w:pPr>
        <w:keepNext w:val="0"/>
        <w:keepLines w:val="0"/>
        <w:pageBreakBefore w:val="0"/>
        <w:widowControl w:val="0"/>
        <w:numPr>
          <w:ilvl w:val="0"/>
          <w:numId w:val="0"/>
        </w:numPr>
        <w:kinsoku/>
        <w:wordWrap w:val="0"/>
        <w:overflowPunct/>
        <w:topLinePunct/>
        <w:autoSpaceDE/>
        <w:autoSpaceDN/>
        <w:bidi w:val="0"/>
        <w:adjustRightInd w:val="0"/>
        <w:snapToGrid w:val="0"/>
        <w:spacing w:line="560" w:lineRule="exact"/>
        <w:ind w:firstLine="640" w:firstLineChars="200"/>
        <w:jc w:val="both"/>
        <w:textAlignment w:val="baseline"/>
        <w:outlineLvl w:val="1"/>
        <w:rPr>
          <w:rFonts w:hint="default" w:ascii="Times New Roman" w:hAnsi="Times New Roman" w:eastAsia="黑体" w:cs="楷体"/>
          <w:bCs/>
          <w:snapToGrid w:val="0"/>
          <w:color w:val="000000"/>
          <w:spacing w:val="0"/>
          <w:sz w:val="32"/>
          <w:szCs w:val="32"/>
          <w:lang w:val="en-US" w:eastAsia="zh-CN" w:bidi="ar-SA"/>
        </w:rPr>
      </w:pPr>
      <w:bookmarkStart w:id="533" w:name="_Toc30472"/>
      <w:bookmarkStart w:id="534" w:name="_Toc27011"/>
      <w:bookmarkStart w:id="535" w:name="_Toc2240"/>
      <w:bookmarkStart w:id="536" w:name="_Toc15778"/>
      <w:r>
        <w:rPr>
          <w:rFonts w:hint="eastAsia" w:ascii="Times New Roman" w:hAnsi="Times New Roman" w:eastAsia="黑体" w:cs="楷体"/>
          <w:bCs/>
          <w:snapToGrid w:val="0"/>
          <w:color w:val="000000"/>
          <w:spacing w:val="0"/>
          <w:sz w:val="32"/>
          <w:szCs w:val="32"/>
          <w:lang w:val="en-US" w:eastAsia="zh-CN" w:bidi="ar-SA"/>
        </w:rPr>
        <w:t>二</w:t>
      </w:r>
      <w:r>
        <w:rPr>
          <w:rFonts w:hint="default" w:ascii="Times New Roman" w:hAnsi="Times New Roman" w:eastAsia="黑体" w:cs="楷体"/>
          <w:bCs/>
          <w:snapToGrid w:val="0"/>
          <w:color w:val="000000"/>
          <w:spacing w:val="0"/>
          <w:sz w:val="32"/>
          <w:szCs w:val="32"/>
          <w:lang w:val="en-US" w:eastAsia="zh-CN" w:bidi="ar-SA"/>
        </w:rPr>
        <w:t>、深化集体林权制度改革</w:t>
      </w:r>
      <w:bookmarkEnd w:id="533"/>
      <w:bookmarkEnd w:id="534"/>
      <w:bookmarkEnd w:id="535"/>
      <w:bookmarkEnd w:id="536"/>
    </w:p>
    <w:p>
      <w:pPr>
        <w:keepNext w:val="0"/>
        <w:keepLines w:val="0"/>
        <w:pageBreakBefore w:val="0"/>
        <w:widowControl w:val="0"/>
        <w:numPr>
          <w:ilvl w:val="0"/>
          <w:numId w:val="0"/>
        </w:numPr>
        <w:kinsoku/>
        <w:wordWrap w:val="0"/>
        <w:overflowPunct/>
        <w:topLinePunct/>
        <w:autoSpaceDE/>
        <w:autoSpaceDN/>
        <w:bidi w:val="0"/>
        <w:adjustRightInd w:val="0"/>
        <w:snapToGrid w:val="0"/>
        <w:spacing w:line="560" w:lineRule="exact"/>
        <w:ind w:firstLine="640" w:firstLineChars="200"/>
        <w:jc w:val="both"/>
        <w:textAlignment w:val="baseline"/>
        <w:rPr>
          <w:rFonts w:hint="default" w:ascii="Times New Roman" w:hAnsi="Times New Roman" w:eastAsia="仿宋_GB2312" w:cs="Arial"/>
          <w:snapToGrid w:val="0"/>
          <w:color w:val="000000"/>
          <w:spacing w:val="0"/>
          <w:kern w:val="0"/>
          <w:sz w:val="32"/>
          <w:szCs w:val="21"/>
          <w:lang w:eastAsia="zh-CN"/>
        </w:rPr>
      </w:pPr>
      <w:r>
        <w:rPr>
          <w:rFonts w:hint="default" w:ascii="Times New Roman" w:hAnsi="Times New Roman" w:eastAsia="仿宋_GB2312" w:cs="Arial"/>
          <w:snapToGrid w:val="0"/>
          <w:color w:val="000000"/>
          <w:spacing w:val="0"/>
          <w:kern w:val="0"/>
          <w:sz w:val="32"/>
          <w:szCs w:val="21"/>
          <w:lang w:eastAsia="zh-CN"/>
        </w:rPr>
        <w:t>完善产权制度，落实集体林地所有权、稳定承包权、放活经营权，完善集体林地确权登记工作。规范流转管理，完善林业经营权流转管理制度，规范林地流转行为，依托市级公共资源交易中心和农村产权交易</w:t>
      </w:r>
      <w:r>
        <w:rPr>
          <w:rFonts w:hint="eastAsia" w:ascii="Times New Roman" w:hAnsi="Times New Roman" w:eastAsia="仿宋_GB2312" w:cs="Arial"/>
          <w:snapToGrid w:val="0"/>
          <w:color w:val="000000"/>
          <w:spacing w:val="0"/>
          <w:kern w:val="0"/>
          <w:sz w:val="32"/>
          <w:szCs w:val="21"/>
          <w:lang w:eastAsia="zh-CN"/>
        </w:rPr>
        <w:t>平台</w:t>
      </w:r>
      <w:r>
        <w:rPr>
          <w:rFonts w:hint="default" w:ascii="Times New Roman" w:hAnsi="Times New Roman" w:eastAsia="仿宋_GB2312" w:cs="Arial"/>
          <w:snapToGrid w:val="0"/>
          <w:color w:val="000000"/>
          <w:spacing w:val="0"/>
          <w:kern w:val="0"/>
          <w:sz w:val="32"/>
          <w:szCs w:val="21"/>
          <w:lang w:eastAsia="zh-CN"/>
        </w:rPr>
        <w:t>，</w:t>
      </w:r>
      <w:r>
        <w:rPr>
          <w:rFonts w:hint="eastAsia" w:ascii="Times New Roman" w:hAnsi="Times New Roman" w:eastAsia="仿宋_GB2312" w:cs="Arial"/>
          <w:snapToGrid w:val="0"/>
          <w:color w:val="000000"/>
          <w:spacing w:val="0"/>
          <w:kern w:val="0"/>
          <w:sz w:val="32"/>
          <w:szCs w:val="21"/>
          <w:lang w:eastAsia="zh-CN"/>
        </w:rPr>
        <w:t>开展</w:t>
      </w:r>
      <w:r>
        <w:rPr>
          <w:rFonts w:hint="default" w:ascii="Times New Roman" w:hAnsi="Times New Roman" w:eastAsia="仿宋_GB2312" w:cs="Arial"/>
          <w:snapToGrid w:val="0"/>
          <w:color w:val="000000"/>
          <w:spacing w:val="0"/>
          <w:kern w:val="0"/>
          <w:sz w:val="32"/>
          <w:szCs w:val="21"/>
          <w:lang w:eastAsia="zh-CN"/>
        </w:rPr>
        <w:t>林地经营权流转服务，严格落实流转用途管制。培育新型经营主体，支持家庭林场、林业专业合作社、林业企业等新型林业经营主体发展，健全新型经营主体与林农的利益联结机制。结合哈密林果种植、防护林经营等本地实际，探索符合干旱区特点的集体林权流转和收益分配机制。落实集体林权制度改革配套政策。</w:t>
      </w:r>
      <w:bookmarkStart w:id="537" w:name="_Toc1201"/>
      <w:bookmarkStart w:id="538" w:name="_Toc19026"/>
      <w:bookmarkStart w:id="539" w:name="_Toc19616"/>
      <w:bookmarkStart w:id="540" w:name="_Toc8643"/>
      <w:bookmarkStart w:id="541" w:name="_Toc16102"/>
      <w:bookmarkStart w:id="542" w:name="_Toc27519"/>
      <w:bookmarkStart w:id="543" w:name="_Toc13914"/>
      <w:bookmarkStart w:id="544" w:name="_Toc14274"/>
    </w:p>
    <w:p>
      <w:pPr>
        <w:keepNext w:val="0"/>
        <w:keepLines w:val="0"/>
        <w:pageBreakBefore w:val="0"/>
        <w:widowControl w:val="0"/>
        <w:numPr>
          <w:ilvl w:val="0"/>
          <w:numId w:val="0"/>
        </w:numPr>
        <w:kinsoku/>
        <w:wordWrap w:val="0"/>
        <w:overflowPunct/>
        <w:topLinePunct/>
        <w:autoSpaceDE/>
        <w:autoSpaceDN/>
        <w:bidi w:val="0"/>
        <w:adjustRightInd w:val="0"/>
        <w:snapToGrid w:val="0"/>
        <w:spacing w:before="319" w:beforeLines="100" w:after="319" w:afterLines="100" w:line="560" w:lineRule="exact"/>
        <w:jc w:val="center"/>
        <w:textAlignment w:val="baseline"/>
        <w:rPr>
          <w:rFonts w:ascii="Times New Roman" w:hAnsi="Times New Roman" w:eastAsia="黑体" w:cs="黑体"/>
          <w:b w:val="0"/>
          <w:bCs w:val="0"/>
          <w:snapToGrid w:val="0"/>
          <w:color w:val="000000"/>
          <w:spacing w:val="0"/>
          <w:sz w:val="32"/>
          <w:szCs w:val="31"/>
          <w:lang w:val="en-US" w:eastAsia="zh-CN" w:bidi="ar-SA"/>
        </w:rPr>
      </w:pPr>
      <w:r>
        <w:rPr>
          <w:rFonts w:hint="eastAsia" w:ascii="Times New Roman" w:hAnsi="Times New Roman" w:eastAsia="黑体" w:cs="黑体"/>
          <w:b w:val="0"/>
          <w:bCs w:val="0"/>
          <w:snapToGrid w:val="0"/>
          <w:color w:val="000000"/>
          <w:spacing w:val="0"/>
          <w:sz w:val="32"/>
          <w:szCs w:val="31"/>
          <w:lang w:val="en-US" w:eastAsia="zh-CN" w:bidi="ar-SA"/>
        </w:rPr>
        <w:t>第十一章 规划实施保障</w:t>
      </w:r>
      <w:bookmarkEnd w:id="500"/>
      <w:bookmarkEnd w:id="501"/>
      <w:bookmarkEnd w:id="502"/>
      <w:bookmarkEnd w:id="503"/>
      <w:bookmarkEnd w:id="504"/>
      <w:bookmarkEnd w:id="505"/>
      <w:bookmarkEnd w:id="506"/>
      <w:bookmarkEnd w:id="507"/>
      <w:bookmarkEnd w:id="508"/>
      <w:bookmarkEnd w:id="537"/>
      <w:bookmarkEnd w:id="538"/>
      <w:bookmarkEnd w:id="539"/>
      <w:bookmarkEnd w:id="540"/>
      <w:bookmarkEnd w:id="541"/>
      <w:bookmarkEnd w:id="542"/>
      <w:bookmarkEnd w:id="543"/>
      <w:bookmarkEnd w:id="544"/>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hint="eastAsia" w:ascii="Times New Roman" w:hAnsi="Times New Roman" w:eastAsia="黑体" w:cs="楷体"/>
          <w:bCs/>
          <w:snapToGrid w:val="0"/>
          <w:color w:val="000000"/>
          <w:spacing w:val="0"/>
          <w:sz w:val="32"/>
          <w:szCs w:val="32"/>
          <w:lang w:val="en-US" w:eastAsia="zh-CN" w:bidi="ar-SA"/>
        </w:rPr>
      </w:pPr>
      <w:bookmarkStart w:id="545" w:name="_Toc21187"/>
      <w:bookmarkStart w:id="546" w:name="_Toc30477"/>
      <w:bookmarkStart w:id="547" w:name="_Toc13918"/>
      <w:bookmarkStart w:id="548" w:name="_Toc9464"/>
      <w:bookmarkStart w:id="549" w:name="_Toc19521"/>
      <w:bookmarkStart w:id="550" w:name="_Toc23743"/>
      <w:bookmarkStart w:id="551" w:name="_Toc13944"/>
      <w:bookmarkStart w:id="552" w:name="_Toc28990"/>
      <w:bookmarkStart w:id="553" w:name="_Toc18194"/>
      <w:bookmarkStart w:id="554" w:name="_Toc5879"/>
      <w:bookmarkStart w:id="555" w:name="_Toc25881"/>
      <w:bookmarkStart w:id="556" w:name="_Toc6349"/>
      <w:bookmarkStart w:id="557" w:name="_Toc30625"/>
      <w:bookmarkStart w:id="558" w:name="_Toc19014"/>
      <w:bookmarkStart w:id="559" w:name="_Toc20507"/>
      <w:bookmarkStart w:id="560" w:name="_Toc30382"/>
      <w:bookmarkStart w:id="561" w:name="_Toc28301"/>
      <w:r>
        <w:rPr>
          <w:rFonts w:hint="eastAsia" w:ascii="Times New Roman" w:hAnsi="Times New Roman" w:eastAsia="黑体" w:cs="楷体"/>
          <w:bCs/>
          <w:snapToGrid w:val="0"/>
          <w:color w:val="000000"/>
          <w:spacing w:val="0"/>
          <w:sz w:val="32"/>
          <w:szCs w:val="32"/>
          <w:lang w:val="en-US" w:eastAsia="zh-CN" w:bidi="ar-SA"/>
        </w:rPr>
        <w:t>一、加强组织领导与责任落实</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keepNext w:val="0"/>
        <w:keepLines w:val="0"/>
        <w:pageBreakBefore w:val="0"/>
        <w:widowControl w:val="0"/>
        <w:kinsoku/>
        <w:wordWrap w:val="0"/>
        <w:overflowPunct/>
        <w:topLinePunct/>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en-US"/>
        </w:rPr>
      </w:pPr>
      <w:r>
        <w:rPr>
          <w:rFonts w:hint="eastAsia" w:ascii="Times New Roman" w:hAnsi="Times New Roman" w:eastAsia="仿宋_GB2312" w:cs="Arial"/>
          <w:snapToGrid w:val="0"/>
          <w:color w:val="000000"/>
          <w:spacing w:val="0"/>
          <w:kern w:val="0"/>
          <w:sz w:val="32"/>
          <w:szCs w:val="21"/>
          <w:lang w:eastAsia="en-US"/>
        </w:rPr>
        <w:t>坚持党政同责、一岗双责，压紧压实各级党委、政府林草资源保护利用的主体责任。强化部门协同联动，明晰各方履职分工，认真开</w:t>
      </w:r>
      <w:r>
        <w:rPr>
          <w:rFonts w:hint="eastAsia" w:ascii="Times New Roman" w:hAnsi="Times New Roman" w:eastAsia="仿宋_GB2312" w:cs="Arial"/>
          <w:snapToGrid w:val="0"/>
          <w:color w:val="auto"/>
          <w:spacing w:val="0"/>
          <w:kern w:val="0"/>
          <w:sz w:val="32"/>
          <w:szCs w:val="21"/>
          <w:lang w:eastAsia="en-US"/>
        </w:rPr>
        <w:t>展规划终（中）期评估，健全规</w:t>
      </w:r>
      <w:r>
        <w:rPr>
          <w:rFonts w:hint="eastAsia" w:ascii="Times New Roman" w:hAnsi="Times New Roman" w:eastAsia="仿宋_GB2312" w:cs="Arial"/>
          <w:snapToGrid w:val="0"/>
          <w:color w:val="000000"/>
          <w:spacing w:val="0"/>
          <w:kern w:val="0"/>
          <w:sz w:val="32"/>
          <w:szCs w:val="21"/>
          <w:lang w:eastAsia="en-US"/>
        </w:rPr>
        <w:t>划实施进度安排和动态调整机制，推动规划确定的各项林草保护利用任务落地见效。</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hint="eastAsia" w:ascii="Times New Roman" w:hAnsi="Times New Roman" w:eastAsia="黑体" w:cs="楷体"/>
          <w:bCs/>
          <w:snapToGrid w:val="0"/>
          <w:color w:val="000000"/>
          <w:spacing w:val="0"/>
          <w:sz w:val="32"/>
          <w:szCs w:val="32"/>
          <w:lang w:val="en-US" w:eastAsia="zh-CN" w:bidi="ar-SA"/>
        </w:rPr>
      </w:pPr>
      <w:bookmarkStart w:id="562" w:name="_Toc14165"/>
      <w:bookmarkStart w:id="563" w:name="_Toc24815"/>
      <w:bookmarkStart w:id="564" w:name="_Toc5777"/>
      <w:bookmarkStart w:id="565" w:name="_Toc8003"/>
      <w:bookmarkStart w:id="566" w:name="_Toc12199"/>
      <w:bookmarkStart w:id="567" w:name="_Toc17928"/>
      <w:bookmarkStart w:id="568" w:name="_Toc11132"/>
      <w:bookmarkStart w:id="569" w:name="_Toc17877"/>
      <w:bookmarkStart w:id="570" w:name="_Toc3063"/>
      <w:bookmarkStart w:id="571" w:name="_Toc3342"/>
      <w:bookmarkStart w:id="572" w:name="_Toc11678"/>
      <w:bookmarkStart w:id="573" w:name="_Toc10283"/>
      <w:bookmarkStart w:id="574" w:name="_Toc26587"/>
      <w:bookmarkStart w:id="575" w:name="_Toc18957"/>
      <w:bookmarkStart w:id="576" w:name="_Toc5606"/>
      <w:bookmarkStart w:id="577" w:name="_Toc27230"/>
      <w:bookmarkStart w:id="578" w:name="_Toc13767"/>
      <w:r>
        <w:rPr>
          <w:rFonts w:hint="eastAsia" w:ascii="Times New Roman" w:hAnsi="Times New Roman" w:eastAsia="黑体" w:cs="楷体"/>
          <w:bCs/>
          <w:snapToGrid w:val="0"/>
          <w:color w:val="000000"/>
          <w:spacing w:val="0"/>
          <w:sz w:val="32"/>
          <w:szCs w:val="32"/>
          <w:lang w:val="en-US" w:eastAsia="zh-CN" w:bidi="ar-SA"/>
        </w:rPr>
        <w:t>二、完善政策法规体系</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keepNext w:val="0"/>
        <w:keepLines w:val="0"/>
        <w:pageBreakBefore w:val="0"/>
        <w:widowControl w:val="0"/>
        <w:kinsoku/>
        <w:wordWrap w:val="0"/>
        <w:overflowPunct/>
        <w:topLinePunct/>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themeColor="text1"/>
          <w:spacing w:val="0"/>
          <w:kern w:val="0"/>
          <w:sz w:val="32"/>
          <w:szCs w:val="21"/>
          <w:lang w:eastAsia="zh-CN"/>
          <w14:textFill>
            <w14:solidFill>
              <w14:schemeClr w14:val="tx1"/>
            </w14:solidFill>
          </w14:textFill>
        </w:rPr>
        <w:t>严格落实相关法律法规，结</w:t>
      </w:r>
      <w:r>
        <w:rPr>
          <w:rFonts w:hint="eastAsia" w:ascii="Times New Roman" w:hAnsi="Times New Roman" w:eastAsia="仿宋_GB2312" w:cs="Arial"/>
          <w:snapToGrid w:val="0"/>
          <w:color w:val="000000"/>
          <w:spacing w:val="0"/>
          <w:kern w:val="0"/>
          <w:sz w:val="32"/>
          <w:szCs w:val="21"/>
          <w:lang w:eastAsia="zh-CN"/>
        </w:rPr>
        <w:t>合本地实际完善配套管理制度和行业规范，构建完备的林草法治保障体系。强化与公安、自然资源、生态环境等部门协同联动，依法查处破坏林草资源违法行为，不断提升依法行政和依法保护能力，以法治化手段筑牢林草生态保护屏障。</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ascii="Times New Roman" w:hAnsi="Times New Roman" w:eastAsia="黑体" w:cs="楷体"/>
          <w:bCs/>
          <w:snapToGrid w:val="0"/>
          <w:color w:val="000000"/>
          <w:spacing w:val="0"/>
          <w:sz w:val="32"/>
          <w:szCs w:val="32"/>
          <w:lang w:val="en-US" w:eastAsia="zh-CN" w:bidi="ar-SA"/>
        </w:rPr>
      </w:pPr>
      <w:bookmarkStart w:id="579" w:name="_Toc551"/>
      <w:bookmarkStart w:id="580" w:name="_Toc19450"/>
      <w:bookmarkStart w:id="581" w:name="_Toc30588"/>
      <w:bookmarkStart w:id="582" w:name="_Toc29367"/>
      <w:bookmarkStart w:id="583" w:name="_Toc4697"/>
      <w:bookmarkStart w:id="584" w:name="_Toc10549"/>
      <w:bookmarkStart w:id="585" w:name="_Toc17270"/>
      <w:bookmarkStart w:id="586" w:name="_Toc30460"/>
      <w:bookmarkStart w:id="587" w:name="_Toc4051"/>
      <w:bookmarkStart w:id="588" w:name="_Toc624"/>
      <w:bookmarkStart w:id="589" w:name="_Toc13035"/>
      <w:bookmarkStart w:id="590" w:name="_Toc15085"/>
      <w:bookmarkStart w:id="591" w:name="_Toc6494"/>
      <w:bookmarkStart w:id="592" w:name="_Toc9839"/>
      <w:bookmarkStart w:id="593" w:name="_Toc10330"/>
      <w:bookmarkStart w:id="594" w:name="_Toc27836"/>
      <w:bookmarkStart w:id="595" w:name="_Toc31329"/>
      <w:r>
        <w:rPr>
          <w:rFonts w:hint="eastAsia" w:ascii="Times New Roman" w:hAnsi="Times New Roman" w:eastAsia="黑体" w:cs="楷体"/>
          <w:bCs/>
          <w:snapToGrid w:val="0"/>
          <w:color w:val="000000"/>
          <w:spacing w:val="0"/>
          <w:sz w:val="32"/>
          <w:szCs w:val="32"/>
          <w:lang w:val="en-US" w:eastAsia="zh-CN" w:bidi="ar-SA"/>
        </w:rPr>
        <w:t>三、强化资金保障与投入机制</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keepNext w:val="0"/>
        <w:keepLines w:val="0"/>
        <w:pageBreakBefore w:val="0"/>
        <w:widowControl w:val="0"/>
        <w:kinsoku/>
        <w:wordWrap w:val="0"/>
        <w:overflowPunct/>
        <w:topLinePunct/>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积极争取中央预算内投资、超长期国债、自治区专项资金，以及地方配套资金对林业草原保护的支持，统筹用好债券等政策性融资工具，鼓励社会资本参与林草生态建设，结合项目特点落实以工代赈，健全项目资金全过程监管机制，切实提高资金使用效益和风险防控能力。</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hint="eastAsia" w:ascii="Times New Roman" w:hAnsi="Times New Roman" w:eastAsia="黑体" w:cs="楷体"/>
          <w:bCs/>
          <w:snapToGrid w:val="0"/>
          <w:color w:val="000000"/>
          <w:spacing w:val="0"/>
          <w:sz w:val="32"/>
          <w:szCs w:val="32"/>
          <w:lang w:val="en-US" w:eastAsia="zh-CN" w:bidi="ar-SA"/>
        </w:rPr>
      </w:pPr>
      <w:bookmarkStart w:id="596" w:name="_Toc26146"/>
      <w:bookmarkStart w:id="597" w:name="_Toc1215"/>
      <w:bookmarkStart w:id="598" w:name="_Toc31688"/>
      <w:bookmarkStart w:id="599" w:name="_Toc7589"/>
      <w:bookmarkStart w:id="600" w:name="_Toc29662"/>
      <w:bookmarkStart w:id="601" w:name="_Toc26555"/>
      <w:bookmarkStart w:id="602" w:name="_Toc28392"/>
      <w:bookmarkStart w:id="603" w:name="_Toc21873"/>
      <w:r>
        <w:rPr>
          <w:rFonts w:hint="eastAsia" w:ascii="Times New Roman" w:hAnsi="Times New Roman" w:eastAsia="黑体" w:cs="楷体"/>
          <w:bCs/>
          <w:snapToGrid w:val="0"/>
          <w:color w:val="000000"/>
          <w:spacing w:val="0"/>
          <w:sz w:val="32"/>
          <w:szCs w:val="32"/>
          <w:lang w:val="en-US" w:eastAsia="zh-CN" w:bidi="ar-SA"/>
        </w:rPr>
        <w:t>四、落实林草资源总量管控</w:t>
      </w:r>
      <w:bookmarkEnd w:id="596"/>
      <w:bookmarkEnd w:id="597"/>
      <w:bookmarkEnd w:id="598"/>
      <w:bookmarkEnd w:id="599"/>
      <w:bookmarkEnd w:id="600"/>
      <w:bookmarkEnd w:id="601"/>
      <w:bookmarkEnd w:id="602"/>
      <w:bookmarkEnd w:id="603"/>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rPr>
          <w:rFonts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严格落实建设项目占用林草资源总量控制和定额管理制度，</w:t>
      </w:r>
      <w:r>
        <w:rPr>
          <w:rFonts w:hint="eastAsia" w:ascii="Times New Roman" w:hAnsi="Times New Roman" w:eastAsia="仿宋_GB2312" w:cs="Arial"/>
          <w:snapToGrid w:val="0"/>
          <w:color w:val="000000"/>
          <w:spacing w:val="0"/>
          <w:kern w:val="0"/>
          <w:sz w:val="32"/>
          <w:szCs w:val="21"/>
          <w:highlight w:val="none"/>
          <w:lang w:eastAsia="zh-CN"/>
        </w:rPr>
        <w:t>从严把控项目准入审批，杜绝违规侵占、无序开发行为。</w:t>
      </w:r>
      <w:r>
        <w:rPr>
          <w:rFonts w:hint="eastAsia" w:ascii="Times New Roman" w:hAnsi="Times New Roman" w:eastAsia="仿宋_GB2312" w:cs="Arial"/>
          <w:snapToGrid w:val="0"/>
          <w:color w:val="000000"/>
          <w:spacing w:val="0"/>
          <w:kern w:val="0"/>
          <w:sz w:val="32"/>
          <w:szCs w:val="21"/>
          <w:lang w:eastAsia="zh-CN"/>
        </w:rPr>
        <w:t>依法规范开发利用行为，加强与自然资源、发展改革等部门协调衔接，依法做好重大项目林草要素保障。严格落实林木采伐限额管理和天然林全面保护相关规定，实现生态资源保护与合理利用相统一。</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hint="eastAsia" w:ascii="Times New Roman" w:hAnsi="Times New Roman" w:eastAsia="黑体" w:cs="楷体"/>
          <w:bCs/>
          <w:snapToGrid w:val="0"/>
          <w:color w:val="000000"/>
          <w:spacing w:val="0"/>
          <w:sz w:val="32"/>
          <w:szCs w:val="32"/>
          <w:lang w:val="en-US" w:eastAsia="zh-CN" w:bidi="ar-SA"/>
        </w:rPr>
      </w:pPr>
      <w:bookmarkStart w:id="604" w:name="_Toc12197"/>
      <w:bookmarkStart w:id="605" w:name="_Toc31086"/>
      <w:bookmarkStart w:id="606" w:name="_Toc1525"/>
      <w:bookmarkStart w:id="607" w:name="_Toc23726"/>
      <w:bookmarkStart w:id="608" w:name="_Toc15852"/>
      <w:bookmarkStart w:id="609" w:name="_Toc31174"/>
      <w:bookmarkStart w:id="610" w:name="_Toc27961"/>
      <w:bookmarkStart w:id="611" w:name="_Toc10341"/>
      <w:r>
        <w:rPr>
          <w:rFonts w:hint="eastAsia" w:ascii="Times New Roman" w:hAnsi="Times New Roman" w:eastAsia="黑体" w:cs="楷体"/>
          <w:bCs/>
          <w:snapToGrid w:val="0"/>
          <w:color w:val="000000"/>
          <w:spacing w:val="0"/>
          <w:sz w:val="32"/>
          <w:szCs w:val="32"/>
          <w:lang w:val="en-US" w:eastAsia="zh-CN" w:bidi="ar-SA"/>
        </w:rPr>
        <w:t>五、深化区域协作与援疆合作</w:t>
      </w:r>
      <w:bookmarkEnd w:id="604"/>
      <w:bookmarkEnd w:id="605"/>
      <w:bookmarkEnd w:id="606"/>
      <w:bookmarkEnd w:id="607"/>
      <w:bookmarkEnd w:id="608"/>
      <w:bookmarkEnd w:id="609"/>
      <w:bookmarkEnd w:id="610"/>
      <w:bookmarkEnd w:id="611"/>
    </w:p>
    <w:p>
      <w:pPr>
        <w:keepNext w:val="0"/>
        <w:keepLines w:val="0"/>
        <w:pageBreakBefore w:val="0"/>
        <w:widowControl w:val="0"/>
        <w:kinsoku/>
        <w:wordWrap w:val="0"/>
        <w:overflowPunct/>
        <w:topLinePunct/>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深化兵地林草融合共治，推动兵地资源数据、管护信息互通共享，联合开展巡查排查、造林修复等工作，实现一体化治理。依托对口援疆帮扶机制，深化与援疆省市科研院所、高校及企业合作，聚焦生态修复、产业发展、技术创新等领域，开展人才交流、技术攻关、成果转化应用，全面提升林草治理现代化水平。</w:t>
      </w:r>
    </w:p>
    <w:p>
      <w:pPr>
        <w:keepNext w:val="0"/>
        <w:keepLines w:val="0"/>
        <w:pageBreakBefore w:val="0"/>
        <w:widowControl w:val="0"/>
        <w:kinsoku/>
        <w:wordWrap/>
        <w:overflowPunct/>
        <w:topLinePunct/>
        <w:autoSpaceDE w:val="0"/>
        <w:autoSpaceDN/>
        <w:bidi w:val="0"/>
        <w:adjustRightInd w:val="0"/>
        <w:snapToGrid w:val="0"/>
        <w:spacing w:line="560" w:lineRule="exact"/>
        <w:ind w:firstLine="640" w:firstLineChars="200"/>
        <w:jc w:val="both"/>
        <w:textAlignment w:val="baseline"/>
        <w:outlineLvl w:val="1"/>
        <w:rPr>
          <w:rFonts w:hint="eastAsia" w:ascii="Times New Roman" w:hAnsi="Times New Roman" w:eastAsia="黑体" w:cs="楷体"/>
          <w:bCs/>
          <w:snapToGrid w:val="0"/>
          <w:color w:val="000000"/>
          <w:spacing w:val="0"/>
          <w:sz w:val="32"/>
          <w:szCs w:val="32"/>
          <w:lang w:val="en-US" w:eastAsia="zh-CN" w:bidi="ar-SA"/>
        </w:rPr>
      </w:pPr>
      <w:bookmarkStart w:id="612" w:name="_Toc27378"/>
      <w:bookmarkStart w:id="613" w:name="_Toc32167"/>
      <w:bookmarkStart w:id="614" w:name="_Toc637"/>
      <w:bookmarkStart w:id="615" w:name="_Toc23407"/>
      <w:bookmarkStart w:id="616" w:name="_Toc9796"/>
      <w:bookmarkStart w:id="617" w:name="_Toc30699"/>
      <w:bookmarkStart w:id="618" w:name="_Toc30441"/>
      <w:bookmarkStart w:id="619" w:name="_Toc11796"/>
      <w:r>
        <w:rPr>
          <w:rFonts w:hint="eastAsia" w:ascii="Times New Roman" w:hAnsi="Times New Roman" w:eastAsia="黑体" w:cs="楷体"/>
          <w:bCs/>
          <w:snapToGrid w:val="0"/>
          <w:color w:val="000000"/>
          <w:spacing w:val="0"/>
          <w:sz w:val="32"/>
          <w:szCs w:val="32"/>
          <w:lang w:val="en-US" w:eastAsia="zh-CN" w:bidi="ar-SA"/>
        </w:rPr>
        <w:t>六、营造良好社会氛围</w:t>
      </w:r>
      <w:bookmarkEnd w:id="612"/>
      <w:bookmarkEnd w:id="613"/>
      <w:bookmarkEnd w:id="614"/>
      <w:bookmarkEnd w:id="615"/>
      <w:bookmarkEnd w:id="616"/>
      <w:bookmarkEnd w:id="617"/>
      <w:bookmarkEnd w:id="618"/>
      <w:bookmarkEnd w:id="619"/>
    </w:p>
    <w:p>
      <w:pPr>
        <w:keepNext w:val="0"/>
        <w:keepLines w:val="0"/>
        <w:pageBreakBefore w:val="0"/>
        <w:widowControl w:val="0"/>
        <w:kinsoku/>
        <w:wordWrap w:val="0"/>
        <w:overflowPunct/>
        <w:topLinePunct/>
        <w:autoSpaceDN/>
        <w:bidi w:val="0"/>
        <w:adjustRightInd w:val="0"/>
        <w:snapToGrid w:val="0"/>
        <w:spacing w:line="560" w:lineRule="exact"/>
        <w:ind w:firstLine="640" w:firstLineChars="200"/>
        <w:jc w:val="both"/>
        <w:textAlignment w:val="baseline"/>
        <w:rPr>
          <w:rFonts w:hint="eastAsia" w:ascii="Times New Roman" w:hAnsi="Times New Roman" w:eastAsia="仿宋_GB2312" w:cs="Arial"/>
          <w:snapToGrid w:val="0"/>
          <w:color w:val="000000"/>
          <w:spacing w:val="0"/>
          <w:kern w:val="0"/>
          <w:sz w:val="32"/>
          <w:szCs w:val="21"/>
          <w:lang w:eastAsia="zh-CN"/>
        </w:rPr>
      </w:pPr>
      <w:r>
        <w:rPr>
          <w:rFonts w:hint="eastAsia" w:ascii="Times New Roman" w:hAnsi="Times New Roman" w:eastAsia="仿宋_GB2312" w:cs="Arial"/>
          <w:snapToGrid w:val="0"/>
          <w:color w:val="000000"/>
          <w:spacing w:val="0"/>
          <w:kern w:val="0"/>
          <w:sz w:val="32"/>
          <w:szCs w:val="21"/>
          <w:lang w:eastAsia="zh-CN"/>
        </w:rPr>
        <w:t>统筹运用传统媒体和新媒体平台，广泛普及林草生态保护、防火防虫、野生动植物保护等科普知识。常态化开展生态宣传活动，全方位提升群众生态文明认知。持续强化全民生态教育，厚植绿色发展理念，营造全社会共同关心、支持、参与林草事业发展的良好共治氛围。</w:t>
      </w:r>
    </w:p>
    <w:p>
      <w:pPr>
        <w:pStyle w:val="6"/>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spacing w:val="0"/>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lang w:val="en-US" w:eastAsia="zh-CN"/>
        </w:rPr>
      </w:pPr>
    </w:p>
    <w:sectPr>
      <w:type w:val="continuous"/>
      <w:pgSz w:w="11905" w:h="16838" w:orient="landscape"/>
      <w:pgMar w:top="2098" w:right="1531" w:bottom="1984" w:left="1531" w:header="851" w:footer="1361" w:gutter="0"/>
      <w:pgBorders>
        <w:top w:val="none" w:sz="0" w:space="0"/>
        <w:left w:val="none" w:sz="0" w:space="0"/>
        <w:bottom w:val="none" w:sz="0" w:space="0"/>
        <w:right w:val="none" w:sz="0" w:space="0"/>
      </w:pgBorders>
      <w:pgNumType w:fmt="numberInDash"/>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fldChar w:fldCharType="begin"/>
                          </w:r>
                          <w:r>
                            <w:rPr>
                              <w:rFonts w:hint="eastAsia" w:asciiTheme="minorEastAsia" w:hAnsiTheme="minorEastAsia" w:eastAsiaTheme="minorEastAsia" w:cstheme="minorEastAsia"/>
                              <w:lang w:eastAsia="zh-CN"/>
                            </w:rPr>
                            <w:instrText xml:space="preserve"> PAGE  \* MERGEFORMAT </w:instrText>
                          </w:r>
                          <w:r>
                            <w:rPr>
                              <w:rFonts w:hint="eastAsia" w:asciiTheme="minorEastAsia" w:hAnsiTheme="minorEastAsia" w:eastAsiaTheme="minorEastAsia" w:cstheme="minorEastAsia"/>
                              <w:lang w:eastAsia="zh-CN"/>
                            </w:rPr>
                            <w:fldChar w:fldCharType="separate"/>
                          </w:r>
                          <w:r>
                            <w:rPr>
                              <w:rFonts w:hint="eastAsia" w:asciiTheme="minorEastAsia" w:hAnsiTheme="minorEastAsia" w:eastAsiaTheme="minorEastAsia" w:cstheme="minorEastAsia"/>
                              <w:lang w:eastAsia="zh-CN"/>
                            </w:rPr>
                            <w:t>- 33 -</w:t>
                          </w:r>
                          <w:r>
                            <w:rPr>
                              <w:rFonts w:hint="eastAsia" w:asciiTheme="minorEastAsia" w:hAnsiTheme="minorEastAsia" w:eastAsiaTheme="minorEastAsia" w:cstheme="minor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fldChar w:fldCharType="begin"/>
                    </w:r>
                    <w:r>
                      <w:rPr>
                        <w:rFonts w:hint="eastAsia" w:asciiTheme="minorEastAsia" w:hAnsiTheme="minorEastAsia" w:eastAsiaTheme="minorEastAsia" w:cstheme="minorEastAsia"/>
                        <w:lang w:eastAsia="zh-CN"/>
                      </w:rPr>
                      <w:instrText xml:space="preserve"> PAGE  \* MERGEFORMAT </w:instrText>
                    </w:r>
                    <w:r>
                      <w:rPr>
                        <w:rFonts w:hint="eastAsia" w:asciiTheme="minorEastAsia" w:hAnsiTheme="minorEastAsia" w:eastAsiaTheme="minorEastAsia" w:cstheme="minorEastAsia"/>
                        <w:lang w:eastAsia="zh-CN"/>
                      </w:rPr>
                      <w:fldChar w:fldCharType="separate"/>
                    </w:r>
                    <w:r>
                      <w:rPr>
                        <w:rFonts w:hint="eastAsia" w:asciiTheme="minorEastAsia" w:hAnsiTheme="minorEastAsia" w:eastAsiaTheme="minorEastAsia" w:cstheme="minorEastAsia"/>
                        <w:lang w:eastAsia="zh-CN"/>
                      </w:rPr>
                      <w:t>- 33 -</w:t>
                    </w:r>
                    <w:r>
                      <w:rPr>
                        <w:rFonts w:hint="eastAsia" w:asciiTheme="minorEastAsia" w:hAnsiTheme="minorEastAsia" w:eastAsiaTheme="minorEastAsia" w:cstheme="minorEastAsia"/>
                        <w:lang w:eastAsia="zh-CN"/>
                      </w:rPr>
                      <w:fldChar w:fldCharType="end"/>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9"/>
                      <w:rPr>
                        <w:rFonts w:hint="eastAsia" w:eastAsiaTheme="minorEastAsia"/>
                        <w:lang w:eastAsia="zh-CN"/>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9"/>
                      <w:rPr>
                        <w:rFonts w:hint="eastAsia" w:eastAsiaTheme="minorEastAsia"/>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B6797"/>
    <w:rsid w:val="006A6B10"/>
    <w:rsid w:val="0076556F"/>
    <w:rsid w:val="008216E6"/>
    <w:rsid w:val="01060975"/>
    <w:rsid w:val="019D32D0"/>
    <w:rsid w:val="035B4B53"/>
    <w:rsid w:val="051612EF"/>
    <w:rsid w:val="05C77BAD"/>
    <w:rsid w:val="05F06706"/>
    <w:rsid w:val="06126B34"/>
    <w:rsid w:val="070E1B18"/>
    <w:rsid w:val="08A9383F"/>
    <w:rsid w:val="096C04CF"/>
    <w:rsid w:val="0B886F00"/>
    <w:rsid w:val="0BC946AE"/>
    <w:rsid w:val="0CA14CE1"/>
    <w:rsid w:val="0DFD258B"/>
    <w:rsid w:val="0EF52B90"/>
    <w:rsid w:val="0F3A6EDD"/>
    <w:rsid w:val="0F832C3D"/>
    <w:rsid w:val="102E03FC"/>
    <w:rsid w:val="11743A6A"/>
    <w:rsid w:val="127840FC"/>
    <w:rsid w:val="13277E2E"/>
    <w:rsid w:val="137A0B2F"/>
    <w:rsid w:val="14AF72C8"/>
    <w:rsid w:val="14E11B2B"/>
    <w:rsid w:val="14EB7A45"/>
    <w:rsid w:val="15265B4C"/>
    <w:rsid w:val="1539079D"/>
    <w:rsid w:val="176A3BB9"/>
    <w:rsid w:val="17B338C6"/>
    <w:rsid w:val="198B5E00"/>
    <w:rsid w:val="1A454FBC"/>
    <w:rsid w:val="1AC21060"/>
    <w:rsid w:val="1B244F8C"/>
    <w:rsid w:val="1BE836E0"/>
    <w:rsid w:val="1C7E6AE0"/>
    <w:rsid w:val="1DF011BF"/>
    <w:rsid w:val="1E1D4001"/>
    <w:rsid w:val="1E547B19"/>
    <w:rsid w:val="1E614665"/>
    <w:rsid w:val="1FA84564"/>
    <w:rsid w:val="200809C1"/>
    <w:rsid w:val="224C2380"/>
    <w:rsid w:val="234301E7"/>
    <w:rsid w:val="23D50214"/>
    <w:rsid w:val="24093629"/>
    <w:rsid w:val="241A6B78"/>
    <w:rsid w:val="24FC20DA"/>
    <w:rsid w:val="25AD52F8"/>
    <w:rsid w:val="273E25AD"/>
    <w:rsid w:val="27542A30"/>
    <w:rsid w:val="28C33D5A"/>
    <w:rsid w:val="28DE2210"/>
    <w:rsid w:val="29181808"/>
    <w:rsid w:val="2B3D5046"/>
    <w:rsid w:val="2BFF5DC4"/>
    <w:rsid w:val="2CE30045"/>
    <w:rsid w:val="2F2A359B"/>
    <w:rsid w:val="312B51FF"/>
    <w:rsid w:val="31370E74"/>
    <w:rsid w:val="34C37E09"/>
    <w:rsid w:val="35C2118A"/>
    <w:rsid w:val="36527516"/>
    <w:rsid w:val="37187B3F"/>
    <w:rsid w:val="37BA1500"/>
    <w:rsid w:val="39655A25"/>
    <w:rsid w:val="39A61903"/>
    <w:rsid w:val="3A8911A6"/>
    <w:rsid w:val="3ABF6BA6"/>
    <w:rsid w:val="3B806F0F"/>
    <w:rsid w:val="3BC247FF"/>
    <w:rsid w:val="3C173DA2"/>
    <w:rsid w:val="3D784B1B"/>
    <w:rsid w:val="3D81437E"/>
    <w:rsid w:val="3DFF20B7"/>
    <w:rsid w:val="3FC07B7A"/>
    <w:rsid w:val="403129E3"/>
    <w:rsid w:val="408D071E"/>
    <w:rsid w:val="41200822"/>
    <w:rsid w:val="41910ABF"/>
    <w:rsid w:val="43653306"/>
    <w:rsid w:val="44054D72"/>
    <w:rsid w:val="445245D6"/>
    <w:rsid w:val="45652B20"/>
    <w:rsid w:val="46097DD8"/>
    <w:rsid w:val="46C93946"/>
    <w:rsid w:val="47084E8D"/>
    <w:rsid w:val="490E1C6B"/>
    <w:rsid w:val="4A9C0FEF"/>
    <w:rsid w:val="4B946BA3"/>
    <w:rsid w:val="4C084376"/>
    <w:rsid w:val="4CB80383"/>
    <w:rsid w:val="4D8F72A6"/>
    <w:rsid w:val="4DE24F88"/>
    <w:rsid w:val="5025213C"/>
    <w:rsid w:val="505F1FF7"/>
    <w:rsid w:val="518756CF"/>
    <w:rsid w:val="541C3A61"/>
    <w:rsid w:val="54A40CD9"/>
    <w:rsid w:val="55713EE4"/>
    <w:rsid w:val="561B6867"/>
    <w:rsid w:val="56F053C5"/>
    <w:rsid w:val="56FF2B95"/>
    <w:rsid w:val="56FF6FD3"/>
    <w:rsid w:val="576B5360"/>
    <w:rsid w:val="59414E49"/>
    <w:rsid w:val="59570E91"/>
    <w:rsid w:val="59601B81"/>
    <w:rsid w:val="59B640A0"/>
    <w:rsid w:val="59C621F2"/>
    <w:rsid w:val="5BA1120D"/>
    <w:rsid w:val="5C1140BE"/>
    <w:rsid w:val="5C6D3482"/>
    <w:rsid w:val="5C8A0707"/>
    <w:rsid w:val="5DD067FF"/>
    <w:rsid w:val="5DDE1257"/>
    <w:rsid w:val="5EDE4246"/>
    <w:rsid w:val="61125B4B"/>
    <w:rsid w:val="62316EBA"/>
    <w:rsid w:val="62375531"/>
    <w:rsid w:val="631B5BC6"/>
    <w:rsid w:val="6390615C"/>
    <w:rsid w:val="639B49C6"/>
    <w:rsid w:val="64A00914"/>
    <w:rsid w:val="65AA1D55"/>
    <w:rsid w:val="660007E1"/>
    <w:rsid w:val="66370230"/>
    <w:rsid w:val="6B543E0A"/>
    <w:rsid w:val="6C346254"/>
    <w:rsid w:val="70B67F20"/>
    <w:rsid w:val="70FB3EC7"/>
    <w:rsid w:val="716D395B"/>
    <w:rsid w:val="73BA2A52"/>
    <w:rsid w:val="74B2590B"/>
    <w:rsid w:val="7959690B"/>
    <w:rsid w:val="7A42425F"/>
    <w:rsid w:val="7D0C324B"/>
    <w:rsid w:val="7DBC236E"/>
    <w:rsid w:val="7DD031A1"/>
    <w:rsid w:val="7E2E266C"/>
    <w:rsid w:val="7E9B3296"/>
    <w:rsid w:val="7F1D6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unhideWhenUsed/>
    <w:qFormat/>
    <w:uiPriority w:val="0"/>
    <w:pPr>
      <w:outlineLvl w:val="1"/>
    </w:pPr>
    <w:rPr>
      <w:rFonts w:eastAsia="黑体" w:cs="楷体"/>
      <w:bCs/>
      <w:spacing w:val="-6"/>
      <w:szCs w:val="32"/>
      <w:lang w:eastAsia="zh-CN"/>
    </w:rPr>
  </w:style>
  <w:style w:type="paragraph" w:styleId="5">
    <w:name w:val="heading 3"/>
    <w:basedOn w:val="1"/>
    <w:next w:val="1"/>
    <w:link w:val="18"/>
    <w:unhideWhenUsed/>
    <w:qFormat/>
    <w:uiPriority w:val="0"/>
    <w:pPr>
      <w:outlineLvl w:val="2"/>
    </w:pPr>
    <w:rPr>
      <w:rFonts w:eastAsia="楷体_GB2312" w:cs="方正仿宋_GB2312"/>
      <w:b/>
      <w:bCs/>
      <w:spacing w:val="-1"/>
      <w:szCs w:val="28"/>
      <w:lang w:eastAsia="zh-CN"/>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eastAsia="宋体"/>
      <w:sz w:val="18"/>
      <w:szCs w:val="18"/>
    </w:rPr>
  </w:style>
  <w:style w:type="paragraph" w:styleId="6">
    <w:name w:val="Normal Indent"/>
    <w:basedOn w:val="1"/>
    <w:qFormat/>
    <w:uiPriority w:val="0"/>
    <w:pPr>
      <w:ind w:firstLine="420" w:firstLineChars="200"/>
    </w:pPr>
  </w:style>
  <w:style w:type="paragraph" w:styleId="7">
    <w:name w:val="annotation text"/>
    <w:basedOn w:val="1"/>
    <w:qFormat/>
    <w:uiPriority w:val="0"/>
    <w:pPr>
      <w:jc w:val="left"/>
    </w:pPr>
  </w:style>
  <w:style w:type="paragraph" w:styleId="8">
    <w:name w:val="Body Text"/>
    <w:basedOn w:val="1"/>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9">
    <w:name w:val="footer"/>
    <w:basedOn w:val="1"/>
    <w:qFormat/>
    <w:uiPriority w:val="0"/>
    <w:pPr>
      <w:tabs>
        <w:tab w:val="center" w:pos="4153"/>
        <w:tab w:val="right" w:pos="8306"/>
      </w:tabs>
      <w:snapToGrid w:val="0"/>
      <w:ind w:firstLine="0" w:firstLineChars="0"/>
      <w:jc w:val="left"/>
    </w:pPr>
    <w:rPr>
      <w:rFonts w:ascii="Times New Roman" w:hAnsi="Times New Roman" w:cs="Times New Roman"/>
      <w:sz w:val="28"/>
    </w:rPr>
  </w:style>
  <w:style w:type="paragraph" w:styleId="10">
    <w:name w:val="toc 1"/>
    <w:basedOn w:val="1"/>
    <w:next w:val="1"/>
    <w:qFormat/>
    <w:uiPriority w:val="39"/>
    <w:rPr>
      <w:b/>
    </w:rPr>
  </w:style>
  <w:style w:type="paragraph" w:styleId="11">
    <w:name w:val="toc 2"/>
    <w:basedOn w:val="1"/>
    <w:next w:val="1"/>
    <w:qFormat/>
    <w:uiPriority w:val="39"/>
    <w:pPr>
      <w:ind w:left="420" w:leftChars="200"/>
    </w:pPr>
  </w:style>
  <w:style w:type="paragraph" w:styleId="12">
    <w:name w:val="Normal (Web)"/>
    <w:basedOn w:val="1"/>
    <w:qFormat/>
    <w:uiPriority w:val="0"/>
    <w:rPr>
      <w:sz w:val="24"/>
    </w:rPr>
  </w:style>
  <w:style w:type="paragraph" w:styleId="13">
    <w:name w:val="Title"/>
    <w:basedOn w:val="1"/>
    <w:qFormat/>
    <w:uiPriority w:val="0"/>
    <w:pPr>
      <w:spacing w:before="100" w:after="100"/>
      <w:jc w:val="center"/>
    </w:pPr>
    <w:rPr>
      <w:rFonts w:eastAsia="黑体" w:cs="Times New Roman"/>
      <w:kern w:val="2"/>
      <w:sz w:val="36"/>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0"/>
    <w:rPr>
      <w:b/>
    </w:rPr>
  </w:style>
  <w:style w:type="character" w:customStyle="1" w:styleId="18">
    <w:name w:val="标题 3 Char"/>
    <w:link w:val="5"/>
    <w:qFormat/>
    <w:uiPriority w:val="0"/>
    <w:rPr>
      <w:rFonts w:eastAsia="楷体_GB2312" w:cs="方正仿宋_GB2312"/>
      <w:b/>
      <w:bCs/>
      <w:spacing w:val="-1"/>
      <w:szCs w:val="28"/>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12874</Words>
  <Characters>12952</Characters>
  <Lines>0</Lines>
  <Paragraphs>0</Paragraphs>
  <TotalTime>63</TotalTime>
  <ScaleCrop>false</ScaleCrop>
  <LinksUpToDate>false</LinksUpToDate>
  <CharactersWithSpaces>12977</CharactersWithSpaces>
  <Application>WPS Office_11.8.2.11716_F1E327BC-269C-435d-A152-05C5408002CA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2026-07-28T09:48:00Z</dcterms:created>
  <dc:creator>Administrator</dc:creator>
  <cp:lastModifiedBy>Administrator</cp:lastModifiedBy>
  <cp:lastPrinted>2026-09-11T14:03:00Z</cp:lastPrinted>
  <dcterms:modified xsi:type="dcterms:W3CDTF">2026-09-14T09:22:13Z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2052-11.8.2.11716</vt:lpwstr>
  </property>
  <property fmtid="{D5CDD505-2E9C-101B-9397-08002B2CF9AE}" pid="3" name="KSOTemplateDocerSaveRecord">
    <vt:lpwstr>eyJoZGlkIjoiNDk1ZTNjNWY4Y2RiZWU4ODc4NmJkOTcxYWU3MTMwMjIiLCJ1c2VySWQiOiI5MTUyMzQ3OTcifQ==</vt:lpwstr>
  </property>
  <property fmtid="{D5CDD505-2E9C-101B-9397-08002B2CF9AE}" pid="4" name="ICV">
    <vt:lpwstr>A30C473E6154417A881282B2CDFBB11D_13</vt:lpwstr>
  </property>
</Properties>
</file>