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pacing w:val="0"/>
          <w:positio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方正小标宋简体" w:eastAsia="方正小标宋简体" w:cs="方正小标宋简体"/>
          <w:color w:val="auto"/>
          <w:spacing w:val="0"/>
          <w:position w:val="0"/>
          <w:sz w:val="44"/>
          <w:szCs w:val="44"/>
          <w:lang w:eastAsia="zh-CN"/>
        </w:rPr>
      </w:pPr>
      <w:r>
        <w:rPr>
          <w:rFonts w:hint="eastAsia" w:ascii="Times New Roman" w:hAnsi="方正小标宋简体" w:eastAsia="方正小标宋简体" w:cs="方正小标宋简体"/>
          <w:color w:val="auto"/>
          <w:spacing w:val="0"/>
          <w:position w:val="0"/>
          <w:sz w:val="44"/>
          <w:szCs w:val="44"/>
          <w:lang w:eastAsia="zh-CN"/>
        </w:rPr>
        <w:t>哈密市促进民营经济发展壮大的10条措施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0"/>
          <w:position w:val="0"/>
          <w:sz w:val="32"/>
          <w:szCs w:val="32"/>
          <w:lang w:eastAsia="zh-CN"/>
        </w:rPr>
        <w:t>（修订稿）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</w:rPr>
      </w:pPr>
      <w:r>
        <w:rPr>
          <w:rFonts w:hint="eastAsia"/>
          <w:lang w:eastAsia="zh-CN"/>
        </w:rPr>
        <w:t>为</w:t>
      </w:r>
      <w:r>
        <w:rPr>
          <w:rFonts w:hint="eastAsia"/>
        </w:rPr>
        <w:t>进一步激发</w:t>
      </w:r>
      <w:r>
        <w:rPr>
          <w:rFonts w:hint="eastAsia"/>
          <w:lang w:eastAsia="zh-CN"/>
        </w:rPr>
        <w:t>我市</w:t>
      </w:r>
      <w:r>
        <w:rPr>
          <w:rFonts w:hint="eastAsia"/>
        </w:rPr>
        <w:t>民营</w:t>
      </w:r>
      <w:r>
        <w:rPr>
          <w:rFonts w:hint="eastAsia"/>
          <w:lang w:eastAsia="zh-CN"/>
        </w:rPr>
        <w:t>经济</w:t>
      </w:r>
      <w:r>
        <w:rPr>
          <w:rFonts w:hint="eastAsia"/>
        </w:rPr>
        <w:t>发展活力，提振民营</w:t>
      </w:r>
      <w:r>
        <w:rPr>
          <w:rFonts w:hint="eastAsia"/>
          <w:lang w:eastAsia="zh-CN"/>
        </w:rPr>
        <w:t>企业</w:t>
      </w:r>
      <w:r>
        <w:rPr>
          <w:rFonts w:hint="eastAsia"/>
        </w:rPr>
        <w:t>发展信心，</w:t>
      </w:r>
      <w:r>
        <w:rPr>
          <w:rFonts w:hint="eastAsia"/>
          <w:lang w:eastAsia="zh-CN"/>
        </w:rPr>
        <w:t>根据</w:t>
      </w:r>
      <w:r>
        <w:rPr>
          <w:rFonts w:hint="eastAsia"/>
        </w:rPr>
        <w:t>《中共中央 国务院关于促进民营经济发展壮大的意见》《新疆维吾尔自治区关于促进民营经济发展壮大的若干政策措施》</w:t>
      </w:r>
      <w:r>
        <w:rPr>
          <w:rFonts w:hint="eastAsia"/>
          <w:lang w:eastAsia="zh-CN"/>
        </w:rPr>
        <w:t>等文件精神</w:t>
      </w:r>
      <w:r>
        <w:rPr>
          <w:rFonts w:hint="eastAsia"/>
        </w:rPr>
        <w:t>，</w:t>
      </w:r>
      <w:r>
        <w:rPr>
          <w:rFonts w:hint="eastAsia"/>
          <w:lang w:eastAsia="zh-CN"/>
        </w:rPr>
        <w:t>结合实际，制定本措施。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</w:rPr>
      </w:pPr>
      <w:r>
        <w:rPr>
          <w:rFonts w:hint="eastAsia"/>
        </w:rPr>
        <w:t xml:space="preserve">一、坚持政治引领 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Style w:val="17"/>
          <w:rFonts w:hint="eastAsia"/>
        </w:rPr>
        <w:t>坚持从政治高度、长远视角和全局维度谋划民营经济发展，将促进民营经济壮大纳入市委、市政府专题部署的常态化工作机制。秉持开放融合理念，畅通民营企业家参与重大决策、重要规划制定的渠道，构建政企相融、良性互动的发展格局。建立促进民营经济发展专职机构，统筹开展政策研究、趋势研判、机制建立和督导落实，加强推进民营经济服务体系建设。</w:t>
      </w:r>
      <w:r>
        <w:rPr>
          <w:rStyle w:val="17"/>
          <w:rFonts w:hint="eastAsia" w:eastAsia="仿宋_GB2312"/>
          <w:lang w:eastAsia="zh-CN"/>
        </w:rPr>
        <w:t>支持</w:t>
      </w:r>
      <w:r>
        <w:rPr>
          <w:rStyle w:val="17"/>
          <w:rFonts w:hint="eastAsia"/>
        </w:rPr>
        <w:t>投产达效显著、社会贡献突出的优秀民营企业家</w:t>
      </w:r>
      <w:r>
        <w:rPr>
          <w:rStyle w:val="17"/>
          <w:rFonts w:hint="eastAsia" w:eastAsia="仿宋_GB2312"/>
          <w:lang w:eastAsia="zh-CN"/>
        </w:rPr>
        <w:t>参选</w:t>
      </w:r>
      <w:r>
        <w:rPr>
          <w:rStyle w:val="17"/>
          <w:rFonts w:hint="eastAsia"/>
        </w:rPr>
        <w:t>党代表、人大代表、政协委员，增强民营经济代表在政治体系中的话语权和影响力。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二、构建亲清政企连心桥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落实</w:t>
      </w:r>
      <w:r>
        <w:rPr>
          <w:rFonts w:hint="eastAsia"/>
        </w:rPr>
        <w:t>政商交往正面清单和负面清单。完善领导干部联系民营企业（商会、协会）制度，坚持“请进来+走进去”相结合，搭建政企恳谈会、茶叙会等多层次沟通交流平台，市、区</w:t>
      </w:r>
      <w:r>
        <w:rPr>
          <w:rFonts w:hint="eastAsia"/>
          <w:lang w:eastAsia="zh-CN"/>
        </w:rPr>
        <w:t>（</w:t>
      </w:r>
      <w:r>
        <w:rPr>
          <w:rFonts w:hint="eastAsia"/>
        </w:rPr>
        <w:t>县</w:t>
      </w:r>
      <w:r>
        <w:rPr>
          <w:rFonts w:hint="eastAsia"/>
          <w:lang w:eastAsia="zh-CN"/>
        </w:rPr>
        <w:t>）</w:t>
      </w:r>
      <w:r>
        <w:rPr>
          <w:rFonts w:hint="eastAsia"/>
        </w:rPr>
        <w:t>主要负责同志带头与民营企业和商会协会定期开展互动交流、排忧解难、共谋发展。相关行业部门常态化与分管领域民营企业家加强沟通交流，完善部门协调联动，建立“诉求直通车”“闭环办理”机制，以精准服务破解企业发展难题。充分发挥行业协会的桥梁纽带作用，建立政府协会联动合作机制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三、支持民营企业积极参与政府采购项目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</w:rPr>
      </w:pPr>
      <w:r>
        <w:rPr>
          <w:rFonts w:hint="eastAsia"/>
        </w:rPr>
        <w:t>落实政府采购支持中小企业发展政策，支持中小企业以联合体形式参加政府采购活动</w:t>
      </w:r>
      <w:r>
        <w:rPr>
          <w:rFonts w:hint="eastAsia"/>
          <w:lang w:eastAsia="zh-CN"/>
        </w:rPr>
        <w:t>。</w:t>
      </w:r>
      <w:r>
        <w:rPr>
          <w:rFonts w:hint="eastAsia"/>
        </w:rPr>
        <w:t>采购</w:t>
      </w:r>
      <w:r>
        <w:rPr>
          <w:rFonts w:hint="eastAsia" w:ascii="Times New Roman" w:hAnsi="Times New Roman" w:cs="Times New Roman"/>
        </w:rPr>
        <w:t>限额标准以上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eastAsia" w:ascii="Times New Roman" w:hAnsi="Times New Roman" w:cs="Times New Roman"/>
        </w:rPr>
        <w:t>200万元以下的</w:t>
      </w:r>
      <w:r>
        <w:rPr>
          <w:rFonts w:hint="eastAsia"/>
        </w:rPr>
        <w:t>货物和服务采购项目</w:t>
      </w:r>
      <w:r>
        <w:rPr>
          <w:rFonts w:hint="eastAsia"/>
          <w:lang w:eastAsia="zh-CN"/>
        </w:rPr>
        <w:t>、</w:t>
      </w:r>
      <w:r>
        <w:rPr>
          <w:rFonts w:hint="eastAsia"/>
        </w:rPr>
        <w:t>400万元以下的工程采购项目，适宜由中小企业提供的，专门面向中小企业采购；超过200万元的货物和服务采购项目、超过400万元的工程采购项目中适宜由中小企业提供的，预留预算总额的30%以上专门面向中小企业采购，其中预留给小微企业的比例不低于60%。对采用常规通用技术标准、无特殊要求的工程建设项目，取消工程业绩、过高资质、非常规技术参数等类似投标加分、中标条件。政府采购信息发布后，及时推送至商会协会，组织符合条件的民营企业积极参与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四、落实政府和社会资本合作新机制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</w:rPr>
      </w:pPr>
      <w:r>
        <w:rPr>
          <w:rFonts w:hint="eastAsia"/>
        </w:rPr>
        <w:t>依托自治区投资项目在线审批平台、哈密投资项目智慧平台，向民营企业共享、推送基础设施建设、科技创新项目、制造业转型升级三类重点项目清单，每年推介项目总投资不低于10亿元。支持民营企业积极参与“两重”建设和“两新”工作，加强项目指导和服务。</w:t>
      </w:r>
      <w:r>
        <w:rPr>
          <w:rFonts w:hint="eastAsia"/>
          <w:lang w:eastAsia="zh-CN"/>
        </w:rPr>
        <w:t>按照</w:t>
      </w:r>
      <w:r>
        <w:rPr>
          <w:rFonts w:hint="eastAsia"/>
          <w:color w:val="auto"/>
        </w:rPr>
        <w:t>《支持民营企业参与的特许经营新建（含改扩建）项目清单（2023年版）》要</w:t>
      </w:r>
      <w:r>
        <w:rPr>
          <w:rFonts w:hint="eastAsia"/>
        </w:rPr>
        <w:t>求，</w:t>
      </w:r>
      <w:r>
        <w:rPr>
          <w:rFonts w:hint="default" w:ascii="Times New Roman" w:hAnsi="Times New Roman" w:cs="Times New Roman"/>
          <w:color w:val="000000"/>
          <w:lang w:val="en-US" w:eastAsia="zh-CN"/>
        </w:rPr>
        <w:t>最大程度鼓励民营企业参与政府和社会资本合作新建（含改扩建）项目</w:t>
      </w:r>
      <w:r>
        <w:rPr>
          <w:rFonts w:hint="eastAsia"/>
        </w:rPr>
        <w:t>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五、加强民营经济信贷支持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</w:rPr>
      </w:pPr>
      <w:r>
        <w:rPr>
          <w:rFonts w:hint="eastAsia"/>
        </w:rPr>
        <w:t>依托新疆融资信用服务平台为民营企业提供“一站式”融资服务，对于银行支持额度达不到民营经济融资需求的，协调融资担保公司提供增信服务，支持民营企业以工程施工合同、施工许可证、工程设备、生产原料、土地经营权、知识产权、应收（预付）账款等作为增信措施进行融资贷款。探索民营企业重点产业链“整链授信”机制，探索科技型企业“股权+债权+保险”的“投贷联动”融资模式。指导各金融机构制定民营企业年度服务目标，逐步提升民营企业贷款占各项贷款的比重，将对小微企业信贷支持力度纳入银行支持地方经济发展评价指标。优先对涉农、小微和民营企业票据办理再贴现，重点支持票面金额500万元以下的票据，持续推动企业贷款利率稳中有降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六、强化民营经济用地保障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</w:rPr>
      </w:pPr>
      <w:r>
        <w:rPr>
          <w:rFonts w:hint="eastAsia"/>
        </w:rPr>
        <w:t>建立土地要素保障</w:t>
      </w:r>
      <w:r>
        <w:rPr>
          <w:rFonts w:hint="eastAsia"/>
          <w:lang w:eastAsia="zh-CN"/>
        </w:rPr>
        <w:t>，</w:t>
      </w:r>
      <w:r>
        <w:rPr>
          <w:rFonts w:hint="eastAsia"/>
        </w:rPr>
        <w:t>支持工业用地采取弹性年期出让、先租后让、长期租赁等供应方式</w:t>
      </w:r>
      <w:r>
        <w:rPr>
          <w:rFonts w:hint="eastAsia"/>
          <w:lang w:eastAsia="zh-CN"/>
        </w:rPr>
        <w:t>。积极保障民间投资项目合理用地需求</w:t>
      </w:r>
      <w:r>
        <w:rPr>
          <w:rFonts w:hint="eastAsia"/>
        </w:rPr>
        <w:t>。探索推进“园中园”模式，构建满足大中小微民营企业不同需求、分层次的发展园区。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七、构建多元化人才培养引进机制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/>
          <w:lang w:val="en-US"/>
        </w:rPr>
      </w:pPr>
      <w:r>
        <w:rPr>
          <w:rFonts w:hint="eastAsia"/>
        </w:rPr>
        <w:t>面向</w:t>
      </w:r>
      <w:r>
        <w:rPr>
          <w:rFonts w:hint="eastAsia"/>
          <w:lang w:eastAsia="zh-CN"/>
        </w:rPr>
        <w:t>全</w:t>
      </w:r>
      <w:r>
        <w:rPr>
          <w:rFonts w:hint="eastAsia"/>
        </w:rPr>
        <w:t>市民营企业集中的行业，构建多层次人才培养引进机制。坚持精准引才，将民营企业紧缺专业人才需求纳入哈密市紧缺人才目录。实施“名校联民企”计划，具体通过“冠名班”培养、共建校企实习基地等形式，满足本地高层次人才需求。鼓励民营企业与新疆</w:t>
      </w:r>
      <w:r>
        <w:rPr>
          <w:rFonts w:hint="eastAsia"/>
          <w:lang w:eastAsia="zh-CN"/>
        </w:rPr>
        <w:t>能源</w:t>
      </w:r>
      <w:r>
        <w:rPr>
          <w:rFonts w:hint="eastAsia"/>
        </w:rPr>
        <w:t>铁道职业技术</w:t>
      </w:r>
      <w:r>
        <w:rPr>
          <w:rFonts w:hint="eastAsia"/>
          <w:lang w:eastAsia="zh-CN"/>
        </w:rPr>
        <w:t>大学</w:t>
      </w:r>
      <w:r>
        <w:rPr>
          <w:rFonts w:hint="eastAsia"/>
        </w:rPr>
        <w:t>、哈密开放大学等本地高校建立产教联盟，开展新型学徒制培训。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八、搭建企业融通对接平台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</w:rPr>
      </w:pPr>
      <w:r>
        <w:rPr>
          <w:rFonts w:hint="eastAsia"/>
          <w:lang w:eastAsia="zh-CN"/>
        </w:rPr>
        <w:t>各区县人民政府和市直有关部门</w:t>
      </w:r>
      <w:r>
        <w:rPr>
          <w:rFonts w:hint="eastAsia"/>
        </w:rPr>
        <w:t>以行业龙头企业为依托，聚焦六大主导产业，分层次分领域每年组织开展2次产业链专场对接活动，促进产业上下游企业之间的交流合作。每年组织不少于2次中央企业、国有企业、民营企业专场对接。发挥链主企业积极作用，举办走进央企国企闭门对接活动，支持带动中小企业发展。依托行业大会举办融通对接活动，推动形成融通合作项目，每年促成能源资源产业合作不少于8对，建筑施工领域合作不少于10对，文化旅游、商品批发零售领域合作不少于5对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九、预防和清理政府拖欠账款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/>
        </w:rPr>
        <w:t>将拖欠民营企业账款问题作为巡察和督查的重要内容</w:t>
      </w:r>
      <w:r>
        <w:rPr>
          <w:rFonts w:hint="eastAsia"/>
          <w:lang w:eastAsia="zh-CN"/>
        </w:rPr>
        <w:t>。</w:t>
      </w:r>
      <w:r>
        <w:rPr>
          <w:rFonts w:hint="eastAsia"/>
        </w:rPr>
        <w:t>对拒绝或拖延支付民营企业账款的机关、事业单位，加强预算支出审查，压减部门预算，降低公务出行标准，严控一般性支出和“三公”经费。完善投诉处理机制，及时核查“互联网+督查”、自治区转办和本级接访投诉线索，积极督促拖欠主体单位</w:t>
      </w:r>
      <w:r>
        <w:rPr>
          <w:rFonts w:hint="eastAsia"/>
          <w:lang w:eastAsia="zh-CN"/>
        </w:rPr>
        <w:t>按</w:t>
      </w:r>
      <w:r>
        <w:rPr>
          <w:rFonts w:hint="eastAsia"/>
        </w:rPr>
        <w:t>时还款，</w:t>
      </w:r>
      <w:r>
        <w:rPr>
          <w:rFonts w:hint="eastAsia"/>
          <w:lang w:eastAsia="zh-CN"/>
        </w:rPr>
        <w:t>并</w:t>
      </w:r>
      <w:r>
        <w:rPr>
          <w:rFonts w:hint="eastAsia"/>
        </w:rPr>
        <w:t>加大拖欠账款案例的曝光力度。</w:t>
      </w:r>
    </w:p>
    <w:p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left"/>
        <w:textAlignment w:val="auto"/>
        <w:rPr>
          <w:rFonts w:hint="eastAsia" w:ascii="Times New Roman" w:hAnsi="Times New Roman" w:cs="Times New Roman"/>
          <w:b w:val="0"/>
          <w:bCs/>
        </w:rPr>
      </w:pPr>
      <w:r>
        <w:rPr>
          <w:rFonts w:hint="eastAsia" w:ascii="Times New Roman" w:hAnsi="Times New Roman" w:cs="Times New Roman"/>
          <w:b w:val="0"/>
          <w:bCs/>
        </w:rPr>
        <w:t>十、优化监管执法方式</w:t>
      </w:r>
    </w:p>
    <w:p>
      <w:pPr>
        <w:pStyle w:val="1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推动部门监管信息共享互认，依据民营经济组织的信用状况实施分级分类监管，各行业主管部门梳理建立</w:t>
      </w:r>
      <w:r>
        <w:rPr>
          <w:rFonts w:hint="eastAsia"/>
          <w:lang w:eastAsia="zh-CN"/>
        </w:rPr>
        <w:t>并</w:t>
      </w:r>
      <w:r>
        <w:rPr>
          <w:rFonts w:hint="eastAsia"/>
        </w:rPr>
        <w:t>公布行业信用监管白名单，积极推行远程执法、非现场执法模式，对白名单企业做到“无事不扰”。规范执法行为，严格落实</w:t>
      </w:r>
      <w:r>
        <w:rPr>
          <w:rFonts w:hint="eastAsia"/>
          <w:lang w:eastAsia="zh-CN"/>
        </w:rPr>
        <w:t>《</w:t>
      </w:r>
      <w:r>
        <w:rPr>
          <w:rFonts w:hint="eastAsia"/>
        </w:rPr>
        <w:t>哈密市进一步规范行政执法二十条措施</w:t>
      </w:r>
      <w:r>
        <w:rPr>
          <w:rFonts w:hint="eastAsia"/>
          <w:lang w:eastAsia="zh-CN"/>
        </w:rPr>
        <w:t>》</w:t>
      </w:r>
      <w:r>
        <w:rPr>
          <w:rFonts w:hint="eastAsia"/>
        </w:rPr>
        <w:t>，各执法部门在政府网站主动</w:t>
      </w:r>
      <w:r>
        <w:rPr>
          <w:rFonts w:hint="eastAsia"/>
          <w:lang w:eastAsia="zh-CN"/>
        </w:rPr>
        <w:t>公开</w:t>
      </w:r>
      <w:bookmarkStart w:id="0" w:name="_GoBack"/>
      <w:bookmarkEnd w:id="0"/>
      <w:r>
        <w:rPr>
          <w:rFonts w:hint="eastAsia"/>
        </w:rPr>
        <w:t>执法事项和检查频次，合理确定检查方式，严格检查标准和程序，</w:t>
      </w:r>
      <w:r>
        <w:rPr>
          <w:rFonts w:hint="eastAsia"/>
          <w:lang w:eastAsia="zh-CN"/>
        </w:rPr>
        <w:t>合理安排</w:t>
      </w:r>
      <w:r>
        <w:rPr>
          <w:rFonts w:hint="eastAsia"/>
        </w:rPr>
        <w:t>入企检查频次，杜绝随意检查。加大“双随机、一公开”监管力度，实现“进一次门、查多项事”。</w:t>
      </w:r>
    </w:p>
    <w:p/>
    <w:sectPr>
      <w:headerReference r:id="rId3" w:type="default"/>
      <w:footerReference r:id="rId4" w:type="default"/>
      <w:pgSz w:w="11905" w:h="16838"/>
      <w:pgMar w:top="2098" w:right="1531" w:bottom="1984" w:left="1531" w:header="851" w:footer="147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type="lines" w:linePitch="33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Style w:val="15"/>
                              <w:rFonts w:ascii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Style w:val="15"/>
                        <w:rFonts w:ascii="宋体" w:hAnsi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  <w:jc w:val="both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A10558"/>
    <w:rsid w:val="5CC9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4"/>
    <w:qFormat/>
    <w:uiPriority w:val="0"/>
    <w:pPr>
      <w:keepNext/>
      <w:keepLines/>
      <w:spacing w:line="560" w:lineRule="exact"/>
      <w:ind w:firstLine="640" w:firstLineChars="200"/>
      <w:outlineLvl w:val="0"/>
    </w:pPr>
    <w:rPr>
      <w:rFonts w:ascii="Times New Roman" w:hAnsi="Times New Roman" w:eastAsia="黑体"/>
      <w:bCs/>
      <w:kern w:val="44"/>
      <w:sz w:val="32"/>
      <w:szCs w:val="44"/>
    </w:rPr>
  </w:style>
  <w:style w:type="paragraph" w:styleId="4">
    <w:name w:val="heading 2"/>
    <w:basedOn w:val="1"/>
    <w:next w:val="1"/>
    <w:qFormat/>
    <w:uiPriority w:val="9"/>
    <w:pPr>
      <w:keepNext/>
      <w:keepLines/>
      <w:spacing w:line="560" w:lineRule="exact"/>
      <w:ind w:firstLine="640" w:firstLineChars="200"/>
      <w:outlineLvl w:val="1"/>
    </w:pPr>
    <w:rPr>
      <w:rFonts w:ascii="Arial" w:hAnsi="Arial" w:eastAsia="楷体_GB2312" w:cs="Times New Roman"/>
      <w:bCs/>
      <w:sz w:val="32"/>
      <w:szCs w:val="32"/>
    </w:rPr>
  </w:style>
  <w:style w:type="character" w:default="1" w:styleId="13">
    <w:name w:val="Default Paragraph Font"/>
    <w:link w:val="14"/>
    <w:semiHidden/>
    <w:qFormat/>
    <w:uiPriority w:val="0"/>
    <w:rPr>
      <w:szCs w:val="20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b/>
      <w:bCs/>
      <w:sz w:val="44"/>
      <w:szCs w:val="44"/>
    </w:rPr>
  </w:style>
  <w:style w:type="paragraph" w:styleId="5">
    <w:name w:val="index 5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next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PlainText"/>
    <w:basedOn w:val="1"/>
    <w:next w:val="9"/>
    <w:qFormat/>
    <w:uiPriority w:val="99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9">
    <w:name w:val="IndexHeading"/>
    <w:basedOn w:val="1"/>
    <w:next w:val="10"/>
    <w:qFormat/>
    <w:uiPriority w:val="99"/>
    <w:pPr>
      <w:spacing w:before="120" w:after="120"/>
      <w:jc w:val="center"/>
    </w:pPr>
    <w:rPr>
      <w:b/>
      <w:bCs/>
      <w:iCs/>
    </w:rPr>
  </w:style>
  <w:style w:type="paragraph" w:customStyle="1" w:styleId="10">
    <w:name w:val="Index1"/>
    <w:basedOn w:val="1"/>
    <w:next w:val="11"/>
    <w:qFormat/>
    <w:uiPriority w:val="99"/>
    <w:pPr>
      <w:jc w:val="left"/>
    </w:pPr>
    <w:rPr>
      <w:rFonts w:ascii="宋体"/>
      <w:szCs w:val="21"/>
    </w:rPr>
  </w:style>
  <w:style w:type="paragraph" w:customStyle="1" w:styleId="11">
    <w:name w:val="UserStyle_1"/>
    <w:next w:val="1"/>
    <w:qFormat/>
    <w:uiPriority w:val="99"/>
    <w:pPr>
      <w:ind w:firstLine="200" w:firstLineChars="200"/>
      <w:jc w:val="both"/>
      <w:textAlignment w:val="baseline"/>
    </w:pPr>
    <w:rPr>
      <w:rFonts w:ascii="宋体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14">
    <w:name w:val=" Char"/>
    <w:basedOn w:val="1"/>
    <w:link w:val="13"/>
    <w:qFormat/>
    <w:uiPriority w:val="0"/>
    <w:rPr>
      <w:szCs w:val="20"/>
    </w:rPr>
  </w:style>
  <w:style w:type="character" w:styleId="15">
    <w:name w:val="page number"/>
    <w:basedOn w:val="13"/>
    <w:qFormat/>
    <w:uiPriority w:val="0"/>
  </w:style>
  <w:style w:type="paragraph" w:customStyle="1" w:styleId="16">
    <w:name w:val="样式14"/>
    <w:basedOn w:val="1"/>
    <w:qFormat/>
    <w:uiPriority w:val="0"/>
    <w:pPr>
      <w:spacing w:line="560" w:lineRule="exact"/>
      <w:ind w:firstLine="640" w:firstLineChars="200"/>
    </w:pPr>
    <w:rPr>
      <w:rFonts w:ascii="Times New Roman" w:hAnsi="Times New Roman" w:eastAsia="仿宋_GB2312" w:cs="Times New Roman"/>
      <w:sz w:val="32"/>
    </w:rPr>
  </w:style>
  <w:style w:type="character" w:customStyle="1" w:styleId="17">
    <w:name w:val="样式15 Char"/>
    <w:link w:val="18"/>
    <w:qFormat/>
    <w:uiPriority w:val="0"/>
    <w:rPr>
      <w:rFonts w:ascii="Times New Roman" w:hAnsi="Times New Roman" w:eastAsia="仿宋_GB2312"/>
      <w:sz w:val="32"/>
    </w:rPr>
  </w:style>
  <w:style w:type="paragraph" w:customStyle="1" w:styleId="18">
    <w:name w:val="样式15"/>
    <w:basedOn w:val="1"/>
    <w:link w:val="17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2026-10-14T03:43:00Z</dcterms:created>
  <dc:creator>Administrator</dc:creator>
  <cp:lastModifiedBy>Administrator</cp:lastModifiedBy>
  <dcterms:modified xsi:type="dcterms:W3CDTF">2026-10-14T08:47:57Z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