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60942">
      <w:pPr>
        <w:pStyle w:val="5"/>
        <w:ind w:left="0"/>
        <w:rPr>
          <w:rFonts w:ascii="Times New Roman"/>
          <w:sz w:val="20"/>
        </w:rPr>
      </w:pPr>
    </w:p>
    <w:p w14:paraId="73BEE021">
      <w:pPr>
        <w:pStyle w:val="5"/>
        <w:ind w:left="0"/>
        <w:rPr>
          <w:rFonts w:ascii="Times New Roman"/>
          <w:sz w:val="20"/>
        </w:rPr>
      </w:pPr>
    </w:p>
    <w:p w14:paraId="4D60F164">
      <w:pPr>
        <w:pStyle w:val="5"/>
        <w:ind w:left="0"/>
        <w:rPr>
          <w:rFonts w:ascii="Times New Roman"/>
          <w:sz w:val="20"/>
        </w:rPr>
      </w:pPr>
    </w:p>
    <w:p w14:paraId="7B5ACBEC">
      <w:pPr>
        <w:pStyle w:val="5"/>
        <w:ind w:left="0"/>
        <w:rPr>
          <w:rFonts w:ascii="Times New Roman"/>
          <w:sz w:val="20"/>
        </w:rPr>
      </w:pPr>
    </w:p>
    <w:p w14:paraId="53F31A43">
      <w:pPr>
        <w:pStyle w:val="5"/>
        <w:ind w:left="0"/>
        <w:rPr>
          <w:rFonts w:ascii="Times New Roman"/>
          <w:sz w:val="20"/>
        </w:rPr>
      </w:pPr>
    </w:p>
    <w:p w14:paraId="1566DE08">
      <w:pPr>
        <w:pStyle w:val="5"/>
        <w:ind w:left="0"/>
        <w:rPr>
          <w:rFonts w:ascii="Times New Roman"/>
          <w:sz w:val="20"/>
        </w:rPr>
      </w:pPr>
    </w:p>
    <w:p w14:paraId="0D62CDA9">
      <w:pPr>
        <w:pStyle w:val="5"/>
        <w:ind w:left="0"/>
        <w:rPr>
          <w:rFonts w:ascii="Times New Roman"/>
          <w:sz w:val="20"/>
        </w:rPr>
      </w:pPr>
    </w:p>
    <w:p w14:paraId="75F78EAB">
      <w:pPr>
        <w:pStyle w:val="5"/>
        <w:ind w:left="0"/>
        <w:rPr>
          <w:rFonts w:ascii="Times New Roman"/>
          <w:sz w:val="20"/>
        </w:rPr>
      </w:pPr>
    </w:p>
    <w:p w14:paraId="50EED639">
      <w:pPr>
        <w:pStyle w:val="5"/>
        <w:ind w:left="0"/>
        <w:rPr>
          <w:rFonts w:ascii="Times New Roman"/>
          <w:sz w:val="20"/>
        </w:rPr>
      </w:pPr>
    </w:p>
    <w:p w14:paraId="204436FB">
      <w:pPr>
        <w:pStyle w:val="5"/>
        <w:spacing w:before="11"/>
        <w:ind w:left="0"/>
        <w:rPr>
          <w:rFonts w:ascii="Times New Roman"/>
          <w:sz w:val="22"/>
        </w:rPr>
      </w:pPr>
    </w:p>
    <w:p w14:paraId="10A8D8B2">
      <w:pPr>
        <w:pStyle w:val="11"/>
        <w:autoSpaceDE/>
        <w:autoSpaceDN/>
        <w:spacing w:before="0" w:line="560" w:lineRule="exact"/>
        <w:ind w:left="0" w:right="0"/>
        <w:rPr>
          <w:rFonts w:hint="eastAsia" w:ascii="方正小标宋_GBK" w:hAnsi="Times New Roman" w:eastAsia="方正小标宋_GBK" w:cs="Times New Roman"/>
          <w:b w:val="0"/>
          <w:bCs w:val="0"/>
          <w:color w:val="000000" w:themeColor="text1"/>
          <w:spacing w:val="0"/>
          <w:kern w:val="2"/>
          <w:sz w:val="44"/>
          <w:szCs w:val="24"/>
          <w14:textFill>
            <w14:solidFill>
              <w14:schemeClr w14:val="tx1"/>
            </w14:solidFill>
          </w14:textFill>
        </w:rPr>
      </w:pPr>
      <w:r>
        <w:rPr>
          <w:rFonts w:hint="eastAsia" w:ascii="方正小标宋_GBK" w:hAnsi="Times New Roman" w:eastAsia="方正小标宋_GBK" w:cs="Times New Roman"/>
          <w:b w:val="0"/>
          <w:bCs w:val="0"/>
          <w:color w:val="000000" w:themeColor="text1"/>
          <w:spacing w:val="0"/>
          <w:kern w:val="2"/>
          <w:sz w:val="44"/>
          <w:szCs w:val="24"/>
          <w14:textFill>
            <w14:solidFill>
              <w14:schemeClr w14:val="tx1"/>
            </w14:solidFill>
          </w14:textFill>
        </w:rPr>
        <w:t>哈密地区国民经济和社会发展第十二个</w:t>
      </w:r>
    </w:p>
    <w:p w14:paraId="4D24B7F5">
      <w:pPr>
        <w:pStyle w:val="11"/>
        <w:autoSpaceDE/>
        <w:autoSpaceDN/>
        <w:spacing w:before="0" w:line="560" w:lineRule="exact"/>
        <w:ind w:left="0" w:right="0"/>
        <w:rPr>
          <w:rFonts w:hint="eastAsia" w:ascii="方正小标宋_GBK" w:hAnsi="Times New Roman" w:eastAsia="方正小标宋_GBK" w:cs="Times New Roman"/>
          <w:b w:val="0"/>
          <w:bCs w:val="0"/>
          <w:color w:val="000000" w:themeColor="text1"/>
          <w:kern w:val="2"/>
          <w:sz w:val="44"/>
          <w:szCs w:val="24"/>
          <w14:textFill>
            <w14:solidFill>
              <w14:schemeClr w14:val="tx1"/>
            </w14:solidFill>
          </w14:textFill>
        </w:rPr>
      </w:pPr>
      <w:r>
        <w:rPr>
          <w:rFonts w:hint="eastAsia" w:ascii="方正小标宋_GBK" w:hAnsi="Times New Roman" w:eastAsia="方正小标宋_GBK" w:cs="Times New Roman"/>
          <w:b w:val="0"/>
          <w:bCs w:val="0"/>
          <w:color w:val="000000" w:themeColor="text1"/>
          <w:spacing w:val="0"/>
          <w:kern w:val="2"/>
          <w:sz w:val="44"/>
          <w:szCs w:val="24"/>
          <w14:textFill>
            <w14:solidFill>
              <w14:schemeClr w14:val="tx1"/>
            </w14:solidFill>
          </w14:textFill>
        </w:rPr>
        <w:t>五年规划纲要</w:t>
      </w:r>
    </w:p>
    <w:p w14:paraId="37FCF632">
      <w:pPr>
        <w:jc w:val="center"/>
        <w:outlineLvl w:val="9"/>
        <w:rPr>
          <w:rFonts w:hint="eastAsia" w:ascii="楷体_GB2312" w:eastAsia="楷体_GB2312"/>
          <w:sz w:val="30"/>
          <w:szCs w:val="30"/>
        </w:rPr>
      </w:pPr>
      <w:r>
        <w:rPr>
          <w:rFonts w:hint="eastAsia" w:ascii="楷体_GB2312" w:eastAsia="楷体_GB2312"/>
          <w:sz w:val="30"/>
          <w:szCs w:val="30"/>
        </w:rPr>
        <w:t>（2011</w:t>
      </w:r>
      <w:r>
        <w:rPr>
          <w:rFonts w:hint="eastAsia" w:ascii="楷体_GB2312" w:eastAsia="楷体_GB2312"/>
          <w:spacing w:val="-51"/>
          <w:sz w:val="30"/>
          <w:szCs w:val="30"/>
        </w:rPr>
        <w:t>年</w:t>
      </w:r>
      <w:r>
        <w:rPr>
          <w:rFonts w:hint="eastAsia" w:ascii="楷体_GB2312" w:eastAsia="楷体_GB2312"/>
          <w:sz w:val="30"/>
          <w:szCs w:val="30"/>
        </w:rPr>
        <w:t>8</w:t>
      </w:r>
      <w:r>
        <w:rPr>
          <w:rFonts w:hint="eastAsia" w:ascii="楷体_GB2312" w:eastAsia="楷体_GB2312"/>
          <w:spacing w:val="-51"/>
          <w:sz w:val="30"/>
          <w:szCs w:val="30"/>
        </w:rPr>
        <w:t>月</w:t>
      </w:r>
      <w:r>
        <w:rPr>
          <w:rFonts w:hint="eastAsia" w:ascii="楷体_GB2312" w:eastAsia="楷体_GB2312"/>
          <w:sz w:val="30"/>
          <w:szCs w:val="30"/>
        </w:rPr>
        <w:t>11</w:t>
      </w:r>
      <w:r>
        <w:rPr>
          <w:rFonts w:hint="eastAsia" w:ascii="楷体_GB2312" w:eastAsia="楷体_GB2312"/>
          <w:spacing w:val="-9"/>
          <w:sz w:val="30"/>
          <w:szCs w:val="30"/>
        </w:rPr>
        <w:t>日哈密地区人大工委第二次会议通过</w:t>
      </w:r>
      <w:r>
        <w:rPr>
          <w:rFonts w:hint="eastAsia" w:ascii="楷体_GB2312" w:eastAsia="楷体_GB2312"/>
          <w:spacing w:val="-10"/>
          <w:sz w:val="30"/>
          <w:szCs w:val="30"/>
        </w:rPr>
        <w:t>）</w:t>
      </w:r>
    </w:p>
    <w:p w14:paraId="6A752514">
      <w:pPr>
        <w:pStyle w:val="5"/>
        <w:ind w:left="0"/>
        <w:rPr>
          <w:rFonts w:ascii="楷体_GB2312"/>
          <w:sz w:val="30"/>
        </w:rPr>
      </w:pPr>
    </w:p>
    <w:p w14:paraId="374A2897">
      <w:pPr>
        <w:pStyle w:val="5"/>
        <w:ind w:left="0"/>
        <w:rPr>
          <w:rFonts w:ascii="楷体_GB2312"/>
          <w:sz w:val="30"/>
        </w:rPr>
      </w:pPr>
    </w:p>
    <w:p w14:paraId="261173F4">
      <w:pPr>
        <w:pStyle w:val="5"/>
        <w:ind w:left="0"/>
        <w:rPr>
          <w:rFonts w:ascii="楷体_GB2312"/>
          <w:sz w:val="30"/>
        </w:rPr>
      </w:pPr>
    </w:p>
    <w:p w14:paraId="2CFE0AE3">
      <w:pPr>
        <w:pStyle w:val="5"/>
        <w:ind w:left="0"/>
        <w:rPr>
          <w:rFonts w:ascii="楷体_GB2312"/>
          <w:sz w:val="30"/>
        </w:rPr>
      </w:pPr>
    </w:p>
    <w:p w14:paraId="426E7AE2">
      <w:pPr>
        <w:pStyle w:val="5"/>
        <w:ind w:left="0"/>
        <w:rPr>
          <w:rFonts w:ascii="楷体_GB2312"/>
          <w:sz w:val="30"/>
        </w:rPr>
      </w:pPr>
    </w:p>
    <w:p w14:paraId="5849F1F6">
      <w:pPr>
        <w:pStyle w:val="5"/>
        <w:ind w:left="0"/>
        <w:rPr>
          <w:rFonts w:ascii="楷体_GB2312"/>
          <w:sz w:val="30"/>
        </w:rPr>
      </w:pPr>
    </w:p>
    <w:p w14:paraId="69144487">
      <w:pPr>
        <w:pStyle w:val="5"/>
        <w:ind w:left="0"/>
        <w:rPr>
          <w:rFonts w:ascii="楷体_GB2312"/>
          <w:sz w:val="30"/>
        </w:rPr>
      </w:pPr>
    </w:p>
    <w:p w14:paraId="78C1645D">
      <w:pPr>
        <w:pStyle w:val="5"/>
        <w:ind w:left="0"/>
        <w:rPr>
          <w:rFonts w:ascii="楷体_GB2312"/>
          <w:sz w:val="30"/>
        </w:rPr>
      </w:pPr>
    </w:p>
    <w:p w14:paraId="0F62284E">
      <w:pPr>
        <w:pStyle w:val="5"/>
        <w:ind w:left="0"/>
        <w:rPr>
          <w:rFonts w:ascii="楷体_GB2312"/>
          <w:sz w:val="30"/>
        </w:rPr>
      </w:pPr>
    </w:p>
    <w:p w14:paraId="5B5B57E2">
      <w:pPr>
        <w:pStyle w:val="5"/>
        <w:ind w:left="0"/>
        <w:rPr>
          <w:rFonts w:ascii="楷体_GB2312"/>
          <w:sz w:val="30"/>
        </w:rPr>
      </w:pPr>
    </w:p>
    <w:p w14:paraId="17551B30">
      <w:pPr>
        <w:pStyle w:val="5"/>
        <w:ind w:left="0"/>
        <w:rPr>
          <w:rFonts w:ascii="楷体_GB2312"/>
          <w:sz w:val="30"/>
        </w:rPr>
      </w:pPr>
    </w:p>
    <w:p w14:paraId="4BA7C139">
      <w:pPr>
        <w:pStyle w:val="5"/>
        <w:ind w:left="0"/>
        <w:rPr>
          <w:rFonts w:ascii="楷体_GB2312"/>
          <w:sz w:val="30"/>
        </w:rPr>
      </w:pPr>
    </w:p>
    <w:p w14:paraId="2F921CCC">
      <w:pPr>
        <w:pStyle w:val="5"/>
        <w:ind w:left="0"/>
        <w:rPr>
          <w:rFonts w:ascii="楷体_GB2312"/>
          <w:sz w:val="30"/>
        </w:rPr>
      </w:pPr>
    </w:p>
    <w:p w14:paraId="2B2E82CF">
      <w:pPr>
        <w:pStyle w:val="5"/>
        <w:ind w:left="0"/>
        <w:rPr>
          <w:rFonts w:ascii="楷体_GB2312"/>
          <w:sz w:val="30"/>
        </w:rPr>
      </w:pPr>
    </w:p>
    <w:p w14:paraId="6B3497CF">
      <w:pPr>
        <w:pStyle w:val="5"/>
        <w:ind w:left="0"/>
        <w:rPr>
          <w:rFonts w:ascii="楷体_GB2312"/>
          <w:sz w:val="30"/>
        </w:rPr>
      </w:pPr>
    </w:p>
    <w:p w14:paraId="0EAAA2ED">
      <w:pPr>
        <w:pStyle w:val="5"/>
        <w:ind w:left="0"/>
        <w:rPr>
          <w:rFonts w:ascii="楷体_GB2312"/>
          <w:sz w:val="30"/>
        </w:rPr>
      </w:pPr>
    </w:p>
    <w:p w14:paraId="1B9237D3">
      <w:pPr>
        <w:pStyle w:val="5"/>
        <w:ind w:left="0"/>
        <w:rPr>
          <w:rFonts w:ascii="楷体_GB2312"/>
          <w:sz w:val="30"/>
        </w:rPr>
      </w:pPr>
    </w:p>
    <w:p w14:paraId="1DE3C78D">
      <w:pPr>
        <w:pStyle w:val="5"/>
        <w:ind w:left="0"/>
        <w:rPr>
          <w:rFonts w:ascii="楷体_GB2312"/>
          <w:sz w:val="30"/>
        </w:rPr>
      </w:pPr>
    </w:p>
    <w:p w14:paraId="69FB92D8">
      <w:pPr>
        <w:pStyle w:val="5"/>
        <w:ind w:left="0"/>
        <w:rPr>
          <w:rFonts w:ascii="楷体_GB2312"/>
          <w:sz w:val="36"/>
        </w:rPr>
      </w:pPr>
    </w:p>
    <w:p w14:paraId="0C0BB13E">
      <w:pPr>
        <w:spacing w:before="0"/>
        <w:ind w:left="1076" w:right="1298" w:firstLine="0"/>
        <w:jc w:val="center"/>
        <w:rPr>
          <w:rFonts w:hint="eastAsia" w:ascii="黑体" w:hAnsi="黑体" w:eastAsia="黑体" w:cs="黑体"/>
          <w:b/>
          <w:sz w:val="32"/>
        </w:rPr>
      </w:pPr>
      <w:r>
        <w:rPr>
          <w:rFonts w:hint="eastAsia" w:ascii="黑体" w:hAnsi="黑体" w:eastAsia="黑体" w:cs="黑体"/>
          <w:b/>
          <w:spacing w:val="-2"/>
          <w:sz w:val="32"/>
        </w:rPr>
        <w:t>哈密地区发展和改革委员</w:t>
      </w:r>
      <w:r>
        <w:rPr>
          <w:rFonts w:hint="eastAsia" w:ascii="黑体" w:hAnsi="黑体" w:eastAsia="黑体" w:cs="黑体"/>
          <w:b/>
          <w:spacing w:val="-10"/>
          <w:sz w:val="32"/>
        </w:rPr>
        <w:t>会</w:t>
      </w:r>
    </w:p>
    <w:p w14:paraId="5A25F800">
      <w:pPr>
        <w:spacing w:after="0"/>
        <w:jc w:val="center"/>
        <w:rPr>
          <w:rFonts w:hint="eastAsia" w:ascii="宋体" w:eastAsia="宋体"/>
          <w:sz w:val="32"/>
        </w:rPr>
        <w:sectPr>
          <w:footerReference r:id="rId5" w:type="even"/>
          <w:type w:val="continuous"/>
          <w:pgSz w:w="11910" w:h="16840"/>
          <w:pgMar w:top="1480" w:right="1260" w:bottom="1179" w:left="1480" w:header="0" w:footer="0" w:gutter="0"/>
          <w:pgNumType w:start="0"/>
          <w:cols w:space="720" w:num="1"/>
        </w:sectPr>
      </w:pPr>
    </w:p>
    <w:sdt>
      <w:sdtPr>
        <w:rPr>
          <w:rFonts w:ascii="宋体" w:hAnsi="宋体" w:eastAsia="宋体" w:cs="仿宋_GB2312"/>
          <w:sz w:val="21"/>
          <w:szCs w:val="22"/>
          <w:lang w:val="en-US" w:eastAsia="zh-CN" w:bidi="ar-SA"/>
        </w:rPr>
        <w:id w:val="261420970"/>
        <w15:color w:val="DBDBDB"/>
        <w:docPartObj>
          <w:docPartGallery w:val="Table of Contents"/>
          <w:docPartUnique/>
        </w:docPartObj>
      </w:sdtPr>
      <w:sdtEndPr>
        <w:rPr>
          <w:rFonts w:ascii="宋体" w:hAnsi="宋体" w:eastAsia="宋体" w:cs="仿宋_GB2312"/>
          <w:sz w:val="21"/>
          <w:szCs w:val="22"/>
          <w:lang w:val="en-US" w:eastAsia="zh-CN" w:bidi="ar-SA"/>
        </w:rPr>
      </w:sdtEndPr>
      <w:sdtContent>
        <w:p w14:paraId="321B7976">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16B0E0F2">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4B31159E">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1D1D3E93">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6F772EFB">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32C17D6A">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0D1EA94F">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4759FB7F">
          <w:pPr>
            <w:spacing w:before="0" w:beforeLines="0" w:after="0" w:afterLines="0" w:line="240" w:lineRule="auto"/>
            <w:ind w:left="0" w:leftChars="0" w:right="0" w:rightChars="0" w:firstLine="0" w:firstLineChars="0"/>
            <w:jc w:val="center"/>
            <w:rPr>
              <w:rFonts w:ascii="宋体" w:hAnsi="宋体" w:eastAsia="宋体" w:cs="仿宋_GB2312"/>
              <w:sz w:val="21"/>
              <w:szCs w:val="22"/>
              <w:lang w:val="en-US" w:eastAsia="zh-CN" w:bidi="ar-SA"/>
            </w:rPr>
          </w:pPr>
        </w:p>
        <w:p w14:paraId="202B7E92">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目录</w:t>
          </w:r>
        </w:p>
        <w:p w14:paraId="0FBB6330">
          <w:pPr>
            <w:pStyle w:val="9"/>
            <w:tabs>
              <w:tab w:val="right" w:pos="3200"/>
              <w:tab w:val="right" w:leader="dot" w:pos="9170"/>
            </w:tabs>
            <w:rPr>
              <w:sz w:val="28"/>
              <w:szCs w:val="28"/>
            </w:rPr>
          </w:pPr>
          <w:r>
            <w:rPr>
              <w:sz w:val="28"/>
              <w:szCs w:val="28"/>
            </w:rPr>
            <w:fldChar w:fldCharType="begin"/>
          </w:r>
          <w:r>
            <w:rPr>
              <w:sz w:val="28"/>
              <w:szCs w:val="28"/>
            </w:rPr>
            <w:instrText xml:space="preserve">TOC \o "1-3" \h \u </w:instrText>
          </w:r>
          <w:r>
            <w:rPr>
              <w:sz w:val="28"/>
              <w:szCs w:val="28"/>
            </w:rPr>
            <w:fldChar w:fldCharType="separate"/>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_Toc1464926285 </w:instrText>
          </w:r>
          <w:r>
            <w:rPr>
              <w:rFonts w:hint="eastAsia" w:ascii="黑体" w:hAnsi="黑体" w:eastAsia="黑体" w:cs="黑体"/>
              <w:sz w:val="28"/>
              <w:szCs w:val="28"/>
            </w:rPr>
            <w:fldChar w:fldCharType="separate"/>
          </w:r>
          <w:r>
            <w:rPr>
              <w:rFonts w:hint="eastAsia" w:ascii="黑体" w:hAnsi="黑体" w:eastAsia="黑体" w:cs="黑体"/>
              <w:sz w:val="28"/>
              <w:szCs w:val="28"/>
            </w:rPr>
            <w:t>第一</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发展基础与发展环</w:t>
          </w:r>
          <w:r>
            <w:rPr>
              <w:rFonts w:hint="eastAsia" w:ascii="黑体" w:hAnsi="黑体" w:eastAsia="黑体" w:cs="黑体"/>
              <w:spacing w:val="-10"/>
              <w:sz w:val="28"/>
              <w:szCs w:val="28"/>
            </w:rPr>
            <w:t>境</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_Toc1464926285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A9F13F9">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_Toc1929541635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第一节</w:t>
          </w:r>
          <w:r>
            <w:rPr>
              <w:rFonts w:hint="eastAsia" w:ascii="楷体_GB2312" w:hAnsi="楷体_GB2312" w:eastAsia="楷体_GB2312" w:cs="楷体_GB2312"/>
              <w:i w:val="0"/>
              <w:iCs w:val="0"/>
              <w:spacing w:val="48"/>
              <w:w w:val="150"/>
              <w:sz w:val="28"/>
              <w:szCs w:val="28"/>
            </w:rPr>
            <w:t xml:space="preserve"> </w:t>
          </w:r>
          <w:r>
            <w:rPr>
              <w:rFonts w:hint="eastAsia" w:ascii="楷体_GB2312" w:hAnsi="楷体_GB2312" w:eastAsia="楷体_GB2312" w:cs="楷体_GB2312"/>
              <w:i w:val="0"/>
              <w:iCs w:val="0"/>
              <w:sz w:val="28"/>
              <w:szCs w:val="28"/>
            </w:rPr>
            <w:t>发展基</w:t>
          </w:r>
          <w:r>
            <w:rPr>
              <w:rFonts w:hint="eastAsia" w:ascii="楷体_GB2312" w:hAnsi="楷体_GB2312" w:eastAsia="楷体_GB2312" w:cs="楷体_GB2312"/>
              <w:i w:val="0"/>
              <w:iCs w:val="0"/>
              <w:spacing w:val="-10"/>
              <w:sz w:val="28"/>
              <w:szCs w:val="28"/>
            </w:rPr>
            <w:t>础</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_Toc1929541635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EFFC3E2">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_Toc1884703997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48"/>
              <w:w w:val="150"/>
              <w:sz w:val="28"/>
              <w:szCs w:val="28"/>
            </w:rPr>
            <w:t xml:space="preserve"> </w:t>
          </w:r>
          <w:r>
            <w:rPr>
              <w:rFonts w:hint="eastAsia" w:ascii="楷体_GB2312" w:hAnsi="楷体_GB2312" w:eastAsia="楷体_GB2312" w:cs="楷体_GB2312"/>
              <w:i w:val="0"/>
              <w:iCs w:val="0"/>
              <w:sz w:val="28"/>
              <w:szCs w:val="28"/>
            </w:rPr>
            <w:t>发展环</w:t>
          </w:r>
          <w:r>
            <w:rPr>
              <w:rFonts w:hint="eastAsia" w:ascii="楷体_GB2312" w:hAnsi="楷体_GB2312" w:eastAsia="楷体_GB2312" w:cs="楷体_GB2312"/>
              <w:i w:val="0"/>
              <w:iCs w:val="0"/>
              <w:spacing w:val="-10"/>
              <w:sz w:val="28"/>
              <w:szCs w:val="28"/>
            </w:rPr>
            <w:t>境</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_Toc1884703997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A04CFAC">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_Toc334193858 </w:instrText>
          </w:r>
          <w:r>
            <w:rPr>
              <w:rFonts w:hint="eastAsia" w:ascii="黑体" w:hAnsi="黑体" w:eastAsia="黑体" w:cs="黑体"/>
              <w:sz w:val="28"/>
              <w:szCs w:val="28"/>
            </w:rPr>
            <w:fldChar w:fldCharType="separate"/>
          </w:r>
          <w:r>
            <w:rPr>
              <w:rFonts w:hint="eastAsia" w:ascii="黑体" w:hAnsi="黑体" w:eastAsia="黑体" w:cs="黑体"/>
              <w:sz w:val="28"/>
              <w:szCs w:val="28"/>
            </w:rPr>
            <w:t>第二</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指导思想和发展目</w:t>
          </w:r>
          <w:r>
            <w:rPr>
              <w:rFonts w:hint="eastAsia" w:ascii="黑体" w:hAnsi="黑体" w:eastAsia="黑体" w:cs="黑体"/>
              <w:spacing w:val="-10"/>
              <w:sz w:val="28"/>
              <w:szCs w:val="28"/>
            </w:rPr>
            <w:t>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_Toc334193858 \h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FE58586">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_Toc1182442686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第一节</w:t>
          </w:r>
          <w:r>
            <w:rPr>
              <w:rFonts w:hint="eastAsia" w:ascii="楷体_GB2312" w:hAnsi="楷体_GB2312" w:eastAsia="楷体_GB2312" w:cs="楷体_GB2312"/>
              <w:i w:val="0"/>
              <w:iCs w:val="0"/>
              <w:spacing w:val="48"/>
              <w:w w:val="150"/>
              <w:sz w:val="28"/>
              <w:szCs w:val="28"/>
            </w:rPr>
            <w:t xml:space="preserve"> </w:t>
          </w:r>
          <w:r>
            <w:rPr>
              <w:rFonts w:hint="eastAsia" w:ascii="楷体_GB2312" w:hAnsi="楷体_GB2312" w:eastAsia="楷体_GB2312" w:cs="楷体_GB2312"/>
              <w:i w:val="0"/>
              <w:iCs w:val="0"/>
              <w:sz w:val="28"/>
              <w:szCs w:val="28"/>
            </w:rPr>
            <w:t>指导思</w:t>
          </w:r>
          <w:r>
            <w:rPr>
              <w:rFonts w:hint="eastAsia" w:ascii="楷体_GB2312" w:hAnsi="楷体_GB2312" w:eastAsia="楷体_GB2312" w:cs="楷体_GB2312"/>
              <w:i w:val="0"/>
              <w:iCs w:val="0"/>
              <w:spacing w:val="-10"/>
              <w:sz w:val="28"/>
              <w:szCs w:val="28"/>
            </w:rPr>
            <w:t>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_Toc1182442686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FD0FDC9">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_Toc652572505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48"/>
              <w:w w:val="150"/>
              <w:sz w:val="28"/>
              <w:szCs w:val="28"/>
            </w:rPr>
            <w:t xml:space="preserve"> </w:t>
          </w:r>
          <w:r>
            <w:rPr>
              <w:rFonts w:hint="eastAsia" w:ascii="楷体_GB2312" w:hAnsi="楷体_GB2312" w:eastAsia="楷体_GB2312" w:cs="楷体_GB2312"/>
              <w:i w:val="0"/>
              <w:iCs w:val="0"/>
              <w:sz w:val="28"/>
              <w:szCs w:val="28"/>
            </w:rPr>
            <w:t>指导原</w:t>
          </w:r>
          <w:r>
            <w:rPr>
              <w:rFonts w:hint="eastAsia" w:ascii="楷体_GB2312" w:hAnsi="楷体_GB2312" w:eastAsia="楷体_GB2312" w:cs="楷体_GB2312"/>
              <w:i w:val="0"/>
              <w:iCs w:val="0"/>
              <w:spacing w:val="-10"/>
              <w:sz w:val="28"/>
              <w:szCs w:val="28"/>
            </w:rPr>
            <w:t>则</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_Toc652572505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9E3BEF2">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_Toc1782109628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第三节</w:t>
          </w:r>
          <w:r>
            <w:rPr>
              <w:rFonts w:hint="eastAsia" w:ascii="楷体_GB2312" w:hAnsi="楷体_GB2312" w:eastAsia="楷体_GB2312" w:cs="楷体_GB2312"/>
              <w:i w:val="0"/>
              <w:iCs w:val="0"/>
              <w:spacing w:val="48"/>
              <w:w w:val="150"/>
              <w:sz w:val="28"/>
              <w:szCs w:val="28"/>
            </w:rPr>
            <w:t xml:space="preserve"> </w:t>
          </w:r>
          <w:r>
            <w:rPr>
              <w:rFonts w:hint="eastAsia" w:ascii="楷体_GB2312" w:hAnsi="楷体_GB2312" w:eastAsia="楷体_GB2312" w:cs="楷体_GB2312"/>
              <w:i w:val="0"/>
              <w:iCs w:val="0"/>
              <w:sz w:val="28"/>
              <w:szCs w:val="28"/>
            </w:rPr>
            <w:t>发展目</w:t>
          </w:r>
          <w:r>
            <w:rPr>
              <w:rFonts w:hint="eastAsia" w:ascii="楷体_GB2312" w:hAnsi="楷体_GB2312" w:eastAsia="楷体_GB2312" w:cs="楷体_GB2312"/>
              <w:i w:val="0"/>
              <w:iCs w:val="0"/>
              <w:spacing w:val="-10"/>
              <w:sz w:val="28"/>
              <w:szCs w:val="28"/>
            </w:rPr>
            <w:t>标</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_Toc1782109628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599533D">
          <w:pPr>
            <w:pStyle w:val="9"/>
            <w:tabs>
              <w:tab w:val="right" w:pos="3200"/>
              <w:tab w:val="right" w:leader="dot" w:pos="9170"/>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_Toc1189667027 </w:instrText>
          </w:r>
          <w:r>
            <w:rPr>
              <w:rFonts w:hint="eastAsia" w:ascii="黑体" w:hAnsi="黑体" w:eastAsia="黑体" w:cs="黑体"/>
              <w:sz w:val="28"/>
              <w:szCs w:val="28"/>
            </w:rPr>
            <w:fldChar w:fldCharType="separate"/>
          </w:r>
          <w:r>
            <w:rPr>
              <w:rFonts w:hint="eastAsia" w:ascii="黑体" w:hAnsi="黑体" w:eastAsia="黑体" w:cs="黑体"/>
              <w:sz w:val="28"/>
              <w:szCs w:val="28"/>
            </w:rPr>
            <w:t>第三</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优化经济发展格局，推进产业协调发</w:t>
          </w:r>
          <w:r>
            <w:rPr>
              <w:rFonts w:hint="eastAsia" w:ascii="黑体" w:hAnsi="黑体" w:eastAsia="黑体" w:cs="黑体"/>
              <w:spacing w:val="-10"/>
              <w:sz w:val="28"/>
              <w:szCs w:val="28"/>
            </w:rPr>
            <w:t>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_Toc1189667027 \h </w:instrText>
          </w:r>
          <w:r>
            <w:rPr>
              <w:rFonts w:hint="eastAsia" w:ascii="黑体" w:hAnsi="黑体" w:eastAsia="黑体" w:cs="黑体"/>
              <w:sz w:val="28"/>
              <w:szCs w:val="28"/>
            </w:rPr>
            <w:fldChar w:fldCharType="separate"/>
          </w:r>
          <w:r>
            <w:rPr>
              <w:rFonts w:hint="eastAsia" w:ascii="黑体" w:hAnsi="黑体" w:eastAsia="黑体" w:cs="黑体"/>
              <w:sz w:val="28"/>
              <w:szCs w:val="28"/>
            </w:rPr>
            <w:t>11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AB24172">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_Toc1902850378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4"/>
              <w:sz w:val="28"/>
              <w:szCs w:val="28"/>
            </w:rPr>
            <w:t>节 强</w:t>
          </w:r>
          <w:r>
            <w:rPr>
              <w:rFonts w:hint="eastAsia" w:ascii="楷体_GB2312" w:hAnsi="楷体_GB2312" w:eastAsia="楷体_GB2312" w:cs="楷体_GB2312"/>
              <w:i w:val="0"/>
              <w:iCs w:val="0"/>
              <w:sz w:val="28"/>
              <w:szCs w:val="28"/>
            </w:rPr>
            <w:t>化园区分工协作，加快产业集约集</w:t>
          </w:r>
          <w:r>
            <w:rPr>
              <w:rFonts w:hint="eastAsia" w:ascii="楷体_GB2312" w:hAnsi="楷体_GB2312" w:eastAsia="楷体_GB2312" w:cs="楷体_GB2312"/>
              <w:i w:val="0"/>
              <w:iCs w:val="0"/>
              <w:spacing w:val="-10"/>
              <w:sz w:val="28"/>
              <w:szCs w:val="28"/>
            </w:rPr>
            <w:t>聚</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_Toc1902850378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3B205A4">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_Toc683210923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19"/>
              <w:sz w:val="28"/>
              <w:szCs w:val="28"/>
            </w:rPr>
            <w:t>节 优</w:t>
          </w:r>
          <w:r>
            <w:rPr>
              <w:rFonts w:hint="eastAsia" w:ascii="楷体_GB2312" w:hAnsi="楷体_GB2312" w:eastAsia="楷体_GB2312" w:cs="楷体_GB2312"/>
              <w:i w:val="0"/>
              <w:iCs w:val="0"/>
              <w:sz w:val="28"/>
              <w:szCs w:val="28"/>
            </w:rPr>
            <w:t>化物流和旅游产业布局，提升区域集散辐射</w:t>
          </w:r>
          <w:r>
            <w:rPr>
              <w:rFonts w:hint="eastAsia" w:ascii="楷体_GB2312" w:hAnsi="楷体_GB2312" w:eastAsia="楷体_GB2312" w:cs="楷体_GB2312"/>
              <w:i w:val="0"/>
              <w:iCs w:val="0"/>
              <w:spacing w:val="-5"/>
              <w:sz w:val="28"/>
              <w:szCs w:val="28"/>
            </w:rPr>
            <w:t>功能</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_Toc683210923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9F42474">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_Toc1136206434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1"/>
              <w:sz w:val="28"/>
              <w:szCs w:val="28"/>
            </w:rPr>
            <w:t>节 优</w:t>
          </w:r>
          <w:r>
            <w:rPr>
              <w:rFonts w:hint="eastAsia" w:ascii="楷体_GB2312" w:hAnsi="楷体_GB2312" w:eastAsia="楷体_GB2312" w:cs="楷体_GB2312"/>
              <w:i w:val="0"/>
              <w:iCs w:val="0"/>
              <w:sz w:val="28"/>
              <w:szCs w:val="28"/>
            </w:rPr>
            <w:t>化“南园北牧”格局，促进农牧业协调发</w:t>
          </w:r>
          <w:r>
            <w:rPr>
              <w:rFonts w:hint="eastAsia" w:ascii="楷体_GB2312" w:hAnsi="楷体_GB2312" w:eastAsia="楷体_GB2312" w:cs="楷体_GB2312"/>
              <w:i w:val="0"/>
              <w:iCs w:val="0"/>
              <w:spacing w:val="-10"/>
              <w:sz w:val="28"/>
              <w:szCs w:val="28"/>
            </w:rPr>
            <w:t>展</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_Toc1136206434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8A3E8A1">
          <w:pPr>
            <w:pStyle w:val="9"/>
            <w:tabs>
              <w:tab w:val="right" w:pos="3200"/>
              <w:tab w:val="right" w:leader="dot" w:pos="9170"/>
            </w:tabs>
            <w:ind w:left="0" w:leftChars="0" w:firstLine="439" w:firstLineChars="157"/>
            <w:rPr>
              <w:rFonts w:hint="eastAsia" w:ascii="楷体_GB2312" w:hAnsi="楷体_GB2312" w:eastAsia="楷体_GB2312" w:cs="楷体_GB2312"/>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_Toc114624420 </w:instrText>
          </w:r>
          <w:r>
            <w:rPr>
              <w:rFonts w:hint="eastAsia" w:ascii="黑体" w:hAnsi="黑体" w:eastAsia="黑体" w:cs="黑体"/>
              <w:sz w:val="28"/>
              <w:szCs w:val="28"/>
            </w:rPr>
            <w:fldChar w:fldCharType="separate"/>
          </w:r>
          <w:r>
            <w:rPr>
              <w:rFonts w:hint="eastAsia" w:ascii="黑体" w:hAnsi="黑体" w:eastAsia="黑体" w:cs="黑体"/>
              <w:sz w:val="28"/>
              <w:szCs w:val="28"/>
            </w:rPr>
            <w:t>第四</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推进新型工业化进程，构建现代产业体</w:t>
          </w:r>
          <w:r>
            <w:rPr>
              <w:rFonts w:hint="eastAsia" w:ascii="黑体" w:hAnsi="黑体" w:eastAsia="黑体" w:cs="黑体"/>
              <w:spacing w:val="-10"/>
              <w:sz w:val="28"/>
              <w:szCs w:val="28"/>
            </w:rPr>
            <w:t>系</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_Toc114624420 \h </w:instrText>
          </w:r>
          <w:r>
            <w:rPr>
              <w:rFonts w:hint="eastAsia" w:ascii="黑体" w:hAnsi="黑体" w:eastAsia="黑体" w:cs="黑体"/>
              <w:sz w:val="28"/>
              <w:szCs w:val="28"/>
            </w:rPr>
            <w:fldChar w:fldCharType="separate"/>
          </w:r>
          <w:r>
            <w:rPr>
              <w:rFonts w:hint="eastAsia" w:ascii="黑体" w:hAnsi="黑体" w:eastAsia="黑体" w:cs="黑体"/>
              <w:sz w:val="28"/>
              <w:szCs w:val="28"/>
            </w:rPr>
            <w:t>17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03CF576">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_Toc638656115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18"/>
              <w:sz w:val="28"/>
              <w:szCs w:val="28"/>
            </w:rPr>
            <w:t>节 重</w:t>
          </w:r>
          <w:r>
            <w:rPr>
              <w:rFonts w:hint="eastAsia" w:ascii="楷体_GB2312" w:hAnsi="楷体_GB2312" w:eastAsia="楷体_GB2312" w:cs="楷体_GB2312"/>
              <w:i w:val="0"/>
              <w:iCs w:val="0"/>
              <w:sz w:val="28"/>
              <w:szCs w:val="28"/>
            </w:rPr>
            <w:t>点发展能源产业，建设国家级新型综合能源基</w:t>
          </w:r>
          <w:r>
            <w:rPr>
              <w:rFonts w:hint="eastAsia" w:ascii="楷体_GB2312" w:hAnsi="楷体_GB2312" w:eastAsia="楷体_GB2312" w:cs="楷体_GB2312"/>
              <w:i w:val="0"/>
              <w:iCs w:val="0"/>
              <w:spacing w:val="-10"/>
              <w:sz w:val="28"/>
              <w:szCs w:val="28"/>
            </w:rPr>
            <w:t>地</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_Toc638656115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1FC3C9E">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_Toc1346260067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16"/>
              <w:sz w:val="28"/>
              <w:szCs w:val="28"/>
            </w:rPr>
            <w:t>节 大</w:t>
          </w:r>
          <w:r>
            <w:rPr>
              <w:rFonts w:hint="eastAsia" w:ascii="楷体_GB2312" w:hAnsi="楷体_GB2312" w:eastAsia="楷体_GB2312" w:cs="楷体_GB2312"/>
              <w:i w:val="0"/>
              <w:iCs w:val="0"/>
              <w:sz w:val="28"/>
              <w:szCs w:val="28"/>
            </w:rPr>
            <w:t>力发展煤电冶材工业，建设新疆重要的煤电冶材基</w:t>
          </w:r>
          <w:r>
            <w:rPr>
              <w:rFonts w:hint="eastAsia" w:ascii="楷体_GB2312" w:hAnsi="楷体_GB2312" w:eastAsia="楷体_GB2312" w:cs="楷体_GB2312"/>
              <w:i w:val="0"/>
              <w:iCs w:val="0"/>
              <w:spacing w:val="-10"/>
              <w:sz w:val="28"/>
              <w:szCs w:val="28"/>
            </w:rPr>
            <w:t>地</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_Toc1346260067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F74B4E6">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_Toc146805407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19"/>
              <w:sz w:val="28"/>
              <w:szCs w:val="28"/>
            </w:rPr>
            <w:t>节 优</w:t>
          </w:r>
          <w:r>
            <w:rPr>
              <w:rFonts w:hint="eastAsia" w:ascii="楷体_GB2312" w:hAnsi="楷体_GB2312" w:eastAsia="楷体_GB2312" w:cs="楷体_GB2312"/>
              <w:i w:val="0"/>
              <w:iCs w:val="0"/>
              <w:sz w:val="28"/>
              <w:szCs w:val="28"/>
            </w:rPr>
            <w:t>先发展先进装备制造和高新技术产业，建设</w:t>
          </w:r>
          <w:r>
            <w:rPr>
              <w:rFonts w:hint="eastAsia" w:ascii="楷体_GB2312" w:hAnsi="楷体_GB2312" w:eastAsia="楷体_GB2312" w:cs="楷体_GB2312"/>
              <w:i w:val="0"/>
              <w:iCs w:val="0"/>
              <w:spacing w:val="-5"/>
              <w:sz w:val="28"/>
              <w:szCs w:val="28"/>
            </w:rPr>
            <w:t>新疆</w:t>
          </w:r>
          <w:r>
            <w:rPr>
              <w:rFonts w:hint="eastAsia" w:ascii="楷体_GB2312" w:hAnsi="楷体_GB2312" w:eastAsia="楷体_GB2312" w:cs="楷体_GB2312"/>
              <w:i w:val="0"/>
              <w:iCs w:val="0"/>
              <w:spacing w:val="-5"/>
              <w:sz w:val="28"/>
              <w:szCs w:val="28"/>
              <w:lang w:eastAsia="zh-CN"/>
            </w:rPr>
            <w:t>新型制造业基地</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_Toc146805407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808A312">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_Toc1022115681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21"/>
              <w:sz w:val="28"/>
              <w:szCs w:val="28"/>
            </w:rPr>
            <w:t>节 加</w:t>
          </w:r>
          <w:r>
            <w:rPr>
              <w:rFonts w:hint="eastAsia" w:ascii="楷体_GB2312" w:hAnsi="楷体_GB2312" w:eastAsia="楷体_GB2312" w:cs="楷体_GB2312"/>
              <w:i w:val="0"/>
              <w:iCs w:val="0"/>
              <w:sz w:val="28"/>
              <w:szCs w:val="28"/>
            </w:rPr>
            <w:t>快发展特色农产品和食品加工业，建设新</w:t>
          </w:r>
          <w:r>
            <w:rPr>
              <w:rFonts w:hint="eastAsia" w:ascii="楷体_GB2312" w:hAnsi="楷体_GB2312" w:eastAsia="楷体_GB2312" w:cs="楷体_GB2312"/>
              <w:i w:val="0"/>
              <w:iCs w:val="0"/>
              <w:spacing w:val="-10"/>
              <w:sz w:val="28"/>
              <w:szCs w:val="28"/>
            </w:rPr>
            <w:t>疆</w:t>
          </w:r>
          <w:r>
            <w:rPr>
              <w:rFonts w:hint="eastAsia" w:ascii="楷体_GB2312" w:hAnsi="楷体_GB2312" w:eastAsia="楷体_GB2312" w:cs="楷体_GB2312"/>
              <w:i w:val="0"/>
              <w:iCs w:val="0"/>
              <w:spacing w:val="-10"/>
              <w:sz w:val="28"/>
              <w:szCs w:val="28"/>
              <w:lang w:eastAsia="zh-CN"/>
            </w:rPr>
            <w:t>绿色食品生产示范区</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_Toc1022115681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7077B02">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_Toc1050053467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w:t>
          </w:r>
          <w:r>
            <w:rPr>
              <w:rFonts w:hint="eastAsia" w:ascii="楷体_GB2312" w:hAnsi="楷体_GB2312" w:eastAsia="楷体_GB2312" w:cs="楷体_GB2312"/>
              <w:i w:val="0"/>
              <w:iCs w:val="0"/>
              <w:sz w:val="28"/>
              <w:szCs w:val="28"/>
              <w:lang w:eastAsia="zh-CN"/>
            </w:rPr>
            <w:t>五</w:t>
          </w:r>
          <w:r>
            <w:rPr>
              <w:rFonts w:hint="eastAsia" w:ascii="楷体_GB2312" w:hAnsi="楷体_GB2312" w:eastAsia="楷体_GB2312" w:cs="楷体_GB2312"/>
              <w:i w:val="0"/>
              <w:iCs w:val="0"/>
              <w:spacing w:val="17"/>
              <w:sz w:val="28"/>
              <w:szCs w:val="28"/>
            </w:rPr>
            <w:t>节 努</w:t>
          </w:r>
          <w:r>
            <w:rPr>
              <w:rFonts w:hint="eastAsia" w:ascii="楷体_GB2312" w:hAnsi="楷体_GB2312" w:eastAsia="楷体_GB2312" w:cs="楷体_GB2312"/>
              <w:i w:val="0"/>
              <w:iCs w:val="0"/>
              <w:sz w:val="28"/>
              <w:szCs w:val="28"/>
            </w:rPr>
            <w:t>力发展石油、天然气工业，建设吐哈油田后备接替</w:t>
          </w:r>
          <w:r>
            <w:rPr>
              <w:rFonts w:hint="eastAsia" w:ascii="楷体_GB2312" w:hAnsi="楷体_GB2312" w:eastAsia="楷体_GB2312" w:cs="楷体_GB2312"/>
              <w:i w:val="0"/>
              <w:iCs w:val="0"/>
              <w:spacing w:val="-10"/>
              <w:sz w:val="28"/>
              <w:szCs w:val="28"/>
            </w:rPr>
            <w:t>区</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_Toc1050053467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C229995">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_Toc778126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第六</w:t>
          </w:r>
          <w:r>
            <w:rPr>
              <w:rFonts w:hint="eastAsia" w:ascii="楷体_GB2312" w:hAnsi="楷体_GB2312" w:eastAsia="楷体_GB2312" w:cs="楷体_GB2312"/>
              <w:i w:val="0"/>
              <w:iCs w:val="0"/>
              <w:spacing w:val="24"/>
              <w:sz w:val="28"/>
              <w:szCs w:val="28"/>
            </w:rPr>
            <w:t>节 提</w:t>
          </w:r>
          <w:r>
            <w:rPr>
              <w:rFonts w:hint="eastAsia" w:ascii="楷体_GB2312" w:hAnsi="楷体_GB2312" w:eastAsia="楷体_GB2312" w:cs="楷体_GB2312"/>
              <w:i w:val="0"/>
              <w:iCs w:val="0"/>
              <w:sz w:val="28"/>
              <w:szCs w:val="28"/>
            </w:rPr>
            <w:t>升发展建材工业，满足地区建设需</w:t>
          </w:r>
          <w:r>
            <w:rPr>
              <w:rFonts w:hint="eastAsia" w:ascii="楷体_GB2312" w:hAnsi="楷体_GB2312" w:eastAsia="楷体_GB2312" w:cs="楷体_GB2312"/>
              <w:i w:val="0"/>
              <w:iCs w:val="0"/>
              <w:spacing w:val="-10"/>
              <w:sz w:val="28"/>
              <w:szCs w:val="28"/>
            </w:rPr>
            <w:t>求</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_Toc778126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5DFB979">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_Toc19273872 </w:instrText>
          </w:r>
          <w:r>
            <w:rPr>
              <w:rFonts w:hint="eastAsia" w:ascii="黑体" w:hAnsi="黑体" w:eastAsia="黑体" w:cs="黑体"/>
              <w:sz w:val="28"/>
              <w:szCs w:val="28"/>
            </w:rPr>
            <w:fldChar w:fldCharType="separate"/>
          </w:r>
          <w:r>
            <w:rPr>
              <w:rFonts w:hint="eastAsia" w:ascii="黑体" w:hAnsi="黑体" w:eastAsia="黑体" w:cs="黑体"/>
              <w:sz w:val="28"/>
              <w:szCs w:val="28"/>
            </w:rPr>
            <w:t>第五</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突出发展物流业和旅游业，提升现代服务业水</w:t>
          </w:r>
          <w:r>
            <w:rPr>
              <w:rFonts w:hint="eastAsia" w:ascii="黑体" w:hAnsi="黑体" w:eastAsia="黑体" w:cs="黑体"/>
              <w:spacing w:val="-10"/>
              <w:sz w:val="28"/>
              <w:szCs w:val="28"/>
            </w:rPr>
            <w:t>平</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_Toc19273872 \h </w:instrText>
          </w:r>
          <w:r>
            <w:rPr>
              <w:rFonts w:hint="eastAsia" w:ascii="黑体" w:hAnsi="黑体" w:eastAsia="黑体" w:cs="黑体"/>
              <w:sz w:val="28"/>
              <w:szCs w:val="28"/>
            </w:rPr>
            <w:fldChar w:fldCharType="separate"/>
          </w:r>
          <w:r>
            <w:rPr>
              <w:rFonts w:hint="eastAsia" w:ascii="黑体" w:hAnsi="黑体" w:eastAsia="黑体" w:cs="黑体"/>
              <w:sz w:val="28"/>
              <w:szCs w:val="28"/>
            </w:rPr>
            <w:t>25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B5F940A">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_Toc1168234052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3"/>
              <w:sz w:val="28"/>
              <w:szCs w:val="28"/>
            </w:rPr>
            <w:t>节 重</w:t>
          </w:r>
          <w:r>
            <w:rPr>
              <w:rFonts w:hint="eastAsia" w:ascii="楷体_GB2312" w:hAnsi="楷体_GB2312" w:eastAsia="楷体_GB2312" w:cs="楷体_GB2312"/>
              <w:i w:val="0"/>
              <w:iCs w:val="0"/>
              <w:sz w:val="28"/>
              <w:szCs w:val="28"/>
            </w:rPr>
            <w:t>点发展现代物流业，建设西北物流枢</w:t>
          </w:r>
          <w:r>
            <w:rPr>
              <w:rFonts w:hint="eastAsia" w:ascii="楷体_GB2312" w:hAnsi="楷体_GB2312" w:eastAsia="楷体_GB2312" w:cs="楷体_GB2312"/>
              <w:i w:val="0"/>
              <w:iCs w:val="0"/>
              <w:spacing w:val="-10"/>
              <w:sz w:val="28"/>
              <w:szCs w:val="28"/>
            </w:rPr>
            <w:t>纽</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_Toc1168234052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1D513E7">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_Toc1858497103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3"/>
              <w:sz w:val="28"/>
              <w:szCs w:val="28"/>
            </w:rPr>
            <w:t>节 突</w:t>
          </w:r>
          <w:r>
            <w:rPr>
              <w:rFonts w:hint="eastAsia" w:ascii="楷体_GB2312" w:hAnsi="楷体_GB2312" w:eastAsia="楷体_GB2312" w:cs="楷体_GB2312"/>
              <w:i w:val="0"/>
              <w:iCs w:val="0"/>
              <w:sz w:val="28"/>
              <w:szCs w:val="28"/>
            </w:rPr>
            <w:t>出发展现代旅游业，建设丝路旅游节</w:t>
          </w:r>
          <w:r>
            <w:rPr>
              <w:rFonts w:hint="eastAsia" w:ascii="楷体_GB2312" w:hAnsi="楷体_GB2312" w:eastAsia="楷体_GB2312" w:cs="楷体_GB2312"/>
              <w:i w:val="0"/>
              <w:iCs w:val="0"/>
              <w:spacing w:val="-10"/>
              <w:sz w:val="28"/>
              <w:szCs w:val="28"/>
            </w:rPr>
            <w:t>点</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_Toc1858497103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408E7D8">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_Toc1855363186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4"/>
              <w:sz w:val="28"/>
              <w:szCs w:val="28"/>
            </w:rPr>
            <w:t>节 积</w:t>
          </w:r>
          <w:r>
            <w:rPr>
              <w:rFonts w:hint="eastAsia" w:ascii="楷体_GB2312" w:hAnsi="楷体_GB2312" w:eastAsia="楷体_GB2312" w:cs="楷体_GB2312"/>
              <w:i w:val="0"/>
              <w:iCs w:val="0"/>
              <w:sz w:val="28"/>
              <w:szCs w:val="28"/>
            </w:rPr>
            <w:t>极培育文化产业，全力建设文化哈</w:t>
          </w:r>
          <w:r>
            <w:rPr>
              <w:rFonts w:hint="eastAsia" w:ascii="楷体_GB2312" w:hAnsi="楷体_GB2312" w:eastAsia="楷体_GB2312" w:cs="楷体_GB2312"/>
              <w:i w:val="0"/>
              <w:iCs w:val="0"/>
              <w:spacing w:val="-10"/>
              <w:sz w:val="28"/>
              <w:szCs w:val="28"/>
            </w:rPr>
            <w:t>密</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_Toc1855363186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13557F7">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_Toc1566700410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21"/>
              <w:sz w:val="28"/>
              <w:szCs w:val="28"/>
            </w:rPr>
            <w:t>节 大</w:t>
          </w:r>
          <w:r>
            <w:rPr>
              <w:rFonts w:hint="eastAsia" w:ascii="楷体_GB2312" w:hAnsi="楷体_GB2312" w:eastAsia="楷体_GB2312" w:cs="楷体_GB2312"/>
              <w:i w:val="0"/>
              <w:iCs w:val="0"/>
              <w:sz w:val="28"/>
              <w:szCs w:val="28"/>
            </w:rPr>
            <w:t>力发展保障性住房，严格规范房地产发</w:t>
          </w:r>
          <w:r>
            <w:rPr>
              <w:rFonts w:hint="eastAsia" w:ascii="楷体_GB2312" w:hAnsi="楷体_GB2312" w:eastAsia="楷体_GB2312" w:cs="楷体_GB2312"/>
              <w:i w:val="0"/>
              <w:iCs w:val="0"/>
              <w:spacing w:val="-10"/>
              <w:sz w:val="28"/>
              <w:szCs w:val="28"/>
            </w:rPr>
            <w:t>展</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_Toc1566700410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8C1C006">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_Toc1987418632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w:t>
          </w:r>
          <w:r>
            <w:rPr>
              <w:rFonts w:hint="eastAsia" w:ascii="楷体_GB2312" w:hAnsi="楷体_GB2312" w:eastAsia="楷体_GB2312" w:cs="楷体_GB2312"/>
              <w:i w:val="0"/>
              <w:iCs w:val="0"/>
              <w:sz w:val="28"/>
              <w:szCs w:val="28"/>
              <w:lang w:eastAsia="zh-CN"/>
            </w:rPr>
            <w:t>五</w:t>
          </w:r>
          <w:r>
            <w:rPr>
              <w:rFonts w:hint="eastAsia" w:ascii="楷体_GB2312" w:hAnsi="楷体_GB2312" w:eastAsia="楷体_GB2312" w:cs="楷体_GB2312"/>
              <w:i w:val="0"/>
              <w:iCs w:val="0"/>
              <w:spacing w:val="24"/>
              <w:sz w:val="28"/>
              <w:szCs w:val="28"/>
            </w:rPr>
            <w:t>节 完</w:t>
          </w:r>
          <w:r>
            <w:rPr>
              <w:rFonts w:hint="eastAsia" w:ascii="楷体_GB2312" w:hAnsi="楷体_GB2312" w:eastAsia="楷体_GB2312" w:cs="楷体_GB2312"/>
              <w:i w:val="0"/>
              <w:iCs w:val="0"/>
              <w:sz w:val="28"/>
              <w:szCs w:val="28"/>
            </w:rPr>
            <w:t>善现代服务体系，提高服务业综合水</w:t>
          </w:r>
          <w:r>
            <w:rPr>
              <w:rFonts w:hint="eastAsia" w:ascii="楷体_GB2312" w:hAnsi="楷体_GB2312" w:eastAsia="楷体_GB2312" w:cs="楷体_GB2312"/>
              <w:i w:val="0"/>
              <w:iCs w:val="0"/>
              <w:spacing w:val="-10"/>
              <w:sz w:val="28"/>
              <w:szCs w:val="28"/>
            </w:rPr>
            <w:t>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_Toc1987418632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AF05E7E">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_Toc1211569343 </w:instrText>
          </w:r>
          <w:r>
            <w:rPr>
              <w:rFonts w:hint="eastAsia" w:ascii="黑体" w:hAnsi="黑体" w:eastAsia="黑体" w:cs="黑体"/>
              <w:sz w:val="28"/>
              <w:szCs w:val="28"/>
            </w:rPr>
            <w:fldChar w:fldCharType="separate"/>
          </w:r>
          <w:r>
            <w:rPr>
              <w:rFonts w:hint="eastAsia" w:ascii="黑体" w:hAnsi="黑体" w:eastAsia="黑体" w:cs="黑体"/>
              <w:sz w:val="28"/>
              <w:szCs w:val="28"/>
            </w:rPr>
            <w:t>第六</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推进新型城镇化进程，促进城乡统筹发</w:t>
          </w:r>
          <w:r>
            <w:rPr>
              <w:rFonts w:hint="eastAsia" w:ascii="黑体" w:hAnsi="黑体" w:eastAsia="黑体" w:cs="黑体"/>
              <w:spacing w:val="-10"/>
              <w:sz w:val="28"/>
              <w:szCs w:val="28"/>
            </w:rPr>
            <w:t>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_Toc1211569343 \h </w:instrText>
          </w:r>
          <w:r>
            <w:rPr>
              <w:rFonts w:hint="eastAsia" w:ascii="黑体" w:hAnsi="黑体" w:eastAsia="黑体" w:cs="黑体"/>
              <w:sz w:val="28"/>
              <w:szCs w:val="28"/>
            </w:rPr>
            <w:fldChar w:fldCharType="separate"/>
          </w:r>
          <w:r>
            <w:rPr>
              <w:rFonts w:hint="eastAsia" w:ascii="黑体" w:hAnsi="黑体" w:eastAsia="黑体" w:cs="黑体"/>
              <w:sz w:val="28"/>
              <w:szCs w:val="28"/>
            </w:rPr>
            <w:t>31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B1F8BD4">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_Toc785988147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6"/>
              <w:sz w:val="28"/>
              <w:szCs w:val="28"/>
            </w:rPr>
            <w:t>节 加</w:t>
          </w:r>
          <w:r>
            <w:rPr>
              <w:rFonts w:hint="eastAsia" w:ascii="楷体_GB2312" w:hAnsi="楷体_GB2312" w:eastAsia="楷体_GB2312" w:cs="楷体_GB2312"/>
              <w:i w:val="0"/>
              <w:iCs w:val="0"/>
              <w:sz w:val="28"/>
              <w:szCs w:val="28"/>
            </w:rPr>
            <w:t>快城镇化进程，构建合理城镇体</w:t>
          </w:r>
          <w:r>
            <w:rPr>
              <w:rFonts w:hint="eastAsia" w:ascii="楷体_GB2312" w:hAnsi="楷体_GB2312" w:eastAsia="楷体_GB2312" w:cs="楷体_GB2312"/>
              <w:i w:val="0"/>
              <w:iCs w:val="0"/>
              <w:spacing w:val="-10"/>
              <w:sz w:val="28"/>
              <w:szCs w:val="28"/>
            </w:rPr>
            <w:t>系</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_Toc785988147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0387F64">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_Toc2100271934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4"/>
              <w:sz w:val="28"/>
              <w:szCs w:val="28"/>
            </w:rPr>
            <w:t>节 强</w:t>
          </w:r>
          <w:r>
            <w:rPr>
              <w:rFonts w:hint="eastAsia" w:ascii="楷体_GB2312" w:hAnsi="楷体_GB2312" w:eastAsia="楷体_GB2312" w:cs="楷体_GB2312"/>
              <w:i w:val="0"/>
              <w:iCs w:val="0"/>
              <w:sz w:val="28"/>
              <w:szCs w:val="28"/>
            </w:rPr>
            <w:t>化中心城市功能，发挥集聚扩散作</w:t>
          </w:r>
          <w:r>
            <w:rPr>
              <w:rFonts w:hint="eastAsia" w:ascii="楷体_GB2312" w:hAnsi="楷体_GB2312" w:eastAsia="楷体_GB2312" w:cs="楷体_GB2312"/>
              <w:i w:val="0"/>
              <w:iCs w:val="0"/>
              <w:spacing w:val="-10"/>
              <w:sz w:val="28"/>
              <w:szCs w:val="28"/>
            </w:rPr>
            <w:t>用</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_Toc2100271934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F769F23">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_Toc1661460850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3"/>
              <w:sz w:val="28"/>
              <w:szCs w:val="28"/>
            </w:rPr>
            <w:t>节 加</w:t>
          </w:r>
          <w:r>
            <w:rPr>
              <w:rFonts w:hint="eastAsia" w:ascii="楷体_GB2312" w:hAnsi="楷体_GB2312" w:eastAsia="楷体_GB2312" w:cs="楷体_GB2312"/>
              <w:i w:val="0"/>
              <w:iCs w:val="0"/>
              <w:sz w:val="28"/>
              <w:szCs w:val="28"/>
            </w:rPr>
            <w:t>快特色小城镇建设，增强辐射带动作</w:t>
          </w:r>
          <w:r>
            <w:rPr>
              <w:rFonts w:hint="eastAsia" w:ascii="楷体_GB2312" w:hAnsi="楷体_GB2312" w:eastAsia="楷体_GB2312" w:cs="楷体_GB2312"/>
              <w:i w:val="0"/>
              <w:iCs w:val="0"/>
              <w:spacing w:val="-10"/>
              <w:sz w:val="28"/>
              <w:szCs w:val="28"/>
            </w:rPr>
            <w:t>用</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_Toc1661460850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4F50167">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_Toc1364160337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24"/>
              <w:sz w:val="28"/>
              <w:szCs w:val="28"/>
            </w:rPr>
            <w:t>节 采</w:t>
          </w:r>
          <w:r>
            <w:rPr>
              <w:rFonts w:hint="eastAsia" w:ascii="楷体_GB2312" w:hAnsi="楷体_GB2312" w:eastAsia="楷体_GB2312" w:cs="楷体_GB2312"/>
              <w:i w:val="0"/>
              <w:iCs w:val="0"/>
              <w:sz w:val="28"/>
              <w:szCs w:val="28"/>
            </w:rPr>
            <w:t>取不同统筹模式，实现城乡协调发</w:t>
          </w:r>
          <w:r>
            <w:rPr>
              <w:rFonts w:hint="eastAsia" w:ascii="楷体_GB2312" w:hAnsi="楷体_GB2312" w:eastAsia="楷体_GB2312" w:cs="楷体_GB2312"/>
              <w:i w:val="0"/>
              <w:iCs w:val="0"/>
              <w:spacing w:val="-10"/>
              <w:sz w:val="28"/>
              <w:szCs w:val="28"/>
            </w:rPr>
            <w:t>展</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_Toc1364160337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5EAEF85">
          <w:pPr>
            <w:pStyle w:val="9"/>
            <w:tabs>
              <w:tab w:val="right" w:leader="dot" w:pos="9170"/>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_Toc62293235 </w:instrText>
          </w:r>
          <w:r>
            <w:rPr>
              <w:rFonts w:hint="eastAsia" w:ascii="黑体" w:hAnsi="黑体" w:eastAsia="黑体" w:cs="黑体"/>
              <w:sz w:val="28"/>
              <w:szCs w:val="28"/>
            </w:rPr>
            <w:fldChar w:fldCharType="separate"/>
          </w:r>
          <w:r>
            <w:rPr>
              <w:rFonts w:hint="eastAsia" w:ascii="黑体" w:hAnsi="黑体" w:eastAsia="黑体" w:cs="黑体"/>
              <w:sz w:val="28"/>
              <w:szCs w:val="28"/>
            </w:rPr>
            <w:t>第七</w:t>
          </w:r>
          <w:r>
            <w:rPr>
              <w:rFonts w:hint="eastAsia" w:ascii="黑体" w:hAnsi="黑体" w:eastAsia="黑体" w:cs="黑体"/>
              <w:spacing w:val="-10"/>
              <w:sz w:val="28"/>
              <w:szCs w:val="28"/>
            </w:rPr>
            <w:t>章</w:t>
          </w:r>
          <w:r>
            <w:rPr>
              <w:rFonts w:hint="eastAsia" w:ascii="黑体" w:hAnsi="黑体" w:eastAsia="黑体" w:cs="黑体"/>
              <w:spacing w:val="-10"/>
              <w:sz w:val="28"/>
              <w:szCs w:val="28"/>
              <w:lang w:val="en-US" w:eastAsia="zh-CN"/>
            </w:rPr>
            <w:t xml:space="preserve"> </w:t>
          </w:r>
          <w:r>
            <w:rPr>
              <w:rFonts w:hint="eastAsia" w:ascii="黑体" w:hAnsi="黑体" w:eastAsia="黑体" w:cs="黑体"/>
              <w:sz w:val="28"/>
              <w:szCs w:val="28"/>
            </w:rPr>
            <w:t>推进农牧业现代化进程，建设社会主义新农</w:t>
          </w:r>
          <w:r>
            <w:rPr>
              <w:rFonts w:hint="eastAsia" w:ascii="黑体" w:hAnsi="黑体" w:eastAsia="黑体" w:cs="黑体"/>
              <w:spacing w:val="-10"/>
              <w:sz w:val="28"/>
              <w:szCs w:val="28"/>
            </w:rPr>
            <w:t>村</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_Toc62293235 \h </w:instrText>
          </w:r>
          <w:r>
            <w:rPr>
              <w:rFonts w:hint="eastAsia" w:ascii="黑体" w:hAnsi="黑体" w:eastAsia="黑体" w:cs="黑体"/>
              <w:sz w:val="28"/>
              <w:szCs w:val="28"/>
            </w:rPr>
            <w:fldChar w:fldCharType="separate"/>
          </w:r>
          <w:r>
            <w:rPr>
              <w:rFonts w:hint="eastAsia" w:ascii="黑体" w:hAnsi="黑体" w:eastAsia="黑体" w:cs="黑体"/>
              <w:sz w:val="28"/>
              <w:szCs w:val="28"/>
            </w:rPr>
            <w:t>35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F9360FE">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_Toc1864686690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19"/>
              <w:sz w:val="28"/>
              <w:szCs w:val="28"/>
            </w:rPr>
            <w:t>节 调</w:t>
          </w:r>
          <w:r>
            <w:rPr>
              <w:rFonts w:hint="eastAsia" w:ascii="楷体_GB2312" w:hAnsi="楷体_GB2312" w:eastAsia="楷体_GB2312" w:cs="楷体_GB2312"/>
              <w:i w:val="0"/>
              <w:iCs w:val="0"/>
              <w:sz w:val="28"/>
              <w:szCs w:val="28"/>
            </w:rPr>
            <w:t>整优化农业产业结构，加快农牧业现代化步</w:t>
          </w:r>
          <w:r>
            <w:rPr>
              <w:rFonts w:hint="eastAsia" w:ascii="楷体_GB2312" w:hAnsi="楷体_GB2312" w:eastAsia="楷体_GB2312" w:cs="楷体_GB2312"/>
              <w:i w:val="0"/>
              <w:iCs w:val="0"/>
              <w:spacing w:val="-10"/>
              <w:sz w:val="28"/>
              <w:szCs w:val="28"/>
            </w:rPr>
            <w:t>伐</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_Toc1864686690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3F55FF0">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_Toc681602974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6"/>
              <w:sz w:val="28"/>
              <w:szCs w:val="28"/>
            </w:rPr>
            <w:t>节 加</w:t>
          </w:r>
          <w:r>
            <w:rPr>
              <w:rFonts w:hint="eastAsia" w:ascii="楷体_GB2312" w:hAnsi="楷体_GB2312" w:eastAsia="楷体_GB2312" w:cs="楷体_GB2312"/>
              <w:i w:val="0"/>
              <w:iCs w:val="0"/>
              <w:sz w:val="28"/>
              <w:szCs w:val="28"/>
            </w:rPr>
            <w:t>强农村基础设施，推进新农村建</w:t>
          </w:r>
          <w:r>
            <w:rPr>
              <w:rFonts w:hint="eastAsia" w:ascii="楷体_GB2312" w:hAnsi="楷体_GB2312" w:eastAsia="楷体_GB2312" w:cs="楷体_GB2312"/>
              <w:i w:val="0"/>
              <w:iCs w:val="0"/>
              <w:spacing w:val="-10"/>
              <w:sz w:val="28"/>
              <w:szCs w:val="28"/>
            </w:rPr>
            <w:t>设</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_Toc681602974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DB8DD0F">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_Toc1991834870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提高农牧民收入，缩小城乡</w:t>
          </w:r>
          <w:r>
            <w:rPr>
              <w:rFonts w:hint="eastAsia" w:ascii="楷体_GB2312" w:hAnsi="楷体_GB2312" w:eastAsia="楷体_GB2312" w:cs="楷体_GB2312"/>
              <w:i w:val="0"/>
              <w:iCs w:val="0"/>
              <w:spacing w:val="-4"/>
              <w:sz w:val="28"/>
              <w:szCs w:val="28"/>
            </w:rPr>
            <w:t>间差距</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_Toc1991834870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1CCCB2D">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_Toc1601907040 </w:instrText>
          </w:r>
          <w:r>
            <w:rPr>
              <w:rFonts w:hint="eastAsia" w:ascii="黑体" w:hAnsi="黑体" w:eastAsia="黑体" w:cs="黑体"/>
              <w:sz w:val="28"/>
              <w:szCs w:val="28"/>
            </w:rPr>
            <w:fldChar w:fldCharType="separate"/>
          </w:r>
          <w:r>
            <w:rPr>
              <w:rFonts w:hint="eastAsia" w:ascii="黑体" w:hAnsi="黑体" w:eastAsia="黑体" w:cs="黑体"/>
              <w:sz w:val="28"/>
              <w:szCs w:val="28"/>
            </w:rPr>
            <w:t>第八</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加强基础设施建设，支撑科学跨越发</w:t>
          </w:r>
          <w:r>
            <w:rPr>
              <w:rFonts w:hint="eastAsia" w:ascii="黑体" w:hAnsi="黑体" w:eastAsia="黑体" w:cs="黑体"/>
              <w:spacing w:val="-10"/>
              <w:sz w:val="28"/>
              <w:szCs w:val="28"/>
            </w:rPr>
            <w:t>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_Toc1601907040 \h </w:instrText>
          </w:r>
          <w:r>
            <w:rPr>
              <w:rFonts w:hint="eastAsia" w:ascii="黑体" w:hAnsi="黑体" w:eastAsia="黑体" w:cs="黑体"/>
              <w:sz w:val="28"/>
              <w:szCs w:val="28"/>
            </w:rPr>
            <w:fldChar w:fldCharType="separate"/>
          </w:r>
          <w:r>
            <w:rPr>
              <w:rFonts w:hint="eastAsia" w:ascii="黑体" w:hAnsi="黑体" w:eastAsia="黑体" w:cs="黑体"/>
              <w:sz w:val="28"/>
              <w:szCs w:val="28"/>
            </w:rPr>
            <w:t>37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654A4DC">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_Toc1015796832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加强水利建设，打造安全供</w:t>
          </w:r>
          <w:r>
            <w:rPr>
              <w:rFonts w:hint="eastAsia" w:ascii="楷体_GB2312" w:hAnsi="楷体_GB2312" w:eastAsia="楷体_GB2312" w:cs="楷体_GB2312"/>
              <w:i w:val="0"/>
              <w:iCs w:val="0"/>
              <w:spacing w:val="-4"/>
              <w:sz w:val="28"/>
              <w:szCs w:val="28"/>
            </w:rPr>
            <w:t>水体系</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_Toc1015796832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F08E5D6">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_Toc1026793909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完善交通网络，构建立体通</w:t>
          </w:r>
          <w:r>
            <w:rPr>
              <w:rFonts w:hint="eastAsia" w:ascii="楷体_GB2312" w:hAnsi="楷体_GB2312" w:eastAsia="楷体_GB2312" w:cs="楷体_GB2312"/>
              <w:i w:val="0"/>
              <w:iCs w:val="0"/>
              <w:spacing w:val="-4"/>
              <w:sz w:val="28"/>
              <w:szCs w:val="28"/>
            </w:rPr>
            <w:t>达系统</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_Toc1026793909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27AE88C">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_Toc106995897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加快电网建设，形成坚强稳</w:t>
          </w:r>
          <w:r>
            <w:rPr>
              <w:rFonts w:hint="eastAsia" w:ascii="楷体_GB2312" w:hAnsi="楷体_GB2312" w:eastAsia="楷体_GB2312" w:cs="楷体_GB2312"/>
              <w:i w:val="0"/>
              <w:iCs w:val="0"/>
              <w:spacing w:val="-4"/>
              <w:sz w:val="28"/>
              <w:szCs w:val="28"/>
            </w:rPr>
            <w:t>定网架</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_Toc106995897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29F1BFA">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_Toc650422813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推进信息网络，构筑现代信</w:t>
          </w:r>
          <w:r>
            <w:rPr>
              <w:rFonts w:hint="eastAsia" w:ascii="楷体_GB2312" w:hAnsi="楷体_GB2312" w:eastAsia="楷体_GB2312" w:cs="楷体_GB2312"/>
              <w:i w:val="0"/>
              <w:iCs w:val="0"/>
              <w:spacing w:val="-4"/>
              <w:sz w:val="28"/>
              <w:szCs w:val="28"/>
            </w:rPr>
            <w:t>息体系</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_Toc650422813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49F6567">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_Toc68977288 </w:instrText>
          </w:r>
          <w:r>
            <w:rPr>
              <w:rFonts w:hint="eastAsia" w:ascii="黑体" w:hAnsi="黑体" w:eastAsia="黑体" w:cs="黑体"/>
              <w:sz w:val="28"/>
              <w:szCs w:val="28"/>
            </w:rPr>
            <w:fldChar w:fldCharType="separate"/>
          </w:r>
          <w:r>
            <w:rPr>
              <w:rFonts w:hint="eastAsia" w:ascii="黑体" w:hAnsi="黑体" w:eastAsia="黑体" w:cs="黑体"/>
              <w:sz w:val="28"/>
              <w:szCs w:val="28"/>
            </w:rPr>
            <w:t>第九</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加强资源开发保护，建设资源节约型社</w:t>
          </w:r>
          <w:r>
            <w:rPr>
              <w:rFonts w:hint="eastAsia" w:ascii="黑体" w:hAnsi="黑体" w:eastAsia="黑体" w:cs="黑体"/>
              <w:spacing w:val="-10"/>
              <w:sz w:val="28"/>
              <w:szCs w:val="28"/>
            </w:rPr>
            <w:t>会</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_Toc68977288 \h </w:instrText>
          </w:r>
          <w:r>
            <w:rPr>
              <w:rFonts w:hint="eastAsia" w:ascii="黑体" w:hAnsi="黑体" w:eastAsia="黑体" w:cs="黑体"/>
              <w:sz w:val="28"/>
              <w:szCs w:val="28"/>
            </w:rPr>
            <w:fldChar w:fldCharType="separate"/>
          </w:r>
          <w:r>
            <w:rPr>
              <w:rFonts w:hint="eastAsia" w:ascii="黑体" w:hAnsi="黑体" w:eastAsia="黑体" w:cs="黑体"/>
              <w:sz w:val="28"/>
              <w:szCs w:val="28"/>
            </w:rPr>
            <w:t>42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DFA3CDC">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_Toc2009846276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1"/>
              <w:sz w:val="28"/>
              <w:szCs w:val="28"/>
            </w:rPr>
            <w:t>节 合</w:t>
          </w:r>
          <w:r>
            <w:rPr>
              <w:rFonts w:hint="eastAsia" w:ascii="楷体_GB2312" w:hAnsi="楷体_GB2312" w:eastAsia="楷体_GB2312" w:cs="楷体_GB2312"/>
              <w:i w:val="0"/>
              <w:iCs w:val="0"/>
              <w:sz w:val="28"/>
              <w:szCs w:val="28"/>
            </w:rPr>
            <w:t>理优化水资源配置，提高水资源支撑能</w:t>
          </w:r>
          <w:r>
            <w:rPr>
              <w:rFonts w:hint="eastAsia" w:ascii="楷体_GB2312" w:hAnsi="楷体_GB2312" w:eastAsia="楷体_GB2312" w:cs="楷体_GB2312"/>
              <w:i w:val="0"/>
              <w:iCs w:val="0"/>
              <w:spacing w:val="-10"/>
              <w:sz w:val="28"/>
              <w:szCs w:val="28"/>
            </w:rPr>
            <w:t>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_Toc2009846276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59616AD">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_Toc1333633736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12"/>
              <w:w w:val="150"/>
              <w:sz w:val="28"/>
              <w:szCs w:val="28"/>
            </w:rPr>
            <w:t xml:space="preserve"> </w:t>
          </w:r>
          <w:r>
            <w:rPr>
              <w:rFonts w:hint="eastAsia" w:ascii="楷体_GB2312" w:hAnsi="楷体_GB2312" w:eastAsia="楷体_GB2312" w:cs="楷体_GB2312"/>
              <w:i w:val="0"/>
              <w:iCs w:val="0"/>
              <w:sz w:val="28"/>
              <w:szCs w:val="28"/>
            </w:rPr>
            <w:t>加大勘查力度，集约开发矿</w:t>
          </w:r>
          <w:r>
            <w:rPr>
              <w:rFonts w:hint="eastAsia" w:ascii="楷体_GB2312" w:hAnsi="楷体_GB2312" w:eastAsia="楷体_GB2312" w:cs="楷体_GB2312"/>
              <w:i w:val="0"/>
              <w:iCs w:val="0"/>
              <w:spacing w:val="-4"/>
              <w:sz w:val="28"/>
              <w:szCs w:val="28"/>
            </w:rPr>
            <w:t>产资源</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_Toc1333633736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8690397">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_Toc1205183722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8"/>
              <w:sz w:val="28"/>
              <w:szCs w:val="28"/>
            </w:rPr>
            <w:t>节 节</w:t>
          </w:r>
          <w:r>
            <w:rPr>
              <w:rFonts w:hint="eastAsia" w:ascii="楷体_GB2312" w:hAnsi="楷体_GB2312" w:eastAsia="楷体_GB2312" w:cs="楷体_GB2312"/>
              <w:i w:val="0"/>
              <w:iCs w:val="0"/>
              <w:sz w:val="28"/>
              <w:szCs w:val="28"/>
            </w:rPr>
            <w:t>约集约用地，实现土地零</w:t>
          </w:r>
          <w:r>
            <w:rPr>
              <w:rFonts w:hint="eastAsia" w:ascii="楷体_GB2312" w:hAnsi="楷体_GB2312" w:eastAsia="楷体_GB2312" w:cs="楷体_GB2312"/>
              <w:i w:val="0"/>
              <w:iCs w:val="0"/>
              <w:spacing w:val="-6"/>
              <w:sz w:val="28"/>
              <w:szCs w:val="28"/>
            </w:rPr>
            <w:t>开荒</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_Toc1205183722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BE07254">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_Toc2124470696 </w:instrText>
          </w:r>
          <w:r>
            <w:rPr>
              <w:rFonts w:hint="eastAsia" w:ascii="黑体" w:hAnsi="黑体" w:eastAsia="黑体" w:cs="黑体"/>
              <w:sz w:val="28"/>
              <w:szCs w:val="28"/>
            </w:rPr>
            <w:fldChar w:fldCharType="separate"/>
          </w:r>
          <w:r>
            <w:rPr>
              <w:rFonts w:hint="eastAsia" w:ascii="黑体" w:hAnsi="黑体" w:eastAsia="黑体" w:cs="黑体"/>
              <w:sz w:val="28"/>
              <w:szCs w:val="28"/>
            </w:rPr>
            <w:t>第十</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加强生态建设与环境保护，建设环境友好型社</w:t>
          </w:r>
          <w:r>
            <w:rPr>
              <w:rFonts w:hint="eastAsia" w:ascii="黑体" w:hAnsi="黑体" w:eastAsia="黑体" w:cs="黑体"/>
              <w:spacing w:val="-10"/>
              <w:sz w:val="28"/>
              <w:szCs w:val="28"/>
            </w:rPr>
            <w:t>会</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_Toc2124470696 \h </w:instrText>
          </w:r>
          <w:r>
            <w:rPr>
              <w:rFonts w:hint="eastAsia" w:ascii="黑体" w:hAnsi="黑体" w:eastAsia="黑体" w:cs="黑体"/>
              <w:sz w:val="28"/>
              <w:szCs w:val="28"/>
            </w:rPr>
            <w:fldChar w:fldCharType="separate"/>
          </w:r>
          <w:r>
            <w:rPr>
              <w:rFonts w:hint="eastAsia" w:ascii="黑体" w:hAnsi="黑体" w:eastAsia="黑体" w:cs="黑体"/>
              <w:sz w:val="28"/>
              <w:szCs w:val="28"/>
            </w:rPr>
            <w:t>43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0DC0FAB">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_Toc1972289852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4"/>
              <w:sz w:val="28"/>
              <w:szCs w:val="28"/>
            </w:rPr>
            <w:t>节 加</w:t>
          </w:r>
          <w:r>
            <w:rPr>
              <w:rFonts w:hint="eastAsia" w:ascii="楷体_GB2312" w:hAnsi="楷体_GB2312" w:eastAsia="楷体_GB2312" w:cs="楷体_GB2312"/>
              <w:i w:val="0"/>
              <w:iCs w:val="0"/>
              <w:sz w:val="28"/>
              <w:szCs w:val="28"/>
            </w:rPr>
            <w:t>强区域生态建设，有效维护生态功</w:t>
          </w:r>
          <w:r>
            <w:rPr>
              <w:rFonts w:hint="eastAsia" w:ascii="楷体_GB2312" w:hAnsi="楷体_GB2312" w:eastAsia="楷体_GB2312" w:cs="楷体_GB2312"/>
              <w:i w:val="0"/>
              <w:iCs w:val="0"/>
              <w:spacing w:val="-10"/>
              <w:sz w:val="28"/>
              <w:szCs w:val="28"/>
            </w:rPr>
            <w:t>能</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_Toc1972289852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C246A6A">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_Toc403960141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4"/>
              <w:sz w:val="28"/>
              <w:szCs w:val="28"/>
            </w:rPr>
            <w:t>节 加</w:t>
          </w:r>
          <w:r>
            <w:rPr>
              <w:rFonts w:hint="eastAsia" w:ascii="楷体_GB2312" w:hAnsi="楷体_GB2312" w:eastAsia="楷体_GB2312" w:cs="楷体_GB2312"/>
              <w:i w:val="0"/>
              <w:iCs w:val="0"/>
              <w:sz w:val="28"/>
              <w:szCs w:val="28"/>
            </w:rPr>
            <w:t>大环境治理力度，提高区域环境质</w:t>
          </w:r>
          <w:r>
            <w:rPr>
              <w:rFonts w:hint="eastAsia" w:ascii="楷体_GB2312" w:hAnsi="楷体_GB2312" w:eastAsia="楷体_GB2312" w:cs="楷体_GB2312"/>
              <w:i w:val="0"/>
              <w:iCs w:val="0"/>
              <w:spacing w:val="-10"/>
              <w:sz w:val="28"/>
              <w:szCs w:val="28"/>
            </w:rPr>
            <w:t>量</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_Toc403960141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0560EAC">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_Toc123792455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4"/>
              <w:sz w:val="28"/>
              <w:szCs w:val="28"/>
            </w:rPr>
            <w:t>节 加</w:t>
          </w:r>
          <w:r>
            <w:rPr>
              <w:rFonts w:hint="eastAsia" w:ascii="楷体_GB2312" w:hAnsi="楷体_GB2312" w:eastAsia="楷体_GB2312" w:cs="楷体_GB2312"/>
              <w:i w:val="0"/>
              <w:iCs w:val="0"/>
              <w:sz w:val="28"/>
              <w:szCs w:val="28"/>
            </w:rPr>
            <w:t>强节能降耗减排，提高生态文明水</w:t>
          </w:r>
          <w:r>
            <w:rPr>
              <w:rFonts w:hint="eastAsia" w:ascii="楷体_GB2312" w:hAnsi="楷体_GB2312" w:eastAsia="楷体_GB2312" w:cs="楷体_GB2312"/>
              <w:i w:val="0"/>
              <w:iCs w:val="0"/>
              <w:spacing w:val="-10"/>
              <w:sz w:val="28"/>
              <w:szCs w:val="28"/>
            </w:rPr>
            <w:t>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_Toc123792455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3CDE8B9">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_Toc846921885 </w:instrText>
          </w:r>
          <w:r>
            <w:rPr>
              <w:rFonts w:hint="eastAsia" w:ascii="黑体" w:hAnsi="黑体" w:eastAsia="黑体" w:cs="黑体"/>
              <w:sz w:val="28"/>
              <w:szCs w:val="28"/>
            </w:rPr>
            <w:fldChar w:fldCharType="separate"/>
          </w:r>
          <w:r>
            <w:rPr>
              <w:rFonts w:hint="eastAsia" w:ascii="黑体" w:hAnsi="黑体" w:eastAsia="黑体" w:cs="黑体"/>
              <w:sz w:val="28"/>
              <w:szCs w:val="28"/>
            </w:rPr>
            <w:t>第十一</w:t>
          </w:r>
          <w:r>
            <w:rPr>
              <w:rFonts w:hint="eastAsia" w:ascii="黑体" w:hAnsi="黑体" w:eastAsia="黑体" w:cs="黑体"/>
              <w:spacing w:val="-10"/>
              <w:sz w:val="28"/>
              <w:szCs w:val="28"/>
            </w:rPr>
            <w:t>章</w:t>
          </w:r>
          <w:r>
            <w:rPr>
              <w:rFonts w:hint="eastAsia" w:ascii="黑体" w:hAnsi="黑体" w:eastAsia="黑体" w:cs="黑体"/>
              <w:spacing w:val="-10"/>
              <w:sz w:val="28"/>
              <w:szCs w:val="28"/>
              <w:lang w:val="en-US" w:eastAsia="zh-CN"/>
            </w:rPr>
            <w:t xml:space="preserve"> </w:t>
          </w:r>
          <w:r>
            <w:rPr>
              <w:rFonts w:hint="eastAsia" w:ascii="黑体" w:hAnsi="黑体" w:eastAsia="黑体" w:cs="黑体"/>
              <w:sz w:val="28"/>
              <w:szCs w:val="28"/>
            </w:rPr>
            <w:tab/>
          </w:r>
          <w:r>
            <w:rPr>
              <w:rFonts w:hint="eastAsia" w:ascii="黑体" w:hAnsi="黑体" w:eastAsia="黑体" w:cs="黑体"/>
              <w:sz w:val="28"/>
              <w:szCs w:val="28"/>
            </w:rPr>
            <w:t>提升科教发展水平，建设创新活力哈</w:t>
          </w:r>
          <w:r>
            <w:rPr>
              <w:rFonts w:hint="eastAsia" w:ascii="黑体" w:hAnsi="黑体" w:eastAsia="黑体" w:cs="黑体"/>
              <w:spacing w:val="-10"/>
              <w:sz w:val="28"/>
              <w:szCs w:val="28"/>
            </w:rPr>
            <w:t>密</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_Toc846921885 \h </w:instrText>
          </w:r>
          <w:r>
            <w:rPr>
              <w:rFonts w:hint="eastAsia" w:ascii="黑体" w:hAnsi="黑体" w:eastAsia="黑体" w:cs="黑体"/>
              <w:sz w:val="28"/>
              <w:szCs w:val="28"/>
            </w:rPr>
            <w:fldChar w:fldCharType="separate"/>
          </w:r>
          <w:r>
            <w:rPr>
              <w:rFonts w:hint="eastAsia" w:ascii="黑体" w:hAnsi="黑体" w:eastAsia="黑体" w:cs="黑体"/>
              <w:sz w:val="28"/>
              <w:szCs w:val="28"/>
            </w:rPr>
            <w:t>46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0C9253F">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_Toc1454013609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4"/>
              <w:sz w:val="28"/>
              <w:szCs w:val="28"/>
            </w:rPr>
            <w:t>节 提</w:t>
          </w:r>
          <w:r>
            <w:rPr>
              <w:rFonts w:hint="eastAsia" w:ascii="楷体_GB2312" w:hAnsi="楷体_GB2312" w:eastAsia="楷体_GB2312" w:cs="楷体_GB2312"/>
              <w:i w:val="0"/>
              <w:iCs w:val="0"/>
              <w:sz w:val="28"/>
              <w:szCs w:val="28"/>
            </w:rPr>
            <w:t>高科技服务水平，建设区域创新体</w:t>
          </w:r>
          <w:r>
            <w:rPr>
              <w:rFonts w:hint="eastAsia" w:ascii="楷体_GB2312" w:hAnsi="楷体_GB2312" w:eastAsia="楷体_GB2312" w:cs="楷体_GB2312"/>
              <w:i w:val="0"/>
              <w:iCs w:val="0"/>
              <w:spacing w:val="-10"/>
              <w:sz w:val="28"/>
              <w:szCs w:val="28"/>
            </w:rPr>
            <w:t>系</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_Toc1454013609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03CB680">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_Toc124570582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4"/>
              <w:sz w:val="28"/>
              <w:szCs w:val="28"/>
            </w:rPr>
            <w:t>节 优</w:t>
          </w:r>
          <w:r>
            <w:rPr>
              <w:rFonts w:hint="eastAsia" w:ascii="楷体_GB2312" w:hAnsi="楷体_GB2312" w:eastAsia="楷体_GB2312" w:cs="楷体_GB2312"/>
              <w:i w:val="0"/>
              <w:iCs w:val="0"/>
              <w:sz w:val="28"/>
              <w:szCs w:val="28"/>
            </w:rPr>
            <w:t>先发展教育事业，增强教育综合实</w:t>
          </w:r>
          <w:r>
            <w:rPr>
              <w:rFonts w:hint="eastAsia" w:ascii="楷体_GB2312" w:hAnsi="楷体_GB2312" w:eastAsia="楷体_GB2312" w:cs="楷体_GB2312"/>
              <w:i w:val="0"/>
              <w:iCs w:val="0"/>
              <w:spacing w:val="-10"/>
              <w:sz w:val="28"/>
              <w:szCs w:val="28"/>
            </w:rPr>
            <w:t>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_Toc124570582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5AAA83F">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_Toc866195758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4"/>
              <w:sz w:val="28"/>
              <w:szCs w:val="28"/>
            </w:rPr>
            <w:t>节 强</w:t>
          </w:r>
          <w:r>
            <w:rPr>
              <w:rFonts w:hint="eastAsia" w:ascii="楷体_GB2312" w:hAnsi="楷体_GB2312" w:eastAsia="楷体_GB2312" w:cs="楷体_GB2312"/>
              <w:i w:val="0"/>
              <w:iCs w:val="0"/>
              <w:sz w:val="28"/>
              <w:szCs w:val="28"/>
            </w:rPr>
            <w:t>化人才队伍建设，发挥人才支撑作</w:t>
          </w:r>
          <w:r>
            <w:rPr>
              <w:rFonts w:hint="eastAsia" w:ascii="楷体_GB2312" w:hAnsi="楷体_GB2312" w:eastAsia="楷体_GB2312" w:cs="楷体_GB2312"/>
              <w:i w:val="0"/>
              <w:iCs w:val="0"/>
              <w:spacing w:val="-10"/>
              <w:sz w:val="28"/>
              <w:szCs w:val="28"/>
            </w:rPr>
            <w:t>用</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_Toc866195758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1B72CE5">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_Toc474764013 </w:instrText>
          </w:r>
          <w:r>
            <w:rPr>
              <w:rFonts w:hint="eastAsia" w:ascii="黑体" w:hAnsi="黑体" w:eastAsia="黑体" w:cs="黑体"/>
              <w:sz w:val="28"/>
              <w:szCs w:val="28"/>
            </w:rPr>
            <w:fldChar w:fldCharType="separate"/>
          </w:r>
          <w:r>
            <w:rPr>
              <w:rFonts w:hint="eastAsia" w:ascii="黑体" w:hAnsi="黑体" w:eastAsia="黑体" w:cs="黑体"/>
              <w:sz w:val="28"/>
              <w:szCs w:val="28"/>
            </w:rPr>
            <w:t>第十二</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健全公共服务体系，全力保障改善民</w:t>
          </w:r>
          <w:r>
            <w:rPr>
              <w:rFonts w:hint="eastAsia" w:ascii="黑体" w:hAnsi="黑体" w:eastAsia="黑体" w:cs="黑体"/>
              <w:spacing w:val="-10"/>
              <w:sz w:val="28"/>
              <w:szCs w:val="28"/>
            </w:rPr>
            <w:t>生</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_Toc474764013 \h </w:instrText>
          </w:r>
          <w:r>
            <w:rPr>
              <w:rFonts w:hint="eastAsia" w:ascii="黑体" w:hAnsi="黑体" w:eastAsia="黑体" w:cs="黑体"/>
              <w:sz w:val="28"/>
              <w:szCs w:val="28"/>
            </w:rPr>
            <w:fldChar w:fldCharType="separate"/>
          </w:r>
          <w:r>
            <w:rPr>
              <w:rFonts w:hint="eastAsia" w:ascii="黑体" w:hAnsi="黑体" w:eastAsia="黑体" w:cs="黑体"/>
              <w:sz w:val="28"/>
              <w:szCs w:val="28"/>
            </w:rPr>
            <w:t>49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16AB403">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_Toc1983067685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4"/>
              <w:sz w:val="28"/>
              <w:szCs w:val="28"/>
            </w:rPr>
            <w:t>节 坚</w:t>
          </w:r>
          <w:r>
            <w:rPr>
              <w:rFonts w:hint="eastAsia" w:ascii="楷体_GB2312" w:hAnsi="楷体_GB2312" w:eastAsia="楷体_GB2312" w:cs="楷体_GB2312"/>
              <w:i w:val="0"/>
              <w:iCs w:val="0"/>
              <w:sz w:val="28"/>
              <w:szCs w:val="28"/>
            </w:rPr>
            <w:t>持积极就业政策，努力增加就业岗</w:t>
          </w:r>
          <w:r>
            <w:rPr>
              <w:rFonts w:hint="eastAsia" w:ascii="楷体_GB2312" w:hAnsi="楷体_GB2312" w:eastAsia="楷体_GB2312" w:cs="楷体_GB2312"/>
              <w:i w:val="0"/>
              <w:iCs w:val="0"/>
              <w:spacing w:val="-10"/>
              <w:sz w:val="28"/>
              <w:szCs w:val="28"/>
            </w:rPr>
            <w:t>位</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_Toc1983067685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61B312D">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_Toc574075296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4"/>
              <w:sz w:val="28"/>
              <w:szCs w:val="28"/>
            </w:rPr>
            <w:t>节 调</w:t>
          </w:r>
          <w:r>
            <w:rPr>
              <w:rFonts w:hint="eastAsia" w:ascii="楷体_GB2312" w:hAnsi="楷体_GB2312" w:eastAsia="楷体_GB2312" w:cs="楷体_GB2312"/>
              <w:i w:val="0"/>
              <w:iCs w:val="0"/>
              <w:sz w:val="28"/>
              <w:szCs w:val="28"/>
            </w:rPr>
            <w:t>整收入分配关系，提高人民生活水</w:t>
          </w:r>
          <w:r>
            <w:rPr>
              <w:rFonts w:hint="eastAsia" w:ascii="楷体_GB2312" w:hAnsi="楷体_GB2312" w:eastAsia="楷体_GB2312" w:cs="楷体_GB2312"/>
              <w:i w:val="0"/>
              <w:iCs w:val="0"/>
              <w:spacing w:val="-10"/>
              <w:sz w:val="28"/>
              <w:szCs w:val="28"/>
            </w:rPr>
            <w:t>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_Toc574075296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255EFFE">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_Toc2041464424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19"/>
              <w:sz w:val="28"/>
              <w:szCs w:val="28"/>
            </w:rPr>
            <w:t>节 健</w:t>
          </w:r>
          <w:r>
            <w:rPr>
              <w:rFonts w:hint="eastAsia" w:ascii="楷体_GB2312" w:hAnsi="楷体_GB2312" w:eastAsia="楷体_GB2312" w:cs="楷体_GB2312"/>
              <w:i w:val="0"/>
              <w:iCs w:val="0"/>
              <w:sz w:val="28"/>
              <w:szCs w:val="28"/>
            </w:rPr>
            <w:t>全城乡社会保障体系，加强</w:t>
          </w:r>
          <w:r>
            <w:rPr>
              <w:rFonts w:hint="eastAsia" w:ascii="楷体_GB2312" w:hAnsi="楷体_GB2312" w:eastAsia="楷体_GB2312" w:cs="楷体_GB2312"/>
              <w:i w:val="0"/>
              <w:iCs w:val="0"/>
              <w:sz w:val="28"/>
              <w:szCs w:val="28"/>
              <w:lang w:eastAsia="zh-CN"/>
            </w:rPr>
            <w:t>社会</w:t>
          </w:r>
          <w:r>
            <w:rPr>
              <w:rFonts w:hint="eastAsia" w:ascii="楷体_GB2312" w:hAnsi="楷体_GB2312" w:eastAsia="楷体_GB2312" w:cs="楷体_GB2312"/>
              <w:i w:val="0"/>
              <w:iCs w:val="0"/>
              <w:sz w:val="28"/>
              <w:szCs w:val="28"/>
            </w:rPr>
            <w:t>救助工</w:t>
          </w:r>
          <w:r>
            <w:rPr>
              <w:rFonts w:hint="eastAsia" w:ascii="楷体_GB2312" w:hAnsi="楷体_GB2312" w:eastAsia="楷体_GB2312" w:cs="楷体_GB2312"/>
              <w:i w:val="0"/>
              <w:iCs w:val="0"/>
              <w:spacing w:val="-10"/>
              <w:sz w:val="28"/>
              <w:szCs w:val="28"/>
            </w:rPr>
            <w:t>作</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_Toc2041464424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AA8ED21">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_Toc1823002669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19"/>
              <w:sz w:val="28"/>
              <w:szCs w:val="28"/>
            </w:rPr>
            <w:t>节 强</w:t>
          </w:r>
          <w:r>
            <w:rPr>
              <w:rFonts w:hint="eastAsia" w:ascii="楷体_GB2312" w:hAnsi="楷体_GB2312" w:eastAsia="楷体_GB2312" w:cs="楷体_GB2312"/>
              <w:i w:val="0"/>
              <w:iCs w:val="0"/>
              <w:sz w:val="28"/>
              <w:szCs w:val="28"/>
            </w:rPr>
            <w:t>化医疗救治体系建设，提高医疗卫生服务水</w:t>
          </w:r>
          <w:r>
            <w:rPr>
              <w:rFonts w:hint="eastAsia" w:ascii="楷体_GB2312" w:hAnsi="楷体_GB2312" w:eastAsia="楷体_GB2312" w:cs="楷体_GB2312"/>
              <w:i w:val="0"/>
              <w:iCs w:val="0"/>
              <w:spacing w:val="-10"/>
              <w:sz w:val="28"/>
              <w:szCs w:val="28"/>
            </w:rPr>
            <w:t>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_Toc1823002669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E0AF2C2">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_Toc1785644639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w:t>
          </w:r>
          <w:r>
            <w:rPr>
              <w:rFonts w:hint="eastAsia" w:ascii="楷体_GB2312" w:hAnsi="楷体_GB2312" w:eastAsia="楷体_GB2312" w:cs="楷体_GB2312"/>
              <w:i w:val="0"/>
              <w:iCs w:val="0"/>
              <w:sz w:val="28"/>
              <w:szCs w:val="28"/>
              <w:lang w:eastAsia="zh-CN"/>
            </w:rPr>
            <w:t>五</w:t>
          </w:r>
          <w:r>
            <w:rPr>
              <w:rFonts w:hint="eastAsia" w:ascii="楷体_GB2312" w:hAnsi="楷体_GB2312" w:eastAsia="楷体_GB2312" w:cs="楷体_GB2312"/>
              <w:i w:val="0"/>
              <w:iCs w:val="0"/>
              <w:sz w:val="28"/>
              <w:szCs w:val="28"/>
            </w:rPr>
            <w:t>节</w:t>
          </w:r>
          <w:r>
            <w:rPr>
              <w:rFonts w:hint="eastAsia" w:ascii="楷体_GB2312" w:hAnsi="楷体_GB2312" w:eastAsia="楷体_GB2312" w:cs="楷体_GB2312"/>
              <w:i w:val="0"/>
              <w:iCs w:val="0"/>
              <w:spacing w:val="20"/>
              <w:w w:val="150"/>
              <w:sz w:val="28"/>
              <w:szCs w:val="28"/>
            </w:rPr>
            <w:t xml:space="preserve"> </w:t>
          </w:r>
          <w:r>
            <w:rPr>
              <w:rFonts w:hint="eastAsia" w:ascii="楷体_GB2312" w:hAnsi="楷体_GB2312" w:eastAsia="楷体_GB2312" w:cs="楷体_GB2312"/>
              <w:i w:val="0"/>
              <w:iCs w:val="0"/>
              <w:sz w:val="28"/>
              <w:szCs w:val="28"/>
            </w:rPr>
            <w:t>优化人口结构，提高人口素</w:t>
          </w:r>
          <w:r>
            <w:rPr>
              <w:rFonts w:hint="eastAsia" w:ascii="楷体_GB2312" w:hAnsi="楷体_GB2312" w:eastAsia="楷体_GB2312" w:cs="楷体_GB2312"/>
              <w:i w:val="0"/>
              <w:iCs w:val="0"/>
              <w:spacing w:val="-10"/>
              <w:sz w:val="28"/>
              <w:szCs w:val="28"/>
            </w:rPr>
            <w:t>质</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_Toc1785644639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D1DA898">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_Toc679968923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第六</w:t>
          </w:r>
          <w:r>
            <w:rPr>
              <w:rFonts w:hint="eastAsia" w:ascii="楷体_GB2312" w:hAnsi="楷体_GB2312" w:eastAsia="楷体_GB2312" w:cs="楷体_GB2312"/>
              <w:i w:val="0"/>
              <w:iCs w:val="0"/>
              <w:spacing w:val="19"/>
              <w:sz w:val="28"/>
              <w:szCs w:val="28"/>
            </w:rPr>
            <w:t>节 加</w:t>
          </w:r>
          <w:r>
            <w:rPr>
              <w:rFonts w:hint="eastAsia" w:ascii="楷体_GB2312" w:hAnsi="楷体_GB2312" w:eastAsia="楷体_GB2312" w:cs="楷体_GB2312"/>
              <w:i w:val="0"/>
              <w:iCs w:val="0"/>
              <w:sz w:val="28"/>
              <w:szCs w:val="28"/>
            </w:rPr>
            <w:t>强公共文化设施建设，丰富群众精神文化生</w:t>
          </w:r>
          <w:r>
            <w:rPr>
              <w:rFonts w:hint="eastAsia" w:ascii="楷体_GB2312" w:hAnsi="楷体_GB2312" w:eastAsia="楷体_GB2312" w:cs="楷体_GB2312"/>
              <w:i w:val="0"/>
              <w:iCs w:val="0"/>
              <w:spacing w:val="-10"/>
              <w:sz w:val="28"/>
              <w:szCs w:val="28"/>
            </w:rPr>
            <w:t>活</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_Toc679968923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865C6CA">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_Toc1775790955 </w:instrText>
          </w:r>
          <w:r>
            <w:rPr>
              <w:rFonts w:hint="eastAsia" w:ascii="黑体" w:hAnsi="黑体" w:eastAsia="黑体" w:cs="黑体"/>
              <w:sz w:val="28"/>
              <w:szCs w:val="28"/>
            </w:rPr>
            <w:fldChar w:fldCharType="separate"/>
          </w:r>
          <w:r>
            <w:rPr>
              <w:rFonts w:hint="eastAsia" w:ascii="黑体" w:hAnsi="黑体" w:eastAsia="黑体" w:cs="黑体"/>
              <w:sz w:val="28"/>
              <w:szCs w:val="28"/>
            </w:rPr>
            <w:t>第十三</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做好对口援建工作，推进多方融合发</w:t>
          </w:r>
          <w:r>
            <w:rPr>
              <w:rFonts w:hint="eastAsia" w:ascii="黑体" w:hAnsi="黑体" w:eastAsia="黑体" w:cs="黑体"/>
              <w:spacing w:val="-10"/>
              <w:sz w:val="28"/>
              <w:szCs w:val="28"/>
            </w:rPr>
            <w:t>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_Toc1775790955 \h </w:instrText>
          </w:r>
          <w:r>
            <w:rPr>
              <w:rFonts w:hint="eastAsia" w:ascii="黑体" w:hAnsi="黑体" w:eastAsia="黑体" w:cs="黑体"/>
              <w:sz w:val="28"/>
              <w:szCs w:val="28"/>
            </w:rPr>
            <w:fldChar w:fldCharType="separate"/>
          </w:r>
          <w:r>
            <w:rPr>
              <w:rFonts w:hint="eastAsia" w:ascii="黑体" w:hAnsi="黑体" w:eastAsia="黑体" w:cs="黑体"/>
              <w:sz w:val="28"/>
              <w:szCs w:val="28"/>
            </w:rPr>
            <w:t>54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76F3A28">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_Toc1299621841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1"/>
              <w:sz w:val="28"/>
              <w:szCs w:val="28"/>
            </w:rPr>
            <w:t>节 做</w:t>
          </w:r>
          <w:r>
            <w:rPr>
              <w:rFonts w:hint="eastAsia" w:ascii="楷体_GB2312" w:hAnsi="楷体_GB2312" w:eastAsia="楷体_GB2312" w:cs="楷体_GB2312"/>
              <w:i w:val="0"/>
              <w:iCs w:val="0"/>
              <w:sz w:val="28"/>
              <w:szCs w:val="28"/>
            </w:rPr>
            <w:t>好对口援建工作，完善全方位援疆工作机</w:t>
          </w:r>
          <w:r>
            <w:rPr>
              <w:rFonts w:hint="eastAsia" w:ascii="楷体_GB2312" w:hAnsi="楷体_GB2312" w:eastAsia="楷体_GB2312" w:cs="楷体_GB2312"/>
              <w:i w:val="0"/>
              <w:iCs w:val="0"/>
              <w:spacing w:val="-10"/>
              <w:sz w:val="28"/>
              <w:szCs w:val="28"/>
            </w:rPr>
            <w:t>制</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_Toc1299621841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7A01192">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_Toc2044129260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1"/>
              <w:sz w:val="28"/>
              <w:szCs w:val="28"/>
            </w:rPr>
            <w:t>节 推</w:t>
          </w:r>
          <w:r>
            <w:rPr>
              <w:rFonts w:hint="eastAsia" w:ascii="楷体_GB2312" w:hAnsi="楷体_GB2312" w:eastAsia="楷体_GB2312" w:cs="楷体_GB2312"/>
              <w:i w:val="0"/>
              <w:iCs w:val="0"/>
              <w:sz w:val="28"/>
              <w:szCs w:val="28"/>
            </w:rPr>
            <w:t>进多方融合发展，形成跨越式发展强大合</w:t>
          </w:r>
          <w:r>
            <w:rPr>
              <w:rFonts w:hint="eastAsia" w:ascii="楷体_GB2312" w:hAnsi="楷体_GB2312" w:eastAsia="楷体_GB2312" w:cs="楷体_GB2312"/>
              <w:i w:val="0"/>
              <w:iCs w:val="0"/>
              <w:spacing w:val="-10"/>
              <w:sz w:val="28"/>
              <w:szCs w:val="28"/>
            </w:rPr>
            <w:t>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_Toc2044129260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F23B2D6">
          <w:pPr>
            <w:pStyle w:val="9"/>
            <w:tabs>
              <w:tab w:val="right" w:pos="3200"/>
              <w:tab w:val="right" w:leader="dot" w:pos="9170"/>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_Toc1838084190 </w:instrText>
          </w:r>
          <w:r>
            <w:rPr>
              <w:rFonts w:hint="eastAsia" w:ascii="黑体" w:hAnsi="黑体" w:eastAsia="黑体" w:cs="黑体"/>
              <w:sz w:val="28"/>
              <w:szCs w:val="28"/>
            </w:rPr>
            <w:fldChar w:fldCharType="separate"/>
          </w:r>
          <w:r>
            <w:rPr>
              <w:rFonts w:hint="eastAsia" w:ascii="黑体" w:hAnsi="黑体" w:eastAsia="黑体" w:cs="黑体"/>
              <w:sz w:val="28"/>
              <w:szCs w:val="28"/>
            </w:rPr>
            <w:t>第十四</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深化改革扩大开放，构建科学发展体</w:t>
          </w:r>
          <w:r>
            <w:rPr>
              <w:rFonts w:hint="eastAsia" w:ascii="黑体" w:hAnsi="黑体" w:eastAsia="黑体" w:cs="黑体"/>
              <w:spacing w:val="-10"/>
              <w:sz w:val="28"/>
              <w:szCs w:val="28"/>
            </w:rPr>
            <w:t>制</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_Toc1838084190 \h </w:instrText>
          </w:r>
          <w:r>
            <w:rPr>
              <w:rFonts w:hint="eastAsia" w:ascii="黑体" w:hAnsi="黑体" w:eastAsia="黑体" w:cs="黑体"/>
              <w:sz w:val="28"/>
              <w:szCs w:val="28"/>
            </w:rPr>
            <w:fldChar w:fldCharType="separate"/>
          </w:r>
          <w:r>
            <w:rPr>
              <w:rFonts w:hint="eastAsia" w:ascii="黑体" w:hAnsi="黑体" w:eastAsia="黑体" w:cs="黑体"/>
              <w:sz w:val="28"/>
              <w:szCs w:val="28"/>
            </w:rPr>
            <w:t>56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6A35F3D">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_Toc1016824883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w:t>
          </w:r>
          <w:r>
            <w:rPr>
              <w:rFonts w:hint="eastAsia" w:ascii="楷体_GB2312" w:hAnsi="楷体_GB2312" w:eastAsia="楷体_GB2312" w:cs="楷体_GB2312"/>
              <w:i w:val="0"/>
              <w:iCs w:val="0"/>
              <w:spacing w:val="24"/>
              <w:sz w:val="28"/>
              <w:szCs w:val="28"/>
            </w:rPr>
            <w:t>节 建</w:t>
          </w:r>
          <w:r>
            <w:rPr>
              <w:rFonts w:hint="eastAsia" w:ascii="楷体_GB2312" w:hAnsi="楷体_GB2312" w:eastAsia="楷体_GB2312" w:cs="楷体_GB2312"/>
              <w:i w:val="0"/>
              <w:iCs w:val="0"/>
              <w:sz w:val="28"/>
              <w:szCs w:val="28"/>
            </w:rPr>
            <w:t>立高效行政体系，优化区域发展环</w:t>
          </w:r>
          <w:r>
            <w:rPr>
              <w:rFonts w:hint="eastAsia" w:ascii="楷体_GB2312" w:hAnsi="楷体_GB2312" w:eastAsia="楷体_GB2312" w:cs="楷体_GB2312"/>
              <w:i w:val="0"/>
              <w:iCs w:val="0"/>
              <w:spacing w:val="-10"/>
              <w:sz w:val="28"/>
              <w:szCs w:val="28"/>
            </w:rPr>
            <w:t>境</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_Toc1016824883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38F6FAB">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_Toc578248586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w:t>
          </w:r>
          <w:r>
            <w:rPr>
              <w:rFonts w:hint="eastAsia" w:ascii="楷体_GB2312" w:hAnsi="楷体_GB2312" w:eastAsia="楷体_GB2312" w:cs="楷体_GB2312"/>
              <w:i w:val="0"/>
              <w:iCs w:val="0"/>
              <w:spacing w:val="24"/>
              <w:sz w:val="28"/>
              <w:szCs w:val="28"/>
            </w:rPr>
            <w:t>节 加</w:t>
          </w:r>
          <w:r>
            <w:rPr>
              <w:rFonts w:hint="eastAsia" w:ascii="楷体_GB2312" w:hAnsi="楷体_GB2312" w:eastAsia="楷体_GB2312" w:cs="楷体_GB2312"/>
              <w:i w:val="0"/>
              <w:iCs w:val="0"/>
              <w:sz w:val="28"/>
              <w:szCs w:val="28"/>
            </w:rPr>
            <w:t>大招商引资力度，提升对外开放水</w:t>
          </w:r>
          <w:r>
            <w:rPr>
              <w:rFonts w:hint="eastAsia" w:ascii="楷体_GB2312" w:hAnsi="楷体_GB2312" w:eastAsia="楷体_GB2312" w:cs="楷体_GB2312"/>
              <w:i w:val="0"/>
              <w:iCs w:val="0"/>
              <w:spacing w:val="-10"/>
              <w:sz w:val="28"/>
              <w:szCs w:val="28"/>
            </w:rPr>
            <w:t>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_Toc578248586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BA74A42">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_Toc1682435413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1"/>
              <w:sz w:val="28"/>
              <w:szCs w:val="28"/>
            </w:rPr>
            <w:t>节 加</w:t>
          </w:r>
          <w:r>
            <w:rPr>
              <w:rFonts w:hint="eastAsia" w:ascii="楷体_GB2312" w:hAnsi="楷体_GB2312" w:eastAsia="楷体_GB2312" w:cs="楷体_GB2312"/>
              <w:i w:val="0"/>
              <w:iCs w:val="0"/>
              <w:sz w:val="28"/>
              <w:szCs w:val="28"/>
            </w:rPr>
            <w:t>强市场物价调控，确保物价总水平基本稳</w:t>
          </w:r>
          <w:r>
            <w:rPr>
              <w:rFonts w:hint="eastAsia" w:ascii="楷体_GB2312" w:hAnsi="楷体_GB2312" w:eastAsia="楷体_GB2312" w:cs="楷体_GB2312"/>
              <w:i w:val="0"/>
              <w:iCs w:val="0"/>
              <w:spacing w:val="-10"/>
              <w:sz w:val="28"/>
              <w:szCs w:val="28"/>
            </w:rPr>
            <w:t>定</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_Toc1682435413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94ECDDB">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_Toc471248275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21"/>
              <w:sz w:val="28"/>
              <w:szCs w:val="28"/>
            </w:rPr>
            <w:t>节 加</w:t>
          </w:r>
          <w:r>
            <w:rPr>
              <w:rFonts w:hint="eastAsia" w:ascii="楷体_GB2312" w:hAnsi="楷体_GB2312" w:eastAsia="楷体_GB2312" w:cs="楷体_GB2312"/>
              <w:i w:val="0"/>
              <w:iCs w:val="0"/>
              <w:sz w:val="28"/>
              <w:szCs w:val="28"/>
            </w:rPr>
            <w:t>快金融平台建设，促进融投资能力大幅提</w:t>
          </w:r>
          <w:r>
            <w:rPr>
              <w:rFonts w:hint="eastAsia" w:ascii="楷体_GB2312" w:hAnsi="楷体_GB2312" w:eastAsia="楷体_GB2312" w:cs="楷体_GB2312"/>
              <w:i w:val="0"/>
              <w:iCs w:val="0"/>
              <w:spacing w:val="-10"/>
              <w:sz w:val="28"/>
              <w:szCs w:val="28"/>
            </w:rPr>
            <w:t>高</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_Toc471248275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3823671">
          <w:pPr>
            <w:pStyle w:val="9"/>
            <w:tabs>
              <w:tab w:val="right" w:pos="32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_Toc1594045418 </w:instrText>
          </w:r>
          <w:r>
            <w:rPr>
              <w:rFonts w:hint="eastAsia" w:ascii="黑体" w:hAnsi="黑体" w:eastAsia="黑体" w:cs="黑体"/>
              <w:sz w:val="28"/>
              <w:szCs w:val="28"/>
            </w:rPr>
            <w:fldChar w:fldCharType="separate"/>
          </w:r>
          <w:r>
            <w:rPr>
              <w:rFonts w:hint="eastAsia" w:ascii="黑体" w:hAnsi="黑体" w:eastAsia="黑体" w:cs="黑体"/>
              <w:sz w:val="28"/>
              <w:szCs w:val="28"/>
            </w:rPr>
            <w:t>第十五</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提高社会管理水平，建设平安和谐哈</w:t>
          </w:r>
          <w:r>
            <w:rPr>
              <w:rFonts w:hint="eastAsia" w:ascii="黑体" w:hAnsi="黑体" w:eastAsia="黑体" w:cs="黑体"/>
              <w:spacing w:val="-10"/>
              <w:sz w:val="28"/>
              <w:szCs w:val="28"/>
            </w:rPr>
            <w:t>密</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_Toc1594045418 \h </w:instrText>
          </w:r>
          <w:r>
            <w:rPr>
              <w:rFonts w:hint="eastAsia" w:ascii="黑体" w:hAnsi="黑体" w:eastAsia="黑体" w:cs="黑体"/>
              <w:sz w:val="28"/>
              <w:szCs w:val="28"/>
            </w:rPr>
            <w:fldChar w:fldCharType="separate"/>
          </w:r>
          <w:r>
            <w:rPr>
              <w:rFonts w:hint="eastAsia" w:ascii="黑体" w:hAnsi="黑体" w:eastAsia="黑体" w:cs="黑体"/>
              <w:sz w:val="28"/>
              <w:szCs w:val="28"/>
            </w:rPr>
            <w:t>59</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D1D9025">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_Toc561745674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第一节</w:t>
          </w:r>
          <w:r>
            <w:rPr>
              <w:rFonts w:hint="eastAsia" w:ascii="楷体_GB2312" w:hAnsi="楷体_GB2312" w:eastAsia="楷体_GB2312" w:cs="楷体_GB2312"/>
              <w:i w:val="0"/>
              <w:iCs w:val="0"/>
              <w:spacing w:val="17"/>
              <w:w w:val="150"/>
              <w:sz w:val="28"/>
              <w:szCs w:val="28"/>
            </w:rPr>
            <w:t xml:space="preserve"> </w:t>
          </w:r>
          <w:r>
            <w:rPr>
              <w:rFonts w:hint="eastAsia" w:ascii="楷体_GB2312" w:hAnsi="楷体_GB2312" w:eastAsia="楷体_GB2312" w:cs="楷体_GB2312"/>
              <w:i w:val="0"/>
              <w:iCs w:val="0"/>
              <w:sz w:val="28"/>
              <w:szCs w:val="28"/>
            </w:rPr>
            <w:t>加强民族团结，维护社会稳</w:t>
          </w:r>
          <w:r>
            <w:rPr>
              <w:rFonts w:hint="eastAsia" w:ascii="楷体_GB2312" w:hAnsi="楷体_GB2312" w:eastAsia="楷体_GB2312" w:cs="楷体_GB2312"/>
              <w:i w:val="0"/>
              <w:iCs w:val="0"/>
              <w:spacing w:val="-10"/>
              <w:sz w:val="28"/>
              <w:szCs w:val="28"/>
            </w:rPr>
            <w:t>定</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_Toc561745674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8970D89">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_Toc578244173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17"/>
              <w:w w:val="150"/>
              <w:sz w:val="28"/>
              <w:szCs w:val="28"/>
            </w:rPr>
            <w:t xml:space="preserve"> </w:t>
          </w:r>
          <w:r>
            <w:rPr>
              <w:rFonts w:hint="eastAsia" w:ascii="楷体_GB2312" w:hAnsi="楷体_GB2312" w:eastAsia="楷体_GB2312" w:cs="楷体_GB2312"/>
              <w:i w:val="0"/>
              <w:iCs w:val="0"/>
              <w:sz w:val="28"/>
              <w:szCs w:val="28"/>
            </w:rPr>
            <w:t>强化民主法制，建设精神文</w:t>
          </w:r>
          <w:r>
            <w:rPr>
              <w:rFonts w:hint="eastAsia" w:ascii="楷体_GB2312" w:hAnsi="楷体_GB2312" w:eastAsia="楷体_GB2312" w:cs="楷体_GB2312"/>
              <w:i w:val="0"/>
              <w:iCs w:val="0"/>
              <w:spacing w:val="-10"/>
              <w:sz w:val="28"/>
              <w:szCs w:val="28"/>
            </w:rPr>
            <w:t>明</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_Toc578244173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87B4604">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_Toc96984583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w:t>
          </w:r>
          <w:r>
            <w:rPr>
              <w:rFonts w:hint="eastAsia" w:ascii="楷体_GB2312" w:hAnsi="楷体_GB2312" w:eastAsia="楷体_GB2312" w:cs="楷体_GB2312"/>
              <w:i w:val="0"/>
              <w:iCs w:val="0"/>
              <w:spacing w:val="24"/>
              <w:sz w:val="28"/>
              <w:szCs w:val="28"/>
            </w:rPr>
            <w:t>节 加</w:t>
          </w:r>
          <w:r>
            <w:rPr>
              <w:rFonts w:hint="eastAsia" w:ascii="楷体_GB2312" w:hAnsi="楷体_GB2312" w:eastAsia="楷体_GB2312" w:cs="楷体_GB2312"/>
              <w:i w:val="0"/>
              <w:iCs w:val="0"/>
              <w:sz w:val="28"/>
              <w:szCs w:val="28"/>
            </w:rPr>
            <w:t>强社会组织建设，创新社会管理体</w:t>
          </w:r>
          <w:r>
            <w:rPr>
              <w:rFonts w:hint="eastAsia" w:ascii="楷体_GB2312" w:hAnsi="楷体_GB2312" w:eastAsia="楷体_GB2312" w:cs="楷体_GB2312"/>
              <w:i w:val="0"/>
              <w:iCs w:val="0"/>
              <w:spacing w:val="-10"/>
              <w:sz w:val="28"/>
              <w:szCs w:val="28"/>
            </w:rPr>
            <w:t>制</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_Toc96984583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2968695">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_Toc630722962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w:t>
          </w:r>
          <w:r>
            <w:rPr>
              <w:rFonts w:hint="eastAsia" w:ascii="楷体_GB2312" w:hAnsi="楷体_GB2312" w:eastAsia="楷体_GB2312" w:cs="楷体_GB2312"/>
              <w:i w:val="0"/>
              <w:iCs w:val="0"/>
              <w:spacing w:val="19"/>
              <w:sz w:val="28"/>
              <w:szCs w:val="28"/>
            </w:rPr>
            <w:t>节 加</w:t>
          </w:r>
          <w:r>
            <w:rPr>
              <w:rFonts w:hint="eastAsia" w:ascii="楷体_GB2312" w:hAnsi="楷体_GB2312" w:eastAsia="楷体_GB2312" w:cs="楷体_GB2312"/>
              <w:i w:val="0"/>
              <w:iCs w:val="0"/>
              <w:sz w:val="28"/>
              <w:szCs w:val="28"/>
            </w:rPr>
            <w:t>强公共安全体系建设，有效提高安全保障能</w:t>
          </w:r>
          <w:r>
            <w:rPr>
              <w:rFonts w:hint="eastAsia" w:ascii="楷体_GB2312" w:hAnsi="楷体_GB2312" w:eastAsia="楷体_GB2312" w:cs="楷体_GB2312"/>
              <w:i w:val="0"/>
              <w:iCs w:val="0"/>
              <w:spacing w:val="-10"/>
              <w:sz w:val="28"/>
              <w:szCs w:val="28"/>
            </w:rPr>
            <w:t>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_Toc630722962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EDF55ED">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_Toc440606801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w:t>
          </w:r>
          <w:r>
            <w:rPr>
              <w:rFonts w:hint="eastAsia" w:ascii="楷体_GB2312" w:hAnsi="楷体_GB2312" w:eastAsia="楷体_GB2312" w:cs="楷体_GB2312"/>
              <w:i w:val="0"/>
              <w:iCs w:val="0"/>
              <w:sz w:val="28"/>
              <w:szCs w:val="28"/>
              <w:lang w:eastAsia="zh-CN"/>
            </w:rPr>
            <w:t>五</w:t>
          </w:r>
          <w:r>
            <w:rPr>
              <w:rFonts w:hint="eastAsia" w:ascii="楷体_GB2312" w:hAnsi="楷体_GB2312" w:eastAsia="楷体_GB2312" w:cs="楷体_GB2312"/>
              <w:i w:val="0"/>
              <w:iCs w:val="0"/>
              <w:spacing w:val="25"/>
              <w:sz w:val="28"/>
              <w:szCs w:val="28"/>
            </w:rPr>
            <w:t>节 加</w:t>
          </w:r>
          <w:r>
            <w:rPr>
              <w:rFonts w:hint="eastAsia" w:ascii="楷体_GB2312" w:hAnsi="楷体_GB2312" w:eastAsia="楷体_GB2312" w:cs="楷体_GB2312"/>
              <w:i w:val="0"/>
              <w:iCs w:val="0"/>
              <w:sz w:val="28"/>
              <w:szCs w:val="28"/>
            </w:rPr>
            <w:t>强</w:t>
          </w:r>
          <w:r>
            <w:rPr>
              <w:rFonts w:hint="eastAsia" w:ascii="楷体_GB2312" w:hAnsi="楷体_GB2312" w:eastAsia="楷体_GB2312" w:cs="楷体_GB2312"/>
              <w:i w:val="0"/>
              <w:iCs w:val="0"/>
              <w:sz w:val="28"/>
              <w:szCs w:val="28"/>
              <w:lang w:eastAsia="zh-CN"/>
            </w:rPr>
            <w:t>和</w:t>
          </w:r>
          <w:r>
            <w:rPr>
              <w:rFonts w:hint="eastAsia" w:ascii="楷体_GB2312" w:hAnsi="楷体_GB2312" w:eastAsia="楷体_GB2312" w:cs="楷体_GB2312"/>
              <w:i w:val="0"/>
              <w:iCs w:val="0"/>
              <w:sz w:val="28"/>
              <w:szCs w:val="28"/>
            </w:rPr>
            <w:t>改进党的领导，提高党的执政能</w:t>
          </w:r>
          <w:r>
            <w:rPr>
              <w:rFonts w:hint="eastAsia" w:ascii="楷体_GB2312" w:hAnsi="楷体_GB2312" w:eastAsia="楷体_GB2312" w:cs="楷体_GB2312"/>
              <w:i w:val="0"/>
              <w:iCs w:val="0"/>
              <w:spacing w:val="-10"/>
              <w:sz w:val="28"/>
              <w:szCs w:val="28"/>
            </w:rPr>
            <w:t>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_Toc440606801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0F88B43">
          <w:pPr>
            <w:pStyle w:val="9"/>
            <w:tabs>
              <w:tab w:val="right" w:pos="3200"/>
              <w:tab w:val="right" w:leader="dot" w:pos="9170"/>
            </w:tabs>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_Toc1430618320 </w:instrText>
          </w:r>
          <w:r>
            <w:rPr>
              <w:rFonts w:hint="eastAsia" w:ascii="黑体" w:hAnsi="黑体" w:eastAsia="黑体" w:cs="黑体"/>
              <w:sz w:val="28"/>
              <w:szCs w:val="28"/>
            </w:rPr>
            <w:fldChar w:fldCharType="separate"/>
          </w:r>
          <w:r>
            <w:rPr>
              <w:rFonts w:hint="eastAsia" w:ascii="黑体" w:hAnsi="黑体" w:eastAsia="黑体" w:cs="黑体"/>
              <w:sz w:val="28"/>
              <w:szCs w:val="28"/>
            </w:rPr>
            <w:t>第十六</w:t>
          </w:r>
          <w:r>
            <w:rPr>
              <w:rFonts w:hint="eastAsia" w:ascii="黑体" w:hAnsi="黑体" w:eastAsia="黑体" w:cs="黑体"/>
              <w:spacing w:val="-10"/>
              <w:sz w:val="28"/>
              <w:szCs w:val="28"/>
            </w:rPr>
            <w:t>章</w:t>
          </w:r>
          <w:r>
            <w:rPr>
              <w:rFonts w:hint="eastAsia" w:ascii="黑体" w:hAnsi="黑体" w:eastAsia="黑体" w:cs="黑体"/>
              <w:sz w:val="28"/>
              <w:szCs w:val="28"/>
            </w:rPr>
            <w:tab/>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规划实施保障措</w:t>
          </w:r>
          <w:r>
            <w:rPr>
              <w:rFonts w:hint="eastAsia" w:ascii="黑体" w:hAnsi="黑体" w:eastAsia="黑体" w:cs="黑体"/>
              <w:spacing w:val="-10"/>
              <w:sz w:val="28"/>
              <w:szCs w:val="28"/>
            </w:rPr>
            <w:t>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_Toc1430618320 \h </w:instrText>
          </w:r>
          <w:r>
            <w:rPr>
              <w:rFonts w:hint="eastAsia" w:ascii="黑体" w:hAnsi="黑体" w:eastAsia="黑体" w:cs="黑体"/>
              <w:sz w:val="28"/>
              <w:szCs w:val="28"/>
            </w:rPr>
            <w:fldChar w:fldCharType="separate"/>
          </w:r>
          <w:r>
            <w:rPr>
              <w:rFonts w:hint="eastAsia" w:ascii="黑体" w:hAnsi="黑体" w:eastAsia="黑体" w:cs="黑体"/>
              <w:sz w:val="28"/>
              <w:szCs w:val="28"/>
            </w:rPr>
            <w:t>62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AEDD7AF">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_Toc1835906685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第一节</w:t>
          </w:r>
          <w:r>
            <w:rPr>
              <w:rFonts w:hint="eastAsia" w:ascii="楷体_GB2312" w:hAnsi="楷体_GB2312" w:eastAsia="楷体_GB2312" w:cs="楷体_GB2312"/>
              <w:i w:val="0"/>
              <w:iCs w:val="0"/>
              <w:spacing w:val="44"/>
              <w:w w:val="150"/>
              <w:sz w:val="28"/>
              <w:szCs w:val="28"/>
            </w:rPr>
            <w:t xml:space="preserve"> </w:t>
          </w:r>
          <w:r>
            <w:rPr>
              <w:rFonts w:hint="eastAsia" w:ascii="楷体_GB2312" w:hAnsi="楷体_GB2312" w:eastAsia="楷体_GB2312" w:cs="楷体_GB2312"/>
              <w:i w:val="0"/>
              <w:iCs w:val="0"/>
              <w:sz w:val="28"/>
              <w:szCs w:val="28"/>
            </w:rPr>
            <w:t>做好各项</w:t>
          </w:r>
          <w:r>
            <w:rPr>
              <w:rFonts w:hint="eastAsia" w:ascii="楷体_GB2312" w:hAnsi="楷体_GB2312" w:eastAsia="楷体_GB2312" w:cs="楷体_GB2312"/>
              <w:i w:val="0"/>
              <w:iCs w:val="0"/>
              <w:spacing w:val="-5"/>
              <w:sz w:val="28"/>
              <w:szCs w:val="28"/>
            </w:rPr>
            <w:t>规划</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_Toc1835906685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06F0121">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_Toc417593849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第二节</w:t>
          </w:r>
          <w:r>
            <w:rPr>
              <w:rFonts w:hint="eastAsia" w:ascii="楷体_GB2312" w:hAnsi="楷体_GB2312" w:eastAsia="楷体_GB2312" w:cs="楷体_GB2312"/>
              <w:i w:val="0"/>
              <w:iCs w:val="0"/>
              <w:spacing w:val="44"/>
              <w:w w:val="150"/>
              <w:sz w:val="28"/>
              <w:szCs w:val="28"/>
            </w:rPr>
            <w:t xml:space="preserve"> </w:t>
          </w:r>
          <w:r>
            <w:rPr>
              <w:rFonts w:hint="eastAsia" w:ascii="楷体_GB2312" w:hAnsi="楷体_GB2312" w:eastAsia="楷体_GB2312" w:cs="楷体_GB2312"/>
              <w:i w:val="0"/>
              <w:iCs w:val="0"/>
              <w:sz w:val="28"/>
              <w:szCs w:val="28"/>
            </w:rPr>
            <w:t>分类指导</w:t>
          </w:r>
          <w:r>
            <w:rPr>
              <w:rFonts w:hint="eastAsia" w:ascii="楷体_GB2312" w:hAnsi="楷体_GB2312" w:eastAsia="楷体_GB2312" w:cs="楷体_GB2312"/>
              <w:i w:val="0"/>
              <w:iCs w:val="0"/>
              <w:spacing w:val="-5"/>
              <w:sz w:val="28"/>
              <w:szCs w:val="28"/>
            </w:rPr>
            <w:t>实施</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_Toc417593849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D55073D">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_Toc1255424524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第三节</w:t>
          </w:r>
          <w:r>
            <w:rPr>
              <w:rFonts w:hint="eastAsia" w:ascii="楷体_GB2312" w:hAnsi="楷体_GB2312" w:eastAsia="楷体_GB2312" w:cs="楷体_GB2312"/>
              <w:i w:val="0"/>
              <w:iCs w:val="0"/>
              <w:spacing w:val="44"/>
              <w:w w:val="150"/>
              <w:sz w:val="28"/>
              <w:szCs w:val="28"/>
            </w:rPr>
            <w:t xml:space="preserve"> </w:t>
          </w:r>
          <w:r>
            <w:rPr>
              <w:rFonts w:hint="eastAsia" w:ascii="楷体_GB2312" w:hAnsi="楷体_GB2312" w:eastAsia="楷体_GB2312" w:cs="楷体_GB2312"/>
              <w:i w:val="0"/>
              <w:iCs w:val="0"/>
              <w:sz w:val="28"/>
              <w:szCs w:val="28"/>
            </w:rPr>
            <w:t>统筹进度</w:t>
          </w:r>
          <w:r>
            <w:rPr>
              <w:rFonts w:hint="eastAsia" w:ascii="楷体_GB2312" w:hAnsi="楷体_GB2312" w:eastAsia="楷体_GB2312" w:cs="楷体_GB2312"/>
              <w:i w:val="0"/>
              <w:iCs w:val="0"/>
              <w:spacing w:val="-5"/>
              <w:sz w:val="28"/>
              <w:szCs w:val="28"/>
            </w:rPr>
            <w:t>安排</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_Toc1255424524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494FFAD">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_Toc92383178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第四节</w:t>
          </w:r>
          <w:r>
            <w:rPr>
              <w:rFonts w:hint="eastAsia" w:ascii="楷体_GB2312" w:hAnsi="楷体_GB2312" w:eastAsia="楷体_GB2312" w:cs="楷体_GB2312"/>
              <w:i w:val="0"/>
              <w:iCs w:val="0"/>
              <w:spacing w:val="44"/>
              <w:w w:val="150"/>
              <w:sz w:val="28"/>
              <w:szCs w:val="28"/>
            </w:rPr>
            <w:t xml:space="preserve"> </w:t>
          </w:r>
          <w:r>
            <w:rPr>
              <w:rFonts w:hint="eastAsia" w:ascii="楷体_GB2312" w:hAnsi="楷体_GB2312" w:eastAsia="楷体_GB2312" w:cs="楷体_GB2312"/>
              <w:i w:val="0"/>
              <w:iCs w:val="0"/>
              <w:sz w:val="28"/>
              <w:szCs w:val="28"/>
            </w:rPr>
            <w:t>完善考核</w:t>
          </w:r>
          <w:r>
            <w:rPr>
              <w:rFonts w:hint="eastAsia" w:ascii="楷体_GB2312" w:hAnsi="楷体_GB2312" w:eastAsia="楷体_GB2312" w:cs="楷体_GB2312"/>
              <w:i w:val="0"/>
              <w:iCs w:val="0"/>
              <w:spacing w:val="-5"/>
              <w:sz w:val="28"/>
              <w:szCs w:val="28"/>
            </w:rPr>
            <w:t>评价</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_Toc92383178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1E70D0B">
          <w:pPr>
            <w:pStyle w:val="6"/>
            <w:tabs>
              <w:tab w:val="right" w:leader="dot" w:pos="9170"/>
            </w:tabs>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_Toc541386305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w:t>
          </w:r>
          <w:r>
            <w:rPr>
              <w:rFonts w:hint="eastAsia" w:ascii="楷体_GB2312" w:hAnsi="楷体_GB2312" w:eastAsia="楷体_GB2312" w:cs="楷体_GB2312"/>
              <w:i w:val="0"/>
              <w:iCs w:val="0"/>
              <w:sz w:val="28"/>
              <w:szCs w:val="28"/>
              <w:lang w:eastAsia="zh-CN"/>
            </w:rPr>
            <w:t>五</w:t>
          </w:r>
          <w:r>
            <w:rPr>
              <w:rFonts w:hint="eastAsia" w:ascii="楷体_GB2312" w:hAnsi="楷体_GB2312" w:eastAsia="楷体_GB2312" w:cs="楷体_GB2312"/>
              <w:i w:val="0"/>
              <w:iCs w:val="0"/>
              <w:sz w:val="28"/>
              <w:szCs w:val="28"/>
            </w:rPr>
            <w:t>节</w:t>
          </w:r>
          <w:r>
            <w:rPr>
              <w:rFonts w:hint="eastAsia" w:ascii="楷体_GB2312" w:hAnsi="楷体_GB2312" w:eastAsia="楷体_GB2312" w:cs="楷体_GB2312"/>
              <w:i w:val="0"/>
              <w:iCs w:val="0"/>
              <w:spacing w:val="46"/>
              <w:w w:val="150"/>
              <w:sz w:val="28"/>
              <w:szCs w:val="28"/>
            </w:rPr>
            <w:t xml:space="preserve"> </w:t>
          </w:r>
          <w:r>
            <w:rPr>
              <w:rFonts w:hint="eastAsia" w:ascii="楷体_GB2312" w:hAnsi="楷体_GB2312" w:eastAsia="楷体_GB2312" w:cs="楷体_GB2312"/>
              <w:i w:val="0"/>
              <w:iCs w:val="0"/>
              <w:sz w:val="28"/>
              <w:szCs w:val="28"/>
            </w:rPr>
            <w:t>加强实施</w:t>
          </w:r>
          <w:r>
            <w:rPr>
              <w:rFonts w:hint="eastAsia" w:ascii="楷体_GB2312" w:hAnsi="楷体_GB2312" w:eastAsia="楷体_GB2312" w:cs="楷体_GB2312"/>
              <w:i w:val="0"/>
              <w:iCs w:val="0"/>
              <w:spacing w:val="-5"/>
              <w:sz w:val="28"/>
              <w:szCs w:val="28"/>
            </w:rPr>
            <w:t>监督</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_Toc541386305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C085E70">
          <w:pPr>
            <w:pStyle w:val="6"/>
            <w:tabs>
              <w:tab w:val="right" w:leader="dot" w:pos="9170"/>
            </w:tabs>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_Toc2102346409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i w:val="0"/>
              <w:iCs w:val="0"/>
              <w:sz w:val="28"/>
              <w:szCs w:val="28"/>
            </w:rPr>
            <w:t>第六节</w:t>
          </w:r>
          <w:r>
            <w:rPr>
              <w:rFonts w:hint="eastAsia" w:ascii="楷体_GB2312" w:hAnsi="楷体_GB2312" w:eastAsia="楷体_GB2312" w:cs="楷体_GB2312"/>
              <w:i w:val="0"/>
              <w:iCs w:val="0"/>
              <w:spacing w:val="44"/>
              <w:w w:val="150"/>
              <w:sz w:val="28"/>
              <w:szCs w:val="28"/>
            </w:rPr>
            <w:t xml:space="preserve"> </w:t>
          </w:r>
          <w:r>
            <w:rPr>
              <w:rFonts w:hint="eastAsia" w:ascii="楷体_GB2312" w:hAnsi="楷体_GB2312" w:eastAsia="楷体_GB2312" w:cs="楷体_GB2312"/>
              <w:i w:val="0"/>
              <w:iCs w:val="0"/>
              <w:sz w:val="28"/>
              <w:szCs w:val="28"/>
            </w:rPr>
            <w:t>规划实施</w:t>
          </w:r>
          <w:r>
            <w:rPr>
              <w:rFonts w:hint="eastAsia" w:ascii="楷体_GB2312" w:hAnsi="楷体_GB2312" w:eastAsia="楷体_GB2312" w:cs="楷体_GB2312"/>
              <w:i w:val="0"/>
              <w:iCs w:val="0"/>
              <w:spacing w:val="-5"/>
              <w:sz w:val="28"/>
              <w:szCs w:val="28"/>
            </w:rPr>
            <w:t>调整</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_Toc2102346409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D80532A">
          <w:pPr>
            <w:pStyle w:val="9"/>
            <w:tabs>
              <w:tab w:val="right" w:pos="2800"/>
              <w:tab w:val="right" w:leader="dot" w:pos="9170"/>
            </w:tabs>
            <w:rPr>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_Toc1546396787 </w:instrText>
          </w:r>
          <w:r>
            <w:rPr>
              <w:rFonts w:hint="eastAsia" w:ascii="黑体" w:hAnsi="黑体" w:eastAsia="黑体" w:cs="黑体"/>
              <w:sz w:val="28"/>
              <w:szCs w:val="28"/>
            </w:rPr>
            <w:fldChar w:fldCharType="separate"/>
          </w:r>
          <w:r>
            <w:rPr>
              <w:rFonts w:hint="eastAsia" w:ascii="黑体" w:hAnsi="黑体" w:eastAsia="黑体" w:cs="黑体"/>
              <w:spacing w:val="-10"/>
              <w:sz w:val="28"/>
              <w:szCs w:val="28"/>
            </w:rPr>
            <w:t>结</w:t>
          </w:r>
          <w:r>
            <w:rPr>
              <w:rFonts w:hint="eastAsia" w:ascii="黑体" w:hAnsi="黑体" w:eastAsia="黑体" w:cs="黑体"/>
              <w:sz w:val="28"/>
              <w:szCs w:val="28"/>
            </w:rPr>
            <w:tab/>
          </w:r>
          <w:r>
            <w:rPr>
              <w:rFonts w:hint="eastAsia" w:ascii="黑体" w:hAnsi="黑体" w:eastAsia="黑体" w:cs="黑体"/>
              <w:spacing w:val="-10"/>
              <w:sz w:val="28"/>
              <w:szCs w:val="28"/>
            </w:rPr>
            <w:t>语</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_Toc1546396787 \h </w:instrText>
          </w:r>
          <w:r>
            <w:rPr>
              <w:rFonts w:hint="eastAsia" w:ascii="黑体" w:hAnsi="黑体" w:eastAsia="黑体" w:cs="黑体"/>
              <w:sz w:val="28"/>
              <w:szCs w:val="28"/>
            </w:rPr>
            <w:fldChar w:fldCharType="separate"/>
          </w:r>
          <w:r>
            <w:rPr>
              <w:rFonts w:hint="eastAsia" w:ascii="黑体" w:hAnsi="黑体" w:eastAsia="黑体" w:cs="黑体"/>
              <w:sz w:val="28"/>
              <w:szCs w:val="28"/>
            </w:rPr>
            <w:t>65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A73A9E4">
          <w:pPr>
            <w:tabs>
              <w:tab w:val="left" w:pos="1545"/>
            </w:tabs>
            <w:spacing w:before="0" w:line="684" w:lineRule="exact"/>
            <w:ind w:left="0" w:right="222" w:firstLine="0"/>
            <w:jc w:val="both"/>
            <w:rPr>
              <w:rFonts w:ascii="宋体" w:hAnsi="宋体" w:eastAsia="宋体" w:cs="仿宋_GB2312"/>
              <w:sz w:val="21"/>
              <w:szCs w:val="22"/>
              <w:lang w:val="en-US" w:eastAsia="zh-CN" w:bidi="ar-SA"/>
            </w:rPr>
          </w:pPr>
          <w:r>
            <w:rPr>
              <w:sz w:val="28"/>
              <w:szCs w:val="28"/>
            </w:rPr>
            <w:fldChar w:fldCharType="end"/>
          </w:r>
        </w:p>
      </w:sdtContent>
    </w:sdt>
    <w:p w14:paraId="3BDDE0F6">
      <w:pPr>
        <w:spacing w:after="0" w:line="300" w:lineRule="exact"/>
        <w:jc w:val="right"/>
        <w:rPr>
          <w:sz w:val="28"/>
        </w:rPr>
      </w:pPr>
    </w:p>
    <w:p w14:paraId="2949D874">
      <w:pPr>
        <w:spacing w:after="0" w:line="300" w:lineRule="exact"/>
        <w:jc w:val="right"/>
        <w:rPr>
          <w:sz w:val="28"/>
        </w:rPr>
      </w:pPr>
    </w:p>
    <w:p w14:paraId="17D4F840">
      <w:pPr>
        <w:spacing w:after="0" w:line="300" w:lineRule="exact"/>
        <w:jc w:val="right"/>
        <w:rPr>
          <w:sz w:val="28"/>
        </w:rPr>
      </w:pPr>
    </w:p>
    <w:p w14:paraId="284D2C2C">
      <w:pPr>
        <w:spacing w:after="0" w:line="300" w:lineRule="exact"/>
        <w:jc w:val="right"/>
        <w:rPr>
          <w:sz w:val="28"/>
        </w:rPr>
      </w:pPr>
    </w:p>
    <w:p w14:paraId="006B84C8">
      <w:pPr>
        <w:spacing w:after="0" w:line="300" w:lineRule="exact"/>
        <w:jc w:val="right"/>
        <w:rPr>
          <w:sz w:val="28"/>
        </w:rPr>
      </w:pPr>
    </w:p>
    <w:p w14:paraId="7CD9024B">
      <w:pPr>
        <w:spacing w:after="0" w:line="300" w:lineRule="exact"/>
        <w:jc w:val="right"/>
        <w:rPr>
          <w:sz w:val="28"/>
        </w:rPr>
        <w:sectPr>
          <w:footerReference r:id="rId6" w:type="default"/>
          <w:footerReference r:id="rId7" w:type="even"/>
          <w:type w:val="continuous"/>
          <w:pgSz w:w="11910" w:h="16840"/>
          <w:pgMar w:top="1600" w:right="1260" w:bottom="1180" w:left="1480" w:header="0" w:footer="1134" w:gutter="0"/>
          <w:pgNumType w:fmt="upperRoman"/>
          <w:cols w:space="720" w:num="1"/>
        </w:sectPr>
      </w:pPr>
    </w:p>
    <w:p w14:paraId="006AE3D1">
      <w:pPr>
        <w:pStyle w:val="5"/>
        <w:spacing w:before="0" w:line="360" w:lineRule="auto"/>
        <w:ind w:left="0" w:right="0" w:firstLine="552" w:firstLineChars="200"/>
        <w:jc w:val="both"/>
      </w:pPr>
      <w:r>
        <w:rPr>
          <w:spacing w:val="-2"/>
        </w:rPr>
        <w:t>“十二五”时期，是哈密地区站在新的历史起点，深入贯彻落实中央新疆工作座谈会，党的十七届五中全会，自治区党委七届九次、</w:t>
      </w:r>
      <w:r>
        <w:rPr>
          <w:spacing w:val="-6"/>
        </w:rPr>
        <w:t>十次全委（扩大）会议和地委委员（扩大）会议精神，实现科学跨越、</w:t>
      </w:r>
      <w:r>
        <w:rPr>
          <w:spacing w:val="-2"/>
        </w:rPr>
        <w:t>后发赶超的重要机遇期和全面建设小康社会的关键时期。深刻认识并准确把握当前面临的新形势，科学制定地区国民经济和社会发展第十二个五年规划，对于推动地区大建设、大开发、大发展，开创经济社会跨越式发展和长治久安新局面，具有十分重要的意义。</w:t>
      </w:r>
    </w:p>
    <w:p w14:paraId="38DC218D">
      <w:pPr>
        <w:pStyle w:val="5"/>
        <w:ind w:left="0"/>
      </w:pPr>
    </w:p>
    <w:p w14:paraId="4745775D">
      <w:bookmarkStart w:id="0" w:name="第一章  发展基础与发展环境"/>
      <w:bookmarkEnd w:id="0"/>
      <w:bookmarkStart w:id="1" w:name="_bookmark0"/>
      <w:bookmarkEnd w:id="1"/>
    </w:p>
    <w:p w14:paraId="7F8A384C">
      <w:pPr>
        <w:pStyle w:val="2"/>
        <w:tabs>
          <w:tab w:val="left" w:pos="1199"/>
        </w:tabs>
        <w:ind w:right="0"/>
      </w:pPr>
      <w:bookmarkStart w:id="2" w:name="_Toc496659276"/>
      <w:bookmarkStart w:id="3" w:name="_Toc1801622943"/>
      <w:bookmarkStart w:id="4" w:name="_Toc19621"/>
      <w:bookmarkStart w:id="5" w:name="_Toc1464926285"/>
      <w:r>
        <w:t>第一</w:t>
      </w:r>
      <w:r>
        <w:rPr>
          <w:spacing w:val="-10"/>
        </w:rPr>
        <w:t>章</w:t>
      </w:r>
      <w:r>
        <w:tab/>
      </w:r>
      <w:r>
        <w:t>发展基础与发展环</w:t>
      </w:r>
      <w:r>
        <w:rPr>
          <w:spacing w:val="-10"/>
        </w:rPr>
        <w:t>境</w:t>
      </w:r>
      <w:bookmarkEnd w:id="2"/>
      <w:bookmarkEnd w:id="3"/>
      <w:bookmarkEnd w:id="4"/>
      <w:bookmarkEnd w:id="5"/>
    </w:p>
    <w:p w14:paraId="074A3F35">
      <w:pPr>
        <w:pStyle w:val="5"/>
        <w:spacing w:before="11"/>
        <w:ind w:left="0"/>
        <w:rPr>
          <w:rFonts w:ascii="黑体"/>
          <w:sz w:val="31"/>
        </w:rPr>
      </w:pPr>
    </w:p>
    <w:p w14:paraId="4877EA74">
      <w:pPr>
        <w:pStyle w:val="3"/>
        <w:ind w:left="0" w:right="0"/>
        <w:rPr>
          <w:i w:val="0"/>
          <w:iCs w:val="0"/>
        </w:rPr>
      </w:pPr>
      <w:bookmarkStart w:id="6" w:name="第一节  发展基础"/>
      <w:bookmarkEnd w:id="6"/>
      <w:bookmarkStart w:id="7" w:name="_bookmark1"/>
      <w:bookmarkEnd w:id="7"/>
      <w:bookmarkStart w:id="8" w:name="_Toc1494657673"/>
      <w:bookmarkStart w:id="9" w:name="_Toc5087"/>
      <w:bookmarkStart w:id="10" w:name="_Toc1929541635"/>
      <w:bookmarkStart w:id="11" w:name="_Toc219086685"/>
      <w:r>
        <w:rPr>
          <w:i w:val="0"/>
          <w:iCs w:val="0"/>
        </w:rPr>
        <w:t>第一节</w:t>
      </w:r>
      <w:r>
        <w:rPr>
          <w:i w:val="0"/>
          <w:iCs w:val="0"/>
          <w:spacing w:val="48"/>
          <w:w w:val="150"/>
        </w:rPr>
        <w:t xml:space="preserve"> </w:t>
      </w:r>
      <w:r>
        <w:rPr>
          <w:i w:val="0"/>
          <w:iCs w:val="0"/>
        </w:rPr>
        <w:t>发展基</w:t>
      </w:r>
      <w:r>
        <w:rPr>
          <w:i w:val="0"/>
          <w:iCs w:val="0"/>
          <w:spacing w:val="-10"/>
        </w:rPr>
        <w:t>础</w:t>
      </w:r>
      <w:bookmarkEnd w:id="8"/>
      <w:bookmarkEnd w:id="9"/>
      <w:bookmarkEnd w:id="10"/>
      <w:bookmarkEnd w:id="11"/>
    </w:p>
    <w:p w14:paraId="66149090">
      <w:pPr>
        <w:pStyle w:val="5"/>
        <w:spacing w:before="0" w:line="360" w:lineRule="auto"/>
        <w:ind w:left="0" w:firstLine="536" w:firstLineChars="200"/>
        <w:jc w:val="both"/>
        <w:rPr>
          <w:rFonts w:ascii="仿宋_GB2312"/>
          <w:b w:val="0"/>
          <w:i w:val="0"/>
          <w:spacing w:val="-6"/>
          <w:sz w:val="28"/>
        </w:rPr>
      </w:pPr>
    </w:p>
    <w:p w14:paraId="58735468">
      <w:pPr>
        <w:pStyle w:val="5"/>
        <w:spacing w:line="360" w:lineRule="auto"/>
        <w:ind w:left="0" w:right="0" w:firstLine="536" w:firstLineChars="200"/>
        <w:jc w:val="both"/>
        <w:rPr>
          <w:spacing w:val="-6"/>
        </w:rPr>
      </w:pPr>
      <w:r>
        <w:rPr>
          <w:spacing w:val="-6"/>
        </w:rPr>
        <w:t>“十一五”时期，哈密地委、行署团结带领各族人民，以科学发展观为统领，坚定不移地贯彻落实国家、自治区的一系列方针政策，全面贯彻执行“生态立区、工业强区、科教兴区、南园北牧、增收富民”</w:t>
      </w:r>
      <w:r>
        <w:rPr>
          <w:rFonts w:hint="eastAsia"/>
          <w:spacing w:val="-6"/>
          <w:lang w:eastAsia="zh-CN"/>
        </w:rPr>
        <w:t>的</w:t>
      </w:r>
      <w:r>
        <w:rPr>
          <w:spacing w:val="-6"/>
        </w:rPr>
        <w:t>发展</w:t>
      </w:r>
      <w:r>
        <w:rPr>
          <w:rFonts w:hint="eastAsia"/>
          <w:spacing w:val="-6"/>
          <w:lang w:eastAsia="zh-CN"/>
        </w:rPr>
        <w:t>目标</w:t>
      </w:r>
      <w:r>
        <w:rPr>
          <w:spacing w:val="-6"/>
        </w:rPr>
        <w:t>，努力减少国际金融危机的不利影响，取得了经济建设、政治建设、文化建设、社会建设和生态文明建设的新成就，“十一五”规划确定的主要目标和任务全面提前超额完成。哈密地区经济社会发展已经进入了一个新的发展时期和新的历史阶段。</w:t>
      </w:r>
    </w:p>
    <w:p w14:paraId="10432381">
      <w:pPr>
        <w:pStyle w:val="5"/>
        <w:spacing w:before="0" w:line="360" w:lineRule="auto"/>
        <w:ind w:left="0" w:right="0" w:firstLine="536" w:firstLineChars="200"/>
        <w:jc w:val="both"/>
        <w:rPr>
          <w:spacing w:val="-6"/>
        </w:rPr>
      </w:pPr>
      <w:r>
        <w:rPr>
          <w:spacing w:val="-6"/>
        </w:rPr>
        <w:t>2010 年实现地区生产总值 167.38 亿元，“十一五”期间年均增长16.19%，高于自治区同期平均水平 5.59 个百分点；人均地区生产总值2.94 万元；地方财政一般预算收入 15.04 亿元，年均增长 32%；全社会消费品零售总额 38.67 亿元，年均增长 15.39%。国民经济的持续快速发展，为“十二五”的顺利开启奠定了坚实的基础。</w:t>
      </w:r>
      <w:r>
        <w:rPr>
          <w:rFonts w:hint="eastAsia"/>
          <w:spacing w:val="-6"/>
          <w:lang w:eastAsia="zh-CN"/>
        </w:rPr>
        <w:t>全力推动</w:t>
      </w:r>
      <w:r>
        <w:rPr>
          <w:spacing w:val="-2"/>
        </w:rPr>
        <w:t>“工</w:t>
      </w:r>
      <w:r>
        <w:rPr>
          <w:spacing w:val="-15"/>
        </w:rPr>
        <w:t>业强区”、</w:t>
      </w:r>
      <w:r>
        <w:rPr>
          <w:spacing w:val="-6"/>
        </w:rPr>
        <w:t>优势资源转换、大企业大集团</w:t>
      </w:r>
      <w:r>
        <w:rPr>
          <w:rFonts w:hint="eastAsia"/>
          <w:spacing w:val="-6"/>
          <w:lang w:eastAsia="zh-CN"/>
        </w:rPr>
        <w:t>落实</w:t>
      </w:r>
      <w:r>
        <w:rPr>
          <w:spacing w:val="-6"/>
        </w:rPr>
        <w:t>，加快推进“四大基地”建设，优势主导产业发展迅猛，工业园区体系不断完善，工业经济连续保持高速增长；以提升发展层次和水平为重点，大力发展现代服务业和文化旅游业，加快交通运输业、仓储物流业、房地产业和中介服务业发展，尤其是“十一五”后两年，房地产业、交通运输业成为拉动经济快速发展的重要力量；坚持发展“南园北牧”，以工业化思维谋划现代农业的发展，大力发展以大枣为主的特色林果业、设施农业和现代畜牧业，以“调粮、退棉、增经、扩草”为重点的农业产业结构调整取得了重大进展。三次产业结构不断优化，比重由 2005年的 15.2：31.9：52.9 调整为 2010 年的 14.4：44.8：40.8。连霍高速公路、兰新铁路电气化改造以及兰新铁路第二双线、哈密机场复航改扩建等一大批重点工程相继开工建设或建成投运，地区综合立体交通体系初步形成；750 千伏超高压输变电线路并入国家电网，220 千伏、 110 千伏电网网架初步形成，地区电力安全供应能力不断增强，并为 “疆电东送”提供了有力支撑；射月沟、四道沟、峡沟等一批控制性水利工程、农田基本水利设施、高效节水工程建成投产，有效缓解了水资源瓶颈；建设完成了一批城镇道路、农村电网改造、供排水、集中供热等基础设施项目及危旧房改造工程，城乡面貌发生了显著变化；不断推进公共财政向农村倾斜、基础设施向农村延伸、公共服务向农村覆盖，启动了安居富民、定居兴牧工程，社会主义新农村建设取得良好进展。始终把保障和改善民生作为一切工作的出发点和落脚点，着力解决了一批涉及群众切身利益的重大问题。教育总体水平和质量显著提高；就业渠道不断扩大，社会保障覆盖面不断拓宽，社会保障体系基本建立；疾病预防控制体系和突发公共卫生事件医疗救治体系建设全</w:t>
      </w:r>
      <w:r>
        <w:rPr>
          <w:spacing w:val="-2"/>
        </w:rPr>
        <w:t>面完成；人口与计划生育事业稳步</w:t>
      </w:r>
      <w:r>
        <w:rPr>
          <w:spacing w:val="-6"/>
        </w:rPr>
        <w:t>推进，文化体育事业蓬勃发展，成功举办了自治区第七届少数民族运动会。“十一五”期间，地区用于改善民生的财政支出年均增长 36.1%，占财政支出的 70%以上。人民生活水平和生活质量不断提高， 2010 年，城镇居民人均可支配收入 13372 元，年均增长 14.4%；农牧民人均纯收入 5934 元，年均增长 14.4%。小学适龄儿童入学率保持在 99%以上，农村新型合作医疗参合率达到 99.77%，城镇登记失业率控制在 3.2%以内。把城镇化发展作为新型工业化发展的重要依托和载体，以人民群众过上现代文明生活为基本出发点，用现代城市理念，不断加大城市基础设施建设，城市功能日趋完善。哈密市作为中心城市的集聚扩散作用日益突出，吸纳就业和辐射带动能力不断增强。在优势资源开发的重点区域，形成了 5个分工明确、特色鲜明的小城镇，不断完善的城镇体系成为保障地区经济又好又快发展的重要力量。坚持实施“生态立区”，加强六大生态区建设与保护，使生态功能得到有效恢复，主要风沙危害区得到有效治理；采取“围栏封育”方式，完成了 255 万亩围栏草场建设，使天然植被逐步恢复；推进防护林建设，人工造林实现历史性突破，森林覆盖率从 2005 年的 1.19%增加到 1.32%；加强</w:t>
      </w:r>
      <w:r>
        <w:rPr>
          <w:rFonts w:hint="eastAsia"/>
          <w:spacing w:val="-6"/>
          <w:lang w:eastAsia="zh-CN"/>
        </w:rPr>
        <w:t>生态</w:t>
      </w:r>
      <w:r>
        <w:rPr>
          <w:spacing w:val="-6"/>
        </w:rPr>
        <w:t>环境治理和预防，严格建设项目环保审批，对低水平、高污染、技术落后的工艺和产品实施了强制性淘汰，制定了环境污染应急预案，降低了污染企业排污量，COD 排放量为 7831 吨，污染物减排目标基本完成，有效改善了地区环境污染状况。预计到 2010 年地区万元GDP 能耗为 2.236吨标准煤，比 2005 年下降 16.16%。加快推进行政管理体制改革，政府职能加快转变；积极推进农村综合改革，各项涉农惠农政策全面落实；稳步推进国有企业改革，放宽市场准入，鼓励和支持非公有制经济繁荣发展；促进金融体制改革，组建了哈密市商业银行；深化分配和人事制度改革，激发社会发展活力；融合发展深入人心，广东援疆硕果累累，河南援疆初见成效；对内对外合作交流日益频繁，对外贸易健康发展。“十一五”招商引资累计到位资金 243.7 亿元，进出口贸易总额 2.66 亿美元；实施“科教兴区”和“人才强区”，加快推进技术改造与科技创新，科技自主创新能力和综合竞争力不断提升。</w:t>
      </w:r>
      <w:r>
        <w:rPr>
          <w:rFonts w:hint="default"/>
          <w:spacing w:val="-6"/>
        </w:rPr>
        <w:t>正确处理“第一要务”与“第一责任”的关系，深入开展民族团结教育活动，注重建立</w:t>
      </w:r>
      <w:r>
        <w:rPr>
          <w:rFonts w:hint="eastAsia"/>
          <w:color w:val="auto"/>
          <w:spacing w:val="-6"/>
          <w:lang w:eastAsia="zh-CN"/>
        </w:rPr>
        <w:t>稳定</w:t>
      </w:r>
      <w:r>
        <w:rPr>
          <w:rFonts w:hint="default"/>
          <w:spacing w:val="-6"/>
        </w:rPr>
        <w:t>长效机制，推进人防、物防、技防建设，</w:t>
      </w:r>
      <w:r>
        <w:rPr>
          <w:rFonts w:ascii="仿宋_GB2312" w:hAnsi="仿宋_GB2312" w:eastAsia="仿宋_GB2312" w:cs="仿宋_GB2312"/>
          <w:i w:val="0"/>
          <w:iCs w:val="0"/>
          <w:caps w:val="0"/>
          <w:spacing w:val="-6"/>
          <w:sz w:val="28"/>
          <w:szCs w:val="28"/>
          <w:shd w:val="clear"/>
        </w:rPr>
        <w:t>保持社会和谐稳定</w:t>
      </w:r>
      <w:r>
        <w:rPr>
          <w:rFonts w:hint="default"/>
          <w:spacing w:val="-6"/>
        </w:rPr>
        <w:t>。坚持以建设高素质的干部队伍和夯实基层组织为重点，</w:t>
      </w:r>
      <w:r>
        <w:rPr>
          <w:spacing w:val="-6"/>
        </w:rPr>
        <w:t>扎实推进党的思想、组织、作风、制度和反腐倡廉建设。重视加强基层组织建设，不断充实基层工作力量。重视加强新社会组织和非公经济组织党的建设，不断扩大党的工作覆盖面。重视提高基层组织为群众办实事的能力建设，不断提高了基层组织贯彻执行党的路线方针政策、带领群众发展致富、维护基层稳定的能力和水平。</w:t>
      </w:r>
    </w:p>
    <w:p w14:paraId="2AD6275B">
      <w:pPr>
        <w:pStyle w:val="5"/>
        <w:spacing w:line="360" w:lineRule="auto"/>
        <w:ind w:left="0" w:right="0" w:firstLine="536" w:firstLineChars="200"/>
        <w:jc w:val="both"/>
        <w:rPr>
          <w:spacing w:val="-6"/>
        </w:rPr>
      </w:pPr>
      <w:r>
        <w:rPr>
          <w:spacing w:val="-6"/>
        </w:rPr>
        <w:t>总体来看，“十一五”时期是各项规划目标全面提前超额完成的五年。五年来取得的成绩来之不易，积累的经验弥足珍贵，对未来的发展影响深远。</w:t>
      </w:r>
    </w:p>
    <w:p w14:paraId="400F8418">
      <w:pPr>
        <w:spacing w:after="0" w:line="348" w:lineRule="auto"/>
        <w:jc w:val="both"/>
      </w:pPr>
    </w:p>
    <w:tbl>
      <w:tblPr>
        <w:tblStyle w:val="12"/>
        <w:tblW w:w="0" w:type="auto"/>
        <w:tblInd w:w="27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91"/>
        <w:gridCol w:w="1308"/>
        <w:gridCol w:w="1505"/>
        <w:gridCol w:w="1505"/>
        <w:gridCol w:w="1505"/>
      </w:tblGrid>
      <w:tr w14:paraId="7BE1D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8414" w:type="dxa"/>
            <w:gridSpan w:val="5"/>
          </w:tcPr>
          <w:p w14:paraId="6D4C96B5">
            <w:pPr>
              <w:pStyle w:val="16"/>
              <w:spacing w:before="100"/>
              <w:ind w:left="1694" w:right="1682"/>
              <w:rPr>
                <w:rFonts w:hint="eastAsia" w:ascii="黑体" w:hAnsi="黑体" w:eastAsia="黑体"/>
                <w:b/>
                <w:sz w:val="21"/>
              </w:rPr>
            </w:pPr>
            <w:r>
              <w:rPr>
                <w:rFonts w:hint="eastAsia" w:ascii="黑体" w:hAnsi="黑体" w:eastAsia="黑体"/>
                <w:b/>
                <w:spacing w:val="-17"/>
                <w:sz w:val="21"/>
              </w:rPr>
              <w:t xml:space="preserve">专栏 </w:t>
            </w:r>
            <w:r>
              <w:rPr>
                <w:rFonts w:hint="eastAsia" w:ascii="黑体" w:hAnsi="黑体" w:eastAsia="黑体"/>
                <w:b/>
                <w:sz w:val="21"/>
              </w:rPr>
              <w:t>1-1</w:t>
            </w:r>
            <w:r>
              <w:rPr>
                <w:rFonts w:hint="eastAsia" w:ascii="黑体" w:hAnsi="黑体" w:eastAsia="黑体"/>
                <w:b/>
                <w:spacing w:val="35"/>
                <w:w w:val="150"/>
                <w:sz w:val="21"/>
              </w:rPr>
              <w:t xml:space="preserve"> </w:t>
            </w:r>
            <w:r>
              <w:rPr>
                <w:rFonts w:hint="eastAsia" w:ascii="黑体" w:hAnsi="黑体" w:eastAsia="黑体"/>
                <w:b/>
                <w:sz w:val="21"/>
              </w:rPr>
              <w:t>哈密地区“十一五”期间主要指标完成情</w:t>
            </w:r>
            <w:r>
              <w:rPr>
                <w:rFonts w:hint="eastAsia" w:ascii="黑体" w:hAnsi="黑体" w:eastAsia="黑体"/>
                <w:b/>
                <w:spacing w:val="-12"/>
                <w:sz w:val="21"/>
              </w:rPr>
              <w:t>况</w:t>
            </w:r>
          </w:p>
        </w:tc>
      </w:tr>
      <w:tr w14:paraId="5CDC3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2591" w:type="dxa"/>
          </w:tcPr>
          <w:p w14:paraId="3722F847">
            <w:pPr>
              <w:pStyle w:val="16"/>
              <w:spacing w:before="132"/>
              <w:ind w:left="920" w:right="907"/>
              <w:rPr>
                <w:rFonts w:ascii="宋体" w:eastAsia="宋体"/>
                <w:sz w:val="18"/>
              </w:rPr>
            </w:pPr>
            <w:r>
              <w:rPr>
                <w:rFonts w:ascii="宋体" w:eastAsia="宋体"/>
                <w:spacing w:val="-3"/>
                <w:sz w:val="18"/>
              </w:rPr>
              <w:t>指标名称</w:t>
            </w:r>
          </w:p>
        </w:tc>
        <w:tc>
          <w:tcPr>
            <w:tcW w:w="1308" w:type="dxa"/>
          </w:tcPr>
          <w:p w14:paraId="2BE6CE9D">
            <w:pPr>
              <w:pStyle w:val="16"/>
              <w:spacing w:before="12"/>
              <w:ind w:left="345" w:right="334"/>
              <w:rPr>
                <w:rFonts w:ascii="宋体" w:eastAsia="宋体"/>
                <w:sz w:val="18"/>
              </w:rPr>
            </w:pPr>
            <w:r>
              <w:rPr>
                <w:rFonts w:ascii="宋体" w:eastAsia="宋体"/>
                <w:sz w:val="18"/>
              </w:rPr>
              <w:t>2005</w:t>
            </w:r>
            <w:r>
              <w:rPr>
                <w:rFonts w:ascii="宋体" w:eastAsia="宋体"/>
                <w:spacing w:val="-28"/>
                <w:sz w:val="18"/>
              </w:rPr>
              <w:t xml:space="preserve"> 年</w:t>
            </w:r>
          </w:p>
          <w:p w14:paraId="10317F7A">
            <w:pPr>
              <w:pStyle w:val="16"/>
              <w:spacing w:before="9" w:line="208" w:lineRule="exact"/>
              <w:ind w:left="345" w:right="329"/>
              <w:rPr>
                <w:rFonts w:ascii="宋体" w:eastAsia="宋体"/>
                <w:sz w:val="18"/>
              </w:rPr>
            </w:pPr>
            <w:r>
              <w:rPr>
                <w:rFonts w:ascii="宋体" w:eastAsia="宋体"/>
                <w:spacing w:val="-5"/>
                <w:sz w:val="18"/>
              </w:rPr>
              <w:t>实际</w:t>
            </w:r>
          </w:p>
        </w:tc>
        <w:tc>
          <w:tcPr>
            <w:tcW w:w="1505" w:type="dxa"/>
          </w:tcPr>
          <w:p w14:paraId="137FE0DD">
            <w:pPr>
              <w:pStyle w:val="16"/>
              <w:spacing w:before="0" w:line="240" w:lineRule="atLeast"/>
              <w:ind w:left="347" w:right="106" w:hanging="226"/>
              <w:jc w:val="left"/>
              <w:rPr>
                <w:rFonts w:ascii="宋体" w:hAnsi="宋体" w:eastAsia="宋体"/>
                <w:sz w:val="18"/>
              </w:rPr>
            </w:pPr>
            <w:r>
              <w:rPr>
                <w:rFonts w:ascii="宋体" w:hAnsi="宋体" w:eastAsia="宋体"/>
                <w:spacing w:val="-2"/>
                <w:sz w:val="18"/>
              </w:rPr>
              <w:t>“十一五”规划增速（%）</w:t>
            </w:r>
          </w:p>
        </w:tc>
        <w:tc>
          <w:tcPr>
            <w:tcW w:w="1505" w:type="dxa"/>
          </w:tcPr>
          <w:p w14:paraId="43F8AFF6">
            <w:pPr>
              <w:pStyle w:val="16"/>
              <w:spacing w:before="12"/>
              <w:ind w:left="26" w:right="11"/>
              <w:rPr>
                <w:rFonts w:ascii="宋体" w:eastAsia="宋体"/>
                <w:sz w:val="18"/>
              </w:rPr>
            </w:pPr>
            <w:r>
              <w:rPr>
                <w:rFonts w:ascii="宋体" w:eastAsia="宋体"/>
                <w:sz w:val="18"/>
              </w:rPr>
              <w:t>2010</w:t>
            </w:r>
            <w:r>
              <w:rPr>
                <w:rFonts w:ascii="宋体" w:eastAsia="宋体"/>
                <w:spacing w:val="-28"/>
                <w:sz w:val="18"/>
              </w:rPr>
              <w:t xml:space="preserve"> 年</w:t>
            </w:r>
          </w:p>
          <w:p w14:paraId="14CD5AB9">
            <w:pPr>
              <w:pStyle w:val="16"/>
              <w:spacing w:before="9" w:line="208" w:lineRule="exact"/>
              <w:ind w:left="23" w:right="12"/>
              <w:rPr>
                <w:rFonts w:ascii="宋体" w:eastAsia="宋体"/>
                <w:sz w:val="18"/>
              </w:rPr>
            </w:pPr>
            <w:r>
              <w:rPr>
                <w:rFonts w:ascii="宋体" w:eastAsia="宋体"/>
                <w:spacing w:val="-5"/>
                <w:sz w:val="18"/>
              </w:rPr>
              <w:t>实际</w:t>
            </w:r>
          </w:p>
        </w:tc>
        <w:tc>
          <w:tcPr>
            <w:tcW w:w="1505" w:type="dxa"/>
          </w:tcPr>
          <w:p w14:paraId="6511D475">
            <w:pPr>
              <w:pStyle w:val="16"/>
              <w:spacing w:before="0" w:line="240" w:lineRule="atLeast"/>
              <w:ind w:left="347" w:right="106" w:hanging="226"/>
              <w:jc w:val="left"/>
              <w:rPr>
                <w:rFonts w:ascii="宋体" w:hAnsi="宋体" w:eastAsia="宋体"/>
                <w:sz w:val="18"/>
              </w:rPr>
            </w:pPr>
            <w:r>
              <w:rPr>
                <w:rFonts w:ascii="宋体" w:hAnsi="宋体" w:eastAsia="宋体"/>
                <w:spacing w:val="-2"/>
                <w:sz w:val="18"/>
              </w:rPr>
              <w:t>“十一五”实际增速（%）</w:t>
            </w:r>
          </w:p>
        </w:tc>
      </w:tr>
      <w:tr w14:paraId="59DCA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047A8587">
            <w:pPr>
              <w:pStyle w:val="16"/>
              <w:spacing w:before="119"/>
              <w:ind w:left="106"/>
              <w:jc w:val="left"/>
              <w:rPr>
                <w:rFonts w:ascii="宋体" w:eastAsia="宋体"/>
                <w:sz w:val="18"/>
              </w:rPr>
            </w:pPr>
            <w:r>
              <w:rPr>
                <w:rFonts w:ascii="宋体" w:eastAsia="宋体"/>
                <w:sz w:val="18"/>
              </w:rPr>
              <w:t>地区生产总值（亿元</w:t>
            </w:r>
            <w:r>
              <w:rPr>
                <w:rFonts w:ascii="宋体" w:eastAsia="宋体"/>
                <w:spacing w:val="-10"/>
                <w:sz w:val="18"/>
              </w:rPr>
              <w:t>）</w:t>
            </w:r>
          </w:p>
        </w:tc>
        <w:tc>
          <w:tcPr>
            <w:tcW w:w="1308" w:type="dxa"/>
          </w:tcPr>
          <w:p w14:paraId="2CB58437">
            <w:pPr>
              <w:pStyle w:val="16"/>
              <w:spacing w:before="119"/>
              <w:ind w:left="429"/>
              <w:jc w:val="left"/>
              <w:rPr>
                <w:rFonts w:ascii="宋体"/>
                <w:sz w:val="18"/>
              </w:rPr>
            </w:pPr>
            <w:r>
              <w:rPr>
                <w:rFonts w:ascii="宋体"/>
                <w:spacing w:val="-2"/>
                <w:sz w:val="18"/>
              </w:rPr>
              <w:t>68.57</w:t>
            </w:r>
          </w:p>
        </w:tc>
        <w:tc>
          <w:tcPr>
            <w:tcW w:w="1505" w:type="dxa"/>
          </w:tcPr>
          <w:p w14:paraId="09A63B7A">
            <w:pPr>
              <w:pStyle w:val="16"/>
              <w:spacing w:before="119"/>
              <w:ind w:left="26" w:right="12"/>
              <w:rPr>
                <w:rFonts w:ascii="宋体"/>
                <w:sz w:val="18"/>
              </w:rPr>
            </w:pPr>
            <w:r>
              <w:rPr>
                <w:rFonts w:ascii="宋体"/>
                <w:spacing w:val="-5"/>
                <w:sz w:val="18"/>
              </w:rPr>
              <w:t>12</w:t>
            </w:r>
          </w:p>
        </w:tc>
        <w:tc>
          <w:tcPr>
            <w:tcW w:w="1505" w:type="dxa"/>
          </w:tcPr>
          <w:p w14:paraId="6B8465A2">
            <w:pPr>
              <w:pStyle w:val="16"/>
              <w:spacing w:before="119"/>
              <w:ind w:left="26" w:right="12"/>
              <w:rPr>
                <w:rFonts w:ascii="宋体"/>
                <w:sz w:val="18"/>
              </w:rPr>
            </w:pPr>
            <w:r>
              <w:rPr>
                <w:rFonts w:ascii="宋体"/>
                <w:spacing w:val="-2"/>
                <w:sz w:val="18"/>
              </w:rPr>
              <w:t>167.38</w:t>
            </w:r>
          </w:p>
        </w:tc>
        <w:tc>
          <w:tcPr>
            <w:tcW w:w="1505" w:type="dxa"/>
          </w:tcPr>
          <w:p w14:paraId="683C0DBA">
            <w:pPr>
              <w:pStyle w:val="16"/>
              <w:spacing w:before="119"/>
              <w:ind w:right="510"/>
              <w:jc w:val="right"/>
              <w:rPr>
                <w:rFonts w:ascii="宋体"/>
                <w:sz w:val="18"/>
              </w:rPr>
            </w:pPr>
            <w:r>
              <w:rPr>
                <w:rFonts w:ascii="宋体"/>
                <w:spacing w:val="-2"/>
                <w:sz w:val="18"/>
              </w:rPr>
              <w:t>16.19</w:t>
            </w:r>
          </w:p>
        </w:tc>
      </w:tr>
      <w:tr w14:paraId="3F4B7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591" w:type="dxa"/>
          </w:tcPr>
          <w:p w14:paraId="5976FD83">
            <w:pPr>
              <w:pStyle w:val="16"/>
              <w:spacing w:before="119"/>
              <w:ind w:left="106"/>
              <w:jc w:val="left"/>
              <w:rPr>
                <w:rFonts w:ascii="宋体" w:eastAsia="宋体"/>
                <w:sz w:val="18"/>
              </w:rPr>
            </w:pPr>
            <w:r>
              <w:rPr>
                <w:rFonts w:ascii="宋体" w:eastAsia="宋体"/>
                <w:sz w:val="18"/>
              </w:rPr>
              <w:t>人均生产总值（万元</w:t>
            </w:r>
            <w:r>
              <w:rPr>
                <w:rFonts w:ascii="宋体" w:eastAsia="宋体"/>
                <w:spacing w:val="-10"/>
                <w:sz w:val="18"/>
              </w:rPr>
              <w:t>）</w:t>
            </w:r>
          </w:p>
        </w:tc>
        <w:tc>
          <w:tcPr>
            <w:tcW w:w="1308" w:type="dxa"/>
          </w:tcPr>
          <w:p w14:paraId="344640BB">
            <w:pPr>
              <w:pStyle w:val="16"/>
              <w:spacing w:before="119"/>
              <w:ind w:left="345" w:right="328"/>
              <w:rPr>
                <w:rFonts w:ascii="宋体"/>
                <w:sz w:val="18"/>
              </w:rPr>
            </w:pPr>
            <w:r>
              <w:rPr>
                <w:rFonts w:ascii="宋体"/>
                <w:spacing w:val="-4"/>
                <w:sz w:val="18"/>
              </w:rPr>
              <w:t>1.29</w:t>
            </w:r>
          </w:p>
        </w:tc>
        <w:tc>
          <w:tcPr>
            <w:tcW w:w="1505" w:type="dxa"/>
          </w:tcPr>
          <w:p w14:paraId="5E2D0D4C">
            <w:pPr>
              <w:pStyle w:val="16"/>
              <w:spacing w:before="8"/>
              <w:jc w:val="left"/>
              <w:rPr>
                <w:sz w:val="10"/>
              </w:rPr>
            </w:pPr>
          </w:p>
          <w:p w14:paraId="22AF821A">
            <w:pPr>
              <w:pStyle w:val="16"/>
              <w:spacing w:before="0"/>
              <w:ind w:left="12" w:right="12"/>
              <w:rPr>
                <w:rFonts w:ascii="宋体" w:eastAsia="宋体"/>
                <w:sz w:val="15"/>
              </w:rPr>
            </w:pPr>
            <w:r>
              <w:rPr>
                <w:rFonts w:ascii="宋体" w:eastAsia="宋体"/>
                <w:spacing w:val="-18"/>
                <w:sz w:val="15"/>
              </w:rPr>
              <w:t xml:space="preserve">比 </w:t>
            </w:r>
            <w:r>
              <w:rPr>
                <w:rFonts w:ascii="宋体" w:eastAsia="宋体"/>
                <w:spacing w:val="-2"/>
                <w:sz w:val="15"/>
              </w:rPr>
              <w:t>2000</w:t>
            </w:r>
            <w:r>
              <w:rPr>
                <w:rFonts w:ascii="宋体" w:eastAsia="宋体"/>
                <w:spacing w:val="-10"/>
                <w:sz w:val="15"/>
              </w:rPr>
              <w:t xml:space="preserve"> 年翻一番半</w:t>
            </w:r>
          </w:p>
        </w:tc>
        <w:tc>
          <w:tcPr>
            <w:tcW w:w="1505" w:type="dxa"/>
          </w:tcPr>
          <w:p w14:paraId="1ADEBDA4">
            <w:pPr>
              <w:pStyle w:val="16"/>
              <w:spacing w:before="119"/>
              <w:ind w:left="24" w:right="12"/>
              <w:rPr>
                <w:rFonts w:ascii="宋体"/>
                <w:sz w:val="18"/>
              </w:rPr>
            </w:pPr>
            <w:r>
              <w:rPr>
                <w:rFonts w:ascii="宋体"/>
                <w:spacing w:val="-4"/>
                <w:sz w:val="18"/>
              </w:rPr>
              <w:t>2.94</w:t>
            </w:r>
          </w:p>
        </w:tc>
        <w:tc>
          <w:tcPr>
            <w:tcW w:w="1505" w:type="dxa"/>
          </w:tcPr>
          <w:p w14:paraId="6137BF70">
            <w:pPr>
              <w:pStyle w:val="16"/>
              <w:spacing w:before="119"/>
              <w:ind w:right="510"/>
              <w:jc w:val="right"/>
              <w:rPr>
                <w:rFonts w:ascii="宋体"/>
                <w:sz w:val="18"/>
              </w:rPr>
            </w:pPr>
            <w:r>
              <w:rPr>
                <w:rFonts w:ascii="宋体"/>
                <w:spacing w:val="-2"/>
                <w:sz w:val="18"/>
              </w:rPr>
              <w:t>14.64</w:t>
            </w:r>
          </w:p>
        </w:tc>
      </w:tr>
      <w:tr w14:paraId="1C1B9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67F40976">
            <w:pPr>
              <w:pStyle w:val="16"/>
              <w:spacing w:before="118"/>
              <w:ind w:left="106"/>
              <w:jc w:val="left"/>
              <w:rPr>
                <w:rFonts w:ascii="宋体" w:eastAsia="宋体"/>
                <w:sz w:val="18"/>
              </w:rPr>
            </w:pPr>
            <w:r>
              <w:rPr>
                <w:rFonts w:ascii="宋体" w:eastAsia="宋体"/>
                <w:sz w:val="18"/>
              </w:rPr>
              <w:t>社会消费品零售总额（亿元</w:t>
            </w:r>
            <w:r>
              <w:rPr>
                <w:rFonts w:ascii="宋体" w:eastAsia="宋体"/>
                <w:spacing w:val="-10"/>
                <w:sz w:val="18"/>
              </w:rPr>
              <w:t>）</w:t>
            </w:r>
          </w:p>
        </w:tc>
        <w:tc>
          <w:tcPr>
            <w:tcW w:w="1308" w:type="dxa"/>
          </w:tcPr>
          <w:p w14:paraId="28CD688E">
            <w:pPr>
              <w:pStyle w:val="16"/>
              <w:spacing w:before="118"/>
              <w:ind w:left="345" w:right="330"/>
              <w:rPr>
                <w:rFonts w:ascii="宋体"/>
                <w:sz w:val="18"/>
              </w:rPr>
            </w:pPr>
            <w:r>
              <w:rPr>
                <w:rFonts w:ascii="宋体"/>
                <w:spacing w:val="-4"/>
                <w:sz w:val="18"/>
              </w:rPr>
              <w:t>18.9</w:t>
            </w:r>
          </w:p>
        </w:tc>
        <w:tc>
          <w:tcPr>
            <w:tcW w:w="1505" w:type="dxa"/>
          </w:tcPr>
          <w:p w14:paraId="2BA35E5A">
            <w:pPr>
              <w:pStyle w:val="16"/>
              <w:spacing w:before="118"/>
              <w:ind w:left="26" w:right="12"/>
              <w:rPr>
                <w:rFonts w:ascii="宋体"/>
                <w:sz w:val="18"/>
              </w:rPr>
            </w:pPr>
            <w:r>
              <w:rPr>
                <w:rFonts w:ascii="宋体"/>
                <w:spacing w:val="-5"/>
                <w:sz w:val="18"/>
              </w:rPr>
              <w:t>16</w:t>
            </w:r>
          </w:p>
        </w:tc>
        <w:tc>
          <w:tcPr>
            <w:tcW w:w="1505" w:type="dxa"/>
          </w:tcPr>
          <w:p w14:paraId="6C6D1753">
            <w:pPr>
              <w:pStyle w:val="16"/>
              <w:spacing w:before="118"/>
              <w:ind w:left="26" w:right="12"/>
              <w:rPr>
                <w:rFonts w:ascii="宋体"/>
                <w:sz w:val="18"/>
              </w:rPr>
            </w:pPr>
            <w:r>
              <w:rPr>
                <w:rFonts w:ascii="宋体"/>
                <w:spacing w:val="-2"/>
                <w:sz w:val="18"/>
              </w:rPr>
              <w:t>38.67</w:t>
            </w:r>
          </w:p>
        </w:tc>
        <w:tc>
          <w:tcPr>
            <w:tcW w:w="1505" w:type="dxa"/>
          </w:tcPr>
          <w:p w14:paraId="2F948E9A">
            <w:pPr>
              <w:pStyle w:val="16"/>
              <w:spacing w:before="118"/>
              <w:ind w:right="510"/>
              <w:jc w:val="right"/>
              <w:rPr>
                <w:rFonts w:ascii="宋体"/>
                <w:sz w:val="18"/>
              </w:rPr>
            </w:pPr>
            <w:r>
              <w:rPr>
                <w:rFonts w:ascii="宋体"/>
                <w:spacing w:val="-2"/>
                <w:sz w:val="18"/>
              </w:rPr>
              <w:t>15.39</w:t>
            </w:r>
          </w:p>
        </w:tc>
      </w:tr>
      <w:tr w14:paraId="62D22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591" w:type="dxa"/>
          </w:tcPr>
          <w:p w14:paraId="1F9F8970">
            <w:pPr>
              <w:pStyle w:val="16"/>
              <w:spacing w:before="120"/>
              <w:ind w:left="106"/>
              <w:jc w:val="left"/>
              <w:rPr>
                <w:rFonts w:ascii="宋体" w:eastAsia="宋体"/>
                <w:sz w:val="18"/>
              </w:rPr>
            </w:pPr>
            <w:r>
              <w:rPr>
                <w:rFonts w:ascii="宋体" w:eastAsia="宋体"/>
                <w:spacing w:val="-6"/>
                <w:sz w:val="18"/>
              </w:rPr>
              <w:t>地方财政一般预算收入</w:t>
            </w:r>
            <w:r>
              <w:rPr>
                <w:rFonts w:ascii="宋体" w:eastAsia="宋体"/>
                <w:sz w:val="18"/>
              </w:rPr>
              <w:t>（亿元</w:t>
            </w:r>
            <w:r>
              <w:rPr>
                <w:rFonts w:ascii="宋体" w:eastAsia="宋体"/>
                <w:spacing w:val="-10"/>
                <w:sz w:val="18"/>
              </w:rPr>
              <w:t>）</w:t>
            </w:r>
          </w:p>
        </w:tc>
        <w:tc>
          <w:tcPr>
            <w:tcW w:w="1308" w:type="dxa"/>
          </w:tcPr>
          <w:p w14:paraId="4BFEDDEA">
            <w:pPr>
              <w:pStyle w:val="16"/>
              <w:spacing w:before="120"/>
              <w:ind w:left="345" w:right="328"/>
              <w:rPr>
                <w:rFonts w:ascii="宋体"/>
                <w:sz w:val="18"/>
              </w:rPr>
            </w:pPr>
            <w:r>
              <w:rPr>
                <w:rFonts w:ascii="宋体"/>
                <w:spacing w:val="-4"/>
                <w:sz w:val="18"/>
              </w:rPr>
              <w:t>3.75</w:t>
            </w:r>
          </w:p>
        </w:tc>
        <w:tc>
          <w:tcPr>
            <w:tcW w:w="1505" w:type="dxa"/>
          </w:tcPr>
          <w:p w14:paraId="608C3564">
            <w:pPr>
              <w:pStyle w:val="16"/>
              <w:spacing w:before="120"/>
              <w:ind w:left="26" w:right="12"/>
              <w:rPr>
                <w:rFonts w:ascii="宋体"/>
                <w:sz w:val="18"/>
              </w:rPr>
            </w:pPr>
            <w:r>
              <w:rPr>
                <w:rFonts w:ascii="宋体"/>
                <w:spacing w:val="-5"/>
                <w:sz w:val="18"/>
              </w:rPr>
              <w:t>20</w:t>
            </w:r>
          </w:p>
        </w:tc>
        <w:tc>
          <w:tcPr>
            <w:tcW w:w="1505" w:type="dxa"/>
          </w:tcPr>
          <w:p w14:paraId="007D93EB">
            <w:pPr>
              <w:pStyle w:val="16"/>
              <w:spacing w:before="120"/>
              <w:ind w:left="26" w:right="12"/>
              <w:rPr>
                <w:rFonts w:ascii="宋体"/>
                <w:sz w:val="18"/>
              </w:rPr>
            </w:pPr>
            <w:r>
              <w:rPr>
                <w:rFonts w:ascii="宋体"/>
                <w:spacing w:val="-2"/>
                <w:sz w:val="18"/>
              </w:rPr>
              <w:t>15.04</w:t>
            </w:r>
          </w:p>
        </w:tc>
        <w:tc>
          <w:tcPr>
            <w:tcW w:w="1505" w:type="dxa"/>
          </w:tcPr>
          <w:p w14:paraId="202D4240">
            <w:pPr>
              <w:pStyle w:val="16"/>
              <w:spacing w:before="120"/>
              <w:ind w:left="26" w:right="12"/>
              <w:rPr>
                <w:rFonts w:ascii="宋体"/>
                <w:sz w:val="18"/>
              </w:rPr>
            </w:pPr>
            <w:r>
              <w:rPr>
                <w:rFonts w:ascii="宋体"/>
                <w:spacing w:val="-5"/>
                <w:sz w:val="18"/>
              </w:rPr>
              <w:t>32</w:t>
            </w:r>
          </w:p>
        </w:tc>
      </w:tr>
      <w:tr w14:paraId="4BEEB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10944727">
            <w:pPr>
              <w:pStyle w:val="16"/>
              <w:spacing w:before="119"/>
              <w:ind w:left="106"/>
              <w:jc w:val="left"/>
              <w:rPr>
                <w:rFonts w:ascii="宋体" w:eastAsia="宋体"/>
                <w:sz w:val="18"/>
              </w:rPr>
            </w:pPr>
            <w:r>
              <w:rPr>
                <w:rFonts w:ascii="宋体" w:eastAsia="宋体"/>
                <w:sz w:val="18"/>
              </w:rPr>
              <w:t>工业增加值（亿元</w:t>
            </w:r>
            <w:r>
              <w:rPr>
                <w:rFonts w:ascii="宋体" w:eastAsia="宋体"/>
                <w:spacing w:val="-10"/>
                <w:sz w:val="18"/>
              </w:rPr>
              <w:t>）</w:t>
            </w:r>
          </w:p>
        </w:tc>
        <w:tc>
          <w:tcPr>
            <w:tcW w:w="1308" w:type="dxa"/>
          </w:tcPr>
          <w:p w14:paraId="71E1D25B">
            <w:pPr>
              <w:pStyle w:val="16"/>
              <w:spacing w:before="119"/>
              <w:ind w:left="429"/>
              <w:jc w:val="left"/>
              <w:rPr>
                <w:rFonts w:ascii="宋体"/>
                <w:sz w:val="18"/>
              </w:rPr>
            </w:pPr>
            <w:r>
              <w:rPr>
                <w:rFonts w:ascii="宋体"/>
                <w:spacing w:val="-2"/>
                <w:sz w:val="18"/>
              </w:rPr>
              <w:t>16.87</w:t>
            </w:r>
          </w:p>
        </w:tc>
        <w:tc>
          <w:tcPr>
            <w:tcW w:w="1505" w:type="dxa"/>
          </w:tcPr>
          <w:p w14:paraId="218EA3C3">
            <w:pPr>
              <w:pStyle w:val="16"/>
              <w:spacing w:before="119"/>
              <w:ind w:left="26" w:right="12"/>
              <w:rPr>
                <w:rFonts w:ascii="宋体"/>
                <w:sz w:val="18"/>
              </w:rPr>
            </w:pPr>
            <w:r>
              <w:rPr>
                <w:rFonts w:ascii="宋体"/>
                <w:spacing w:val="-5"/>
                <w:sz w:val="18"/>
              </w:rPr>
              <w:t>20</w:t>
            </w:r>
          </w:p>
        </w:tc>
        <w:tc>
          <w:tcPr>
            <w:tcW w:w="1505" w:type="dxa"/>
          </w:tcPr>
          <w:p w14:paraId="1F947371">
            <w:pPr>
              <w:pStyle w:val="16"/>
              <w:spacing w:before="119"/>
              <w:ind w:left="26" w:right="12"/>
              <w:rPr>
                <w:rFonts w:ascii="宋体"/>
                <w:sz w:val="18"/>
              </w:rPr>
            </w:pPr>
            <w:r>
              <w:rPr>
                <w:rFonts w:ascii="宋体"/>
                <w:spacing w:val="-2"/>
                <w:sz w:val="18"/>
              </w:rPr>
              <w:t>52.29</w:t>
            </w:r>
          </w:p>
        </w:tc>
        <w:tc>
          <w:tcPr>
            <w:tcW w:w="1505" w:type="dxa"/>
          </w:tcPr>
          <w:p w14:paraId="383C8951">
            <w:pPr>
              <w:pStyle w:val="16"/>
              <w:spacing w:before="119"/>
              <w:ind w:right="510"/>
              <w:jc w:val="right"/>
              <w:rPr>
                <w:rFonts w:ascii="宋体"/>
                <w:sz w:val="18"/>
              </w:rPr>
            </w:pPr>
            <w:r>
              <w:rPr>
                <w:rFonts w:ascii="宋体"/>
                <w:spacing w:val="-2"/>
                <w:sz w:val="18"/>
              </w:rPr>
              <w:t>21.62</w:t>
            </w:r>
          </w:p>
        </w:tc>
      </w:tr>
      <w:tr w14:paraId="4AEA3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6CBB730B">
            <w:pPr>
              <w:pStyle w:val="16"/>
              <w:spacing w:before="119"/>
              <w:ind w:left="106"/>
              <w:jc w:val="left"/>
              <w:rPr>
                <w:rFonts w:ascii="宋体" w:eastAsia="宋体"/>
                <w:sz w:val="18"/>
              </w:rPr>
            </w:pPr>
            <w:r>
              <w:rPr>
                <w:rFonts w:ascii="宋体" w:eastAsia="宋体"/>
                <w:spacing w:val="-2"/>
                <w:sz w:val="18"/>
              </w:rPr>
              <w:t>三次产业结构</w:t>
            </w:r>
          </w:p>
        </w:tc>
        <w:tc>
          <w:tcPr>
            <w:tcW w:w="1308" w:type="dxa"/>
          </w:tcPr>
          <w:p w14:paraId="562FE52D">
            <w:pPr>
              <w:pStyle w:val="16"/>
              <w:spacing w:before="8"/>
              <w:jc w:val="left"/>
              <w:rPr>
                <w:sz w:val="10"/>
              </w:rPr>
            </w:pPr>
          </w:p>
          <w:p w14:paraId="1A88B810">
            <w:pPr>
              <w:pStyle w:val="16"/>
              <w:spacing w:before="0"/>
              <w:ind w:left="107"/>
              <w:jc w:val="left"/>
              <w:rPr>
                <w:rFonts w:ascii="宋体" w:eastAsia="宋体"/>
                <w:sz w:val="15"/>
              </w:rPr>
            </w:pPr>
            <w:r>
              <w:rPr>
                <w:rFonts w:ascii="宋体" w:eastAsia="宋体"/>
                <w:spacing w:val="-2"/>
                <w:sz w:val="15"/>
              </w:rPr>
              <w:t>15.2：31.9：52.9</w:t>
            </w:r>
          </w:p>
        </w:tc>
        <w:tc>
          <w:tcPr>
            <w:tcW w:w="1505" w:type="dxa"/>
          </w:tcPr>
          <w:p w14:paraId="7E57F2E5">
            <w:pPr>
              <w:pStyle w:val="16"/>
              <w:spacing w:before="119"/>
              <w:ind w:left="1" w:right="12"/>
              <w:rPr>
                <w:rFonts w:ascii="宋体" w:eastAsia="宋体"/>
                <w:sz w:val="18"/>
              </w:rPr>
            </w:pPr>
            <w:r>
              <w:rPr>
                <w:rFonts w:ascii="宋体" w:eastAsia="宋体"/>
                <w:spacing w:val="-2"/>
                <w:sz w:val="18"/>
              </w:rPr>
              <w:t>12：43.5：44.5</w:t>
            </w:r>
          </w:p>
        </w:tc>
        <w:tc>
          <w:tcPr>
            <w:tcW w:w="1505" w:type="dxa"/>
          </w:tcPr>
          <w:p w14:paraId="585C1A21">
            <w:pPr>
              <w:pStyle w:val="16"/>
              <w:spacing w:before="119"/>
              <w:ind w:left="26" w:right="12"/>
              <w:rPr>
                <w:rFonts w:ascii="宋体" w:eastAsia="宋体"/>
                <w:sz w:val="18"/>
              </w:rPr>
            </w:pPr>
            <w:r>
              <w:rPr>
                <w:rFonts w:ascii="宋体" w:eastAsia="宋体"/>
                <w:spacing w:val="-2"/>
                <w:sz w:val="18"/>
              </w:rPr>
              <w:t>14.4：44.8：40.8</w:t>
            </w:r>
          </w:p>
        </w:tc>
        <w:tc>
          <w:tcPr>
            <w:tcW w:w="1505" w:type="dxa"/>
          </w:tcPr>
          <w:p w14:paraId="551560EC">
            <w:pPr>
              <w:pStyle w:val="16"/>
              <w:spacing w:before="119"/>
              <w:ind w:left="14"/>
              <w:rPr>
                <w:rFonts w:ascii="宋体"/>
                <w:sz w:val="18"/>
              </w:rPr>
            </w:pPr>
            <w:r>
              <w:rPr>
                <w:rFonts w:ascii="宋体"/>
                <w:sz w:val="18"/>
              </w:rPr>
              <w:t>-</w:t>
            </w:r>
          </w:p>
        </w:tc>
      </w:tr>
      <w:tr w14:paraId="67E00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12DA4EC9">
            <w:pPr>
              <w:pStyle w:val="16"/>
              <w:spacing w:before="118"/>
              <w:ind w:left="106"/>
              <w:jc w:val="left"/>
              <w:rPr>
                <w:rFonts w:ascii="宋体" w:eastAsia="宋体"/>
                <w:sz w:val="18"/>
              </w:rPr>
            </w:pPr>
            <w:r>
              <w:rPr>
                <w:rFonts w:ascii="宋体" w:eastAsia="宋体"/>
                <w:sz w:val="18"/>
              </w:rPr>
              <w:t>森林覆盖率</w:t>
            </w:r>
            <w:r>
              <w:rPr>
                <w:rFonts w:ascii="宋体" w:eastAsia="宋体"/>
                <w:spacing w:val="-5"/>
                <w:sz w:val="18"/>
              </w:rPr>
              <w:t>（%）</w:t>
            </w:r>
          </w:p>
        </w:tc>
        <w:tc>
          <w:tcPr>
            <w:tcW w:w="1308" w:type="dxa"/>
          </w:tcPr>
          <w:p w14:paraId="6C7BBD17">
            <w:pPr>
              <w:pStyle w:val="16"/>
              <w:spacing w:before="118"/>
              <w:ind w:left="345" w:right="330"/>
              <w:rPr>
                <w:rFonts w:ascii="宋体"/>
                <w:sz w:val="18"/>
              </w:rPr>
            </w:pPr>
            <w:r>
              <w:rPr>
                <w:rFonts w:ascii="宋体"/>
                <w:spacing w:val="-4"/>
                <w:sz w:val="18"/>
              </w:rPr>
              <w:t>1.19</w:t>
            </w:r>
          </w:p>
        </w:tc>
        <w:tc>
          <w:tcPr>
            <w:tcW w:w="1505" w:type="dxa"/>
          </w:tcPr>
          <w:p w14:paraId="2167254D">
            <w:pPr>
              <w:pStyle w:val="16"/>
              <w:spacing w:before="118"/>
              <w:ind w:left="24" w:right="12"/>
              <w:rPr>
                <w:rFonts w:ascii="宋体"/>
                <w:sz w:val="18"/>
              </w:rPr>
            </w:pPr>
            <w:r>
              <w:rPr>
                <w:rFonts w:ascii="宋体"/>
                <w:spacing w:val="-4"/>
                <w:sz w:val="18"/>
              </w:rPr>
              <w:t>1.23</w:t>
            </w:r>
          </w:p>
        </w:tc>
        <w:tc>
          <w:tcPr>
            <w:tcW w:w="1505" w:type="dxa"/>
          </w:tcPr>
          <w:p w14:paraId="511557C8">
            <w:pPr>
              <w:pStyle w:val="16"/>
              <w:spacing w:before="118"/>
              <w:ind w:left="24" w:right="12"/>
              <w:rPr>
                <w:rFonts w:ascii="宋体"/>
                <w:sz w:val="18"/>
              </w:rPr>
            </w:pPr>
            <w:r>
              <w:rPr>
                <w:rFonts w:ascii="宋体"/>
                <w:spacing w:val="-4"/>
                <w:sz w:val="18"/>
              </w:rPr>
              <w:t>1.32</w:t>
            </w:r>
          </w:p>
        </w:tc>
        <w:tc>
          <w:tcPr>
            <w:tcW w:w="1505" w:type="dxa"/>
          </w:tcPr>
          <w:p w14:paraId="7539866C">
            <w:pPr>
              <w:pStyle w:val="16"/>
              <w:spacing w:before="118"/>
              <w:ind w:left="14"/>
              <w:rPr>
                <w:rFonts w:ascii="宋体"/>
                <w:sz w:val="18"/>
              </w:rPr>
            </w:pPr>
            <w:r>
              <w:rPr>
                <w:rFonts w:ascii="宋体"/>
                <w:sz w:val="18"/>
              </w:rPr>
              <w:t>-</w:t>
            </w:r>
          </w:p>
        </w:tc>
      </w:tr>
      <w:tr w14:paraId="0CF00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4427F994">
            <w:pPr>
              <w:pStyle w:val="16"/>
              <w:spacing w:before="120"/>
              <w:ind w:left="106"/>
              <w:jc w:val="left"/>
              <w:rPr>
                <w:rFonts w:ascii="宋体" w:eastAsia="宋体"/>
                <w:sz w:val="18"/>
              </w:rPr>
            </w:pPr>
            <w:r>
              <w:rPr>
                <w:rFonts w:ascii="宋体" w:eastAsia="宋体"/>
                <w:sz w:val="18"/>
              </w:rPr>
              <w:t>城镇登记失业率</w:t>
            </w:r>
            <w:r>
              <w:rPr>
                <w:rFonts w:ascii="宋体" w:eastAsia="宋体"/>
                <w:spacing w:val="-5"/>
                <w:sz w:val="18"/>
              </w:rPr>
              <w:t>（%）</w:t>
            </w:r>
          </w:p>
        </w:tc>
        <w:tc>
          <w:tcPr>
            <w:tcW w:w="1308" w:type="dxa"/>
          </w:tcPr>
          <w:p w14:paraId="53676BB2">
            <w:pPr>
              <w:pStyle w:val="16"/>
              <w:spacing w:before="120"/>
              <w:ind w:left="345" w:right="333"/>
              <w:rPr>
                <w:rFonts w:ascii="宋体"/>
                <w:sz w:val="18"/>
              </w:rPr>
            </w:pPr>
            <w:r>
              <w:rPr>
                <w:rFonts w:ascii="宋体"/>
                <w:spacing w:val="-5"/>
                <w:sz w:val="18"/>
              </w:rPr>
              <w:t>3.8</w:t>
            </w:r>
          </w:p>
        </w:tc>
        <w:tc>
          <w:tcPr>
            <w:tcW w:w="1505" w:type="dxa"/>
          </w:tcPr>
          <w:p w14:paraId="4B2CA978">
            <w:pPr>
              <w:pStyle w:val="16"/>
              <w:spacing w:before="120"/>
              <w:ind w:left="25" w:right="12"/>
              <w:rPr>
                <w:rFonts w:ascii="宋体" w:eastAsia="宋体"/>
                <w:sz w:val="18"/>
              </w:rPr>
            </w:pPr>
            <w:r>
              <w:rPr>
                <w:rFonts w:ascii="宋体" w:eastAsia="宋体"/>
                <w:sz w:val="18"/>
              </w:rPr>
              <w:t>4</w:t>
            </w:r>
            <w:r>
              <w:rPr>
                <w:rFonts w:ascii="宋体" w:eastAsia="宋体"/>
                <w:spacing w:val="-18"/>
                <w:sz w:val="18"/>
              </w:rPr>
              <w:t xml:space="preserve"> 以内</w:t>
            </w:r>
          </w:p>
        </w:tc>
        <w:tc>
          <w:tcPr>
            <w:tcW w:w="1505" w:type="dxa"/>
          </w:tcPr>
          <w:p w14:paraId="5FC9409F">
            <w:pPr>
              <w:pStyle w:val="16"/>
              <w:spacing w:before="120"/>
              <w:ind w:left="24" w:right="12"/>
              <w:rPr>
                <w:rFonts w:ascii="宋体"/>
                <w:sz w:val="18"/>
              </w:rPr>
            </w:pPr>
            <w:r>
              <w:rPr>
                <w:rFonts w:ascii="宋体"/>
                <w:spacing w:val="-5"/>
                <w:sz w:val="18"/>
              </w:rPr>
              <w:t>3.2</w:t>
            </w:r>
          </w:p>
        </w:tc>
        <w:tc>
          <w:tcPr>
            <w:tcW w:w="1505" w:type="dxa"/>
          </w:tcPr>
          <w:p w14:paraId="70EE20BE">
            <w:pPr>
              <w:pStyle w:val="16"/>
              <w:spacing w:before="120"/>
              <w:ind w:left="14"/>
              <w:rPr>
                <w:rFonts w:ascii="宋体"/>
                <w:sz w:val="18"/>
              </w:rPr>
            </w:pPr>
            <w:r>
              <w:rPr>
                <w:rFonts w:ascii="宋体"/>
                <w:sz w:val="18"/>
              </w:rPr>
              <w:t>-</w:t>
            </w:r>
          </w:p>
        </w:tc>
      </w:tr>
      <w:tr w14:paraId="7547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2591" w:type="dxa"/>
          </w:tcPr>
          <w:p w14:paraId="66D0D4C5">
            <w:pPr>
              <w:pStyle w:val="16"/>
              <w:spacing w:before="119"/>
              <w:ind w:left="106"/>
              <w:jc w:val="left"/>
              <w:rPr>
                <w:rFonts w:ascii="宋体" w:eastAsia="宋体"/>
                <w:sz w:val="18"/>
              </w:rPr>
            </w:pPr>
            <w:r>
              <w:rPr>
                <w:rFonts w:ascii="宋体" w:eastAsia="宋体"/>
                <w:sz w:val="18"/>
              </w:rPr>
              <w:t>万元生产总值能耗（吨标煤</w:t>
            </w:r>
            <w:r>
              <w:rPr>
                <w:rFonts w:ascii="宋体" w:eastAsia="宋体"/>
                <w:spacing w:val="-10"/>
                <w:sz w:val="18"/>
              </w:rPr>
              <w:t>）</w:t>
            </w:r>
          </w:p>
        </w:tc>
        <w:tc>
          <w:tcPr>
            <w:tcW w:w="1308" w:type="dxa"/>
          </w:tcPr>
          <w:p w14:paraId="4A65B21E">
            <w:pPr>
              <w:pStyle w:val="16"/>
              <w:spacing w:before="119"/>
              <w:ind w:left="345" w:right="328"/>
              <w:rPr>
                <w:rFonts w:ascii="宋体"/>
                <w:sz w:val="18"/>
              </w:rPr>
            </w:pPr>
            <w:r>
              <w:rPr>
                <w:rFonts w:ascii="宋体"/>
                <w:spacing w:val="-4"/>
                <w:sz w:val="18"/>
              </w:rPr>
              <w:t>2.64</w:t>
            </w:r>
          </w:p>
        </w:tc>
        <w:tc>
          <w:tcPr>
            <w:tcW w:w="1505" w:type="dxa"/>
          </w:tcPr>
          <w:p w14:paraId="02B86D01">
            <w:pPr>
              <w:pStyle w:val="16"/>
              <w:spacing w:before="119"/>
              <w:ind w:left="26" w:right="12"/>
              <w:rPr>
                <w:rFonts w:ascii="宋体"/>
                <w:sz w:val="18"/>
              </w:rPr>
            </w:pPr>
            <w:r>
              <w:rPr>
                <w:rFonts w:ascii="宋体"/>
                <w:sz w:val="18"/>
              </w:rPr>
              <w:t>-</w:t>
            </w:r>
            <w:r>
              <w:rPr>
                <w:rFonts w:ascii="宋体"/>
                <w:spacing w:val="-5"/>
                <w:sz w:val="18"/>
              </w:rPr>
              <w:t>20</w:t>
            </w:r>
          </w:p>
        </w:tc>
        <w:tc>
          <w:tcPr>
            <w:tcW w:w="1505" w:type="dxa"/>
          </w:tcPr>
          <w:p w14:paraId="45A107FD">
            <w:pPr>
              <w:pStyle w:val="16"/>
              <w:spacing w:before="119"/>
              <w:ind w:left="26" w:right="12"/>
              <w:rPr>
                <w:rFonts w:ascii="宋体"/>
                <w:sz w:val="18"/>
              </w:rPr>
            </w:pPr>
            <w:r>
              <w:rPr>
                <w:rFonts w:ascii="宋体"/>
                <w:spacing w:val="-2"/>
                <w:sz w:val="18"/>
              </w:rPr>
              <w:t>2.236</w:t>
            </w:r>
          </w:p>
        </w:tc>
        <w:tc>
          <w:tcPr>
            <w:tcW w:w="1505" w:type="dxa"/>
          </w:tcPr>
          <w:p w14:paraId="056F38DA">
            <w:pPr>
              <w:pStyle w:val="16"/>
              <w:spacing w:before="119"/>
              <w:ind w:right="465"/>
              <w:jc w:val="right"/>
              <w:rPr>
                <w:rFonts w:ascii="宋体"/>
                <w:sz w:val="18"/>
              </w:rPr>
            </w:pPr>
            <w:r>
              <w:rPr>
                <w:rFonts w:ascii="宋体"/>
                <w:sz w:val="18"/>
              </w:rPr>
              <w:t>-</w:t>
            </w:r>
            <w:r>
              <w:rPr>
                <w:rFonts w:ascii="宋体"/>
                <w:spacing w:val="-2"/>
                <w:sz w:val="18"/>
              </w:rPr>
              <w:t>16.16</w:t>
            </w:r>
          </w:p>
        </w:tc>
      </w:tr>
      <w:tr w14:paraId="06431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4090E990">
            <w:pPr>
              <w:pStyle w:val="16"/>
              <w:spacing w:before="119"/>
              <w:ind w:left="106"/>
              <w:jc w:val="left"/>
              <w:rPr>
                <w:rFonts w:ascii="宋体" w:eastAsia="宋体"/>
                <w:sz w:val="18"/>
              </w:rPr>
            </w:pPr>
            <w:r>
              <w:rPr>
                <w:rFonts w:ascii="宋体" w:eastAsia="宋体"/>
                <w:spacing w:val="-5"/>
                <w:sz w:val="18"/>
              </w:rPr>
              <w:t>城镇居民人均可支配收入</w:t>
            </w:r>
            <w:r>
              <w:rPr>
                <w:rFonts w:ascii="宋体" w:eastAsia="宋体"/>
                <w:sz w:val="18"/>
              </w:rPr>
              <w:t>（元</w:t>
            </w:r>
            <w:r>
              <w:rPr>
                <w:rFonts w:ascii="宋体" w:eastAsia="宋体"/>
                <w:spacing w:val="-10"/>
                <w:sz w:val="18"/>
              </w:rPr>
              <w:t>）</w:t>
            </w:r>
          </w:p>
        </w:tc>
        <w:tc>
          <w:tcPr>
            <w:tcW w:w="1308" w:type="dxa"/>
          </w:tcPr>
          <w:p w14:paraId="0D25AC6A">
            <w:pPr>
              <w:pStyle w:val="16"/>
              <w:spacing w:before="119"/>
              <w:ind w:left="107"/>
              <w:jc w:val="left"/>
              <w:rPr>
                <w:rFonts w:ascii="宋体" w:eastAsia="宋体"/>
                <w:sz w:val="15"/>
              </w:rPr>
            </w:pPr>
            <w:r>
              <w:rPr>
                <w:rFonts w:ascii="宋体" w:eastAsia="宋体"/>
                <w:spacing w:val="-8"/>
                <w:sz w:val="18"/>
              </w:rPr>
              <w:t>10218</w:t>
            </w:r>
            <w:r>
              <w:rPr>
                <w:rFonts w:ascii="宋体" w:eastAsia="宋体"/>
                <w:spacing w:val="-8"/>
                <w:sz w:val="15"/>
              </w:rPr>
              <w:t>（2008</w:t>
            </w:r>
            <w:r>
              <w:rPr>
                <w:rFonts w:ascii="宋体" w:eastAsia="宋体"/>
                <w:spacing w:val="-19"/>
                <w:sz w:val="15"/>
              </w:rPr>
              <w:t xml:space="preserve"> 年</w:t>
            </w:r>
            <w:r>
              <w:rPr>
                <w:rFonts w:ascii="宋体" w:eastAsia="宋体"/>
                <w:spacing w:val="-10"/>
                <w:sz w:val="15"/>
              </w:rPr>
              <w:t>）</w:t>
            </w:r>
          </w:p>
        </w:tc>
        <w:tc>
          <w:tcPr>
            <w:tcW w:w="1505" w:type="dxa"/>
          </w:tcPr>
          <w:p w14:paraId="51D9CF1B">
            <w:pPr>
              <w:pStyle w:val="16"/>
              <w:spacing w:before="119"/>
              <w:ind w:left="24" w:right="12"/>
              <w:rPr>
                <w:rFonts w:ascii="宋体" w:eastAsia="宋体"/>
                <w:sz w:val="18"/>
              </w:rPr>
            </w:pPr>
            <w:r>
              <w:rPr>
                <w:rFonts w:ascii="宋体" w:eastAsia="宋体"/>
                <w:spacing w:val="-15"/>
                <w:sz w:val="18"/>
              </w:rPr>
              <w:t xml:space="preserve">达到 </w:t>
            </w:r>
            <w:r>
              <w:rPr>
                <w:rFonts w:ascii="宋体" w:eastAsia="宋体"/>
                <w:spacing w:val="-2"/>
                <w:sz w:val="18"/>
              </w:rPr>
              <w:t>10000</w:t>
            </w:r>
          </w:p>
        </w:tc>
        <w:tc>
          <w:tcPr>
            <w:tcW w:w="1505" w:type="dxa"/>
          </w:tcPr>
          <w:p w14:paraId="0982C323">
            <w:pPr>
              <w:pStyle w:val="16"/>
              <w:spacing w:before="119"/>
              <w:ind w:left="26" w:right="12"/>
              <w:rPr>
                <w:rFonts w:ascii="宋体"/>
                <w:sz w:val="18"/>
              </w:rPr>
            </w:pPr>
            <w:r>
              <w:rPr>
                <w:rFonts w:ascii="宋体"/>
                <w:spacing w:val="-2"/>
                <w:sz w:val="18"/>
              </w:rPr>
              <w:t>13372</w:t>
            </w:r>
          </w:p>
        </w:tc>
        <w:tc>
          <w:tcPr>
            <w:tcW w:w="1505" w:type="dxa"/>
          </w:tcPr>
          <w:p w14:paraId="279E9309">
            <w:pPr>
              <w:pStyle w:val="16"/>
              <w:spacing w:before="119"/>
              <w:ind w:right="554"/>
              <w:jc w:val="right"/>
              <w:rPr>
                <w:rFonts w:ascii="宋体"/>
                <w:sz w:val="18"/>
              </w:rPr>
            </w:pPr>
            <w:r>
              <w:rPr>
                <w:rFonts w:ascii="宋体"/>
                <w:spacing w:val="-4"/>
                <w:sz w:val="18"/>
              </w:rPr>
              <w:t>14.4</w:t>
            </w:r>
          </w:p>
        </w:tc>
      </w:tr>
      <w:tr w14:paraId="1F7C8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2591" w:type="dxa"/>
          </w:tcPr>
          <w:p w14:paraId="6A10D188">
            <w:pPr>
              <w:pStyle w:val="16"/>
              <w:spacing w:before="118"/>
              <w:ind w:left="106"/>
              <w:jc w:val="left"/>
              <w:rPr>
                <w:rFonts w:ascii="宋体" w:eastAsia="宋体"/>
                <w:sz w:val="18"/>
              </w:rPr>
            </w:pPr>
            <w:r>
              <w:rPr>
                <w:rFonts w:ascii="宋体" w:eastAsia="宋体"/>
                <w:sz w:val="18"/>
              </w:rPr>
              <w:t>农牧民人均纯收入（元</w:t>
            </w:r>
            <w:r>
              <w:rPr>
                <w:rFonts w:ascii="宋体" w:eastAsia="宋体"/>
                <w:spacing w:val="-10"/>
                <w:sz w:val="18"/>
              </w:rPr>
              <w:t>）</w:t>
            </w:r>
          </w:p>
        </w:tc>
        <w:tc>
          <w:tcPr>
            <w:tcW w:w="1308" w:type="dxa"/>
          </w:tcPr>
          <w:p w14:paraId="1E3902A2">
            <w:pPr>
              <w:pStyle w:val="16"/>
              <w:spacing w:before="118"/>
              <w:ind w:left="345" w:right="328"/>
              <w:rPr>
                <w:rFonts w:ascii="宋体"/>
                <w:sz w:val="18"/>
              </w:rPr>
            </w:pPr>
            <w:r>
              <w:rPr>
                <w:rFonts w:ascii="宋体"/>
                <w:spacing w:val="-4"/>
                <w:sz w:val="18"/>
              </w:rPr>
              <w:t>3029</w:t>
            </w:r>
          </w:p>
        </w:tc>
        <w:tc>
          <w:tcPr>
            <w:tcW w:w="1505" w:type="dxa"/>
          </w:tcPr>
          <w:p w14:paraId="007D86DF">
            <w:pPr>
              <w:pStyle w:val="16"/>
              <w:spacing w:before="118"/>
              <w:ind w:left="26" w:right="12"/>
              <w:rPr>
                <w:rFonts w:ascii="宋体" w:eastAsia="宋体"/>
                <w:sz w:val="18"/>
              </w:rPr>
            </w:pPr>
            <w:r>
              <w:rPr>
                <w:rFonts w:ascii="宋体" w:eastAsia="宋体"/>
                <w:spacing w:val="-15"/>
                <w:sz w:val="18"/>
              </w:rPr>
              <w:t xml:space="preserve">达到 </w:t>
            </w:r>
            <w:r>
              <w:rPr>
                <w:rFonts w:ascii="宋体" w:eastAsia="宋体"/>
                <w:spacing w:val="-4"/>
                <w:sz w:val="18"/>
              </w:rPr>
              <w:t>5000</w:t>
            </w:r>
          </w:p>
        </w:tc>
        <w:tc>
          <w:tcPr>
            <w:tcW w:w="1505" w:type="dxa"/>
          </w:tcPr>
          <w:p w14:paraId="73EBEB8F">
            <w:pPr>
              <w:pStyle w:val="16"/>
              <w:spacing w:before="118"/>
              <w:ind w:left="24" w:right="12"/>
              <w:rPr>
                <w:rFonts w:ascii="宋体"/>
                <w:sz w:val="18"/>
              </w:rPr>
            </w:pPr>
            <w:r>
              <w:rPr>
                <w:rFonts w:ascii="宋体"/>
                <w:spacing w:val="-4"/>
                <w:sz w:val="18"/>
              </w:rPr>
              <w:t>5934</w:t>
            </w:r>
          </w:p>
        </w:tc>
        <w:tc>
          <w:tcPr>
            <w:tcW w:w="1505" w:type="dxa"/>
          </w:tcPr>
          <w:p w14:paraId="241299CA">
            <w:pPr>
              <w:pStyle w:val="16"/>
              <w:spacing w:before="118"/>
              <w:ind w:right="554"/>
              <w:jc w:val="right"/>
              <w:rPr>
                <w:rFonts w:ascii="宋体"/>
                <w:sz w:val="18"/>
              </w:rPr>
            </w:pPr>
            <w:r>
              <w:rPr>
                <w:rFonts w:ascii="宋体"/>
                <w:spacing w:val="-4"/>
                <w:sz w:val="18"/>
              </w:rPr>
              <w:t>14.4</w:t>
            </w:r>
          </w:p>
        </w:tc>
      </w:tr>
      <w:tr w14:paraId="7AFCC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2591" w:type="dxa"/>
          </w:tcPr>
          <w:p w14:paraId="32CCF0CF">
            <w:pPr>
              <w:pStyle w:val="16"/>
              <w:spacing w:before="132"/>
              <w:ind w:left="106"/>
              <w:jc w:val="left"/>
              <w:rPr>
                <w:rFonts w:ascii="宋体" w:eastAsia="宋体"/>
                <w:sz w:val="18"/>
              </w:rPr>
            </w:pPr>
            <w:r>
              <w:rPr>
                <w:rFonts w:ascii="宋体" w:eastAsia="宋体"/>
                <w:sz w:val="18"/>
              </w:rPr>
              <w:t>农村新型合作医疗参合率</w:t>
            </w:r>
            <w:r>
              <w:rPr>
                <w:rFonts w:ascii="宋体" w:eastAsia="宋体"/>
                <w:spacing w:val="-5"/>
                <w:sz w:val="18"/>
              </w:rPr>
              <w:t>（%）</w:t>
            </w:r>
          </w:p>
        </w:tc>
        <w:tc>
          <w:tcPr>
            <w:tcW w:w="1308" w:type="dxa"/>
          </w:tcPr>
          <w:p w14:paraId="165521A5">
            <w:pPr>
              <w:pStyle w:val="16"/>
              <w:spacing w:before="11"/>
              <w:jc w:val="left"/>
              <w:rPr>
                <w:sz w:val="15"/>
              </w:rPr>
            </w:pPr>
          </w:p>
          <w:p w14:paraId="1CB3B66E">
            <w:pPr>
              <w:pStyle w:val="16"/>
              <w:spacing w:before="1"/>
              <w:ind w:left="345" w:right="309"/>
              <w:rPr>
                <w:rFonts w:ascii="宋体"/>
                <w:sz w:val="18"/>
              </w:rPr>
            </w:pPr>
            <w:r>
              <w:rPr>
                <w:rFonts w:ascii="宋体"/>
                <w:spacing w:val="-2"/>
                <w:sz w:val="18"/>
              </w:rPr>
              <w:t>72.29</w:t>
            </w:r>
          </w:p>
        </w:tc>
        <w:tc>
          <w:tcPr>
            <w:tcW w:w="1505" w:type="dxa"/>
          </w:tcPr>
          <w:p w14:paraId="72822A39">
            <w:pPr>
              <w:pStyle w:val="16"/>
              <w:spacing w:before="11"/>
              <w:jc w:val="left"/>
              <w:rPr>
                <w:sz w:val="15"/>
              </w:rPr>
            </w:pPr>
          </w:p>
          <w:p w14:paraId="55005433">
            <w:pPr>
              <w:pStyle w:val="16"/>
              <w:spacing w:before="1"/>
              <w:ind w:left="26" w:right="12"/>
              <w:rPr>
                <w:rFonts w:ascii="宋体" w:eastAsia="宋体"/>
                <w:sz w:val="18"/>
              </w:rPr>
            </w:pPr>
            <w:r>
              <w:rPr>
                <w:rFonts w:ascii="宋体" w:eastAsia="宋体"/>
                <w:spacing w:val="-15"/>
                <w:sz w:val="18"/>
              </w:rPr>
              <w:t xml:space="preserve">达到 </w:t>
            </w:r>
            <w:r>
              <w:rPr>
                <w:rFonts w:ascii="宋体" w:eastAsia="宋体"/>
                <w:spacing w:val="-5"/>
                <w:sz w:val="18"/>
              </w:rPr>
              <w:t>100</w:t>
            </w:r>
          </w:p>
        </w:tc>
        <w:tc>
          <w:tcPr>
            <w:tcW w:w="1505" w:type="dxa"/>
          </w:tcPr>
          <w:p w14:paraId="2C5F0A7E">
            <w:pPr>
              <w:pStyle w:val="16"/>
              <w:spacing w:before="120"/>
              <w:ind w:left="26" w:right="12"/>
              <w:rPr>
                <w:rFonts w:ascii="宋体"/>
                <w:sz w:val="18"/>
              </w:rPr>
            </w:pPr>
            <w:r>
              <w:rPr>
                <w:rFonts w:ascii="宋体"/>
                <w:spacing w:val="-2"/>
                <w:sz w:val="18"/>
              </w:rPr>
              <w:t>99.77</w:t>
            </w:r>
          </w:p>
        </w:tc>
        <w:tc>
          <w:tcPr>
            <w:tcW w:w="1505" w:type="dxa"/>
          </w:tcPr>
          <w:p w14:paraId="45458AA0">
            <w:pPr>
              <w:pStyle w:val="16"/>
              <w:spacing w:before="120"/>
              <w:ind w:left="14"/>
              <w:rPr>
                <w:rFonts w:ascii="宋体"/>
                <w:sz w:val="18"/>
              </w:rPr>
            </w:pPr>
            <w:r>
              <w:rPr>
                <w:rFonts w:ascii="宋体"/>
                <w:sz w:val="18"/>
              </w:rPr>
              <w:t>-</w:t>
            </w:r>
          </w:p>
        </w:tc>
      </w:tr>
      <w:tr w14:paraId="0E3B1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2591" w:type="dxa"/>
          </w:tcPr>
          <w:p w14:paraId="15B16C03">
            <w:pPr>
              <w:pStyle w:val="16"/>
              <w:spacing w:before="131"/>
              <w:ind w:left="106"/>
              <w:jc w:val="left"/>
              <w:rPr>
                <w:rFonts w:ascii="宋体" w:eastAsia="宋体"/>
                <w:sz w:val="18"/>
              </w:rPr>
            </w:pPr>
            <w:r>
              <w:rPr>
                <w:rFonts w:ascii="宋体" w:eastAsia="宋体"/>
                <w:sz w:val="18"/>
              </w:rPr>
              <w:t>小学适龄儿童入学率</w:t>
            </w:r>
            <w:r>
              <w:rPr>
                <w:rFonts w:ascii="宋体" w:eastAsia="宋体"/>
                <w:spacing w:val="-5"/>
                <w:sz w:val="18"/>
              </w:rPr>
              <w:t>（%）</w:t>
            </w:r>
          </w:p>
        </w:tc>
        <w:tc>
          <w:tcPr>
            <w:tcW w:w="1308" w:type="dxa"/>
          </w:tcPr>
          <w:p w14:paraId="61071CEA">
            <w:pPr>
              <w:pStyle w:val="16"/>
              <w:spacing w:before="0"/>
              <w:jc w:val="left"/>
              <w:rPr>
                <w:sz w:val="16"/>
              </w:rPr>
            </w:pPr>
          </w:p>
          <w:p w14:paraId="41062BCD">
            <w:pPr>
              <w:pStyle w:val="16"/>
              <w:spacing w:before="1"/>
              <w:ind w:left="429"/>
              <w:jc w:val="left"/>
              <w:rPr>
                <w:rFonts w:ascii="宋体"/>
                <w:sz w:val="18"/>
              </w:rPr>
            </w:pPr>
            <w:r>
              <w:rPr>
                <w:rFonts w:ascii="宋体"/>
                <w:spacing w:val="-2"/>
                <w:sz w:val="18"/>
              </w:rPr>
              <w:t>99.74</w:t>
            </w:r>
          </w:p>
        </w:tc>
        <w:tc>
          <w:tcPr>
            <w:tcW w:w="1505" w:type="dxa"/>
          </w:tcPr>
          <w:p w14:paraId="1F9C991C">
            <w:pPr>
              <w:pStyle w:val="16"/>
              <w:spacing w:before="0"/>
              <w:jc w:val="left"/>
              <w:rPr>
                <w:sz w:val="16"/>
              </w:rPr>
            </w:pPr>
          </w:p>
          <w:p w14:paraId="36330767">
            <w:pPr>
              <w:pStyle w:val="16"/>
              <w:spacing w:before="1"/>
              <w:ind w:left="26" w:right="84"/>
              <w:rPr>
                <w:rFonts w:ascii="宋体" w:eastAsia="宋体"/>
                <w:sz w:val="18"/>
              </w:rPr>
            </w:pPr>
            <w:r>
              <w:rPr>
                <w:rFonts w:ascii="宋体" w:eastAsia="宋体"/>
                <w:spacing w:val="-11"/>
                <w:sz w:val="18"/>
              </w:rPr>
              <w:t xml:space="preserve">稳定在 </w:t>
            </w:r>
            <w:r>
              <w:rPr>
                <w:rFonts w:ascii="宋体" w:eastAsia="宋体"/>
                <w:spacing w:val="-2"/>
                <w:sz w:val="18"/>
              </w:rPr>
              <w:t>99%</w:t>
            </w:r>
            <w:r>
              <w:rPr>
                <w:rFonts w:ascii="宋体" w:eastAsia="宋体"/>
                <w:spacing w:val="-6"/>
                <w:sz w:val="18"/>
              </w:rPr>
              <w:t>以上</w:t>
            </w:r>
          </w:p>
        </w:tc>
        <w:tc>
          <w:tcPr>
            <w:tcW w:w="1505" w:type="dxa"/>
          </w:tcPr>
          <w:p w14:paraId="255504A9">
            <w:pPr>
              <w:pStyle w:val="16"/>
              <w:spacing w:before="131"/>
              <w:ind w:left="26" w:right="12"/>
              <w:rPr>
                <w:rFonts w:ascii="宋体"/>
                <w:sz w:val="18"/>
              </w:rPr>
            </w:pPr>
            <w:r>
              <w:rPr>
                <w:rFonts w:ascii="宋体"/>
                <w:spacing w:val="-2"/>
                <w:sz w:val="18"/>
              </w:rPr>
              <w:t>99.98</w:t>
            </w:r>
          </w:p>
        </w:tc>
        <w:tc>
          <w:tcPr>
            <w:tcW w:w="1505" w:type="dxa"/>
          </w:tcPr>
          <w:p w14:paraId="12122B4A">
            <w:pPr>
              <w:pStyle w:val="16"/>
              <w:spacing w:before="119"/>
              <w:ind w:left="14"/>
              <w:rPr>
                <w:rFonts w:ascii="宋体"/>
                <w:sz w:val="18"/>
              </w:rPr>
            </w:pPr>
            <w:r>
              <w:rPr>
                <w:rFonts w:ascii="宋体"/>
                <w:sz w:val="18"/>
              </w:rPr>
              <w:t>-</w:t>
            </w:r>
          </w:p>
        </w:tc>
      </w:tr>
    </w:tbl>
    <w:p w14:paraId="377A5F2B">
      <w:pPr>
        <w:spacing w:before="40" w:after="0" w:line="240" w:lineRule="auto"/>
        <w:ind w:left="221"/>
        <w:jc w:val="left"/>
        <w:rPr>
          <w:spacing w:val="-3"/>
          <w:sz w:val="21"/>
        </w:rPr>
      </w:pPr>
      <w:r>
        <w:rPr>
          <w:spacing w:val="-3"/>
          <w:sz w:val="21"/>
        </w:rPr>
        <w:t>注：产值以现价计算，增速以不变价计算</w:t>
      </w:r>
    </w:p>
    <w:p w14:paraId="36A5B82C">
      <w:pPr>
        <w:spacing w:before="40" w:after="0" w:line="240" w:lineRule="auto"/>
        <w:ind w:left="221"/>
        <w:jc w:val="left"/>
        <w:rPr>
          <w:spacing w:val="-3"/>
          <w:sz w:val="21"/>
        </w:rPr>
      </w:pPr>
    </w:p>
    <w:p w14:paraId="267E1DA8">
      <w:pPr>
        <w:pStyle w:val="3"/>
        <w:spacing w:before="0"/>
        <w:ind w:left="0" w:right="0"/>
        <w:rPr>
          <w:i w:val="0"/>
          <w:iCs w:val="0"/>
        </w:rPr>
      </w:pPr>
      <w:bookmarkStart w:id="12" w:name="_Toc15711"/>
      <w:bookmarkStart w:id="13" w:name="_Toc1884703997"/>
      <w:bookmarkStart w:id="14" w:name="_Toc763919063"/>
      <w:r>
        <w:rPr>
          <w:i w:val="0"/>
          <w:iCs w:val="0"/>
        </w:rPr>
        <w:t>第二节</w:t>
      </w:r>
      <w:r>
        <w:rPr>
          <w:i w:val="0"/>
          <w:iCs w:val="0"/>
          <w:spacing w:val="48"/>
          <w:w w:val="150"/>
        </w:rPr>
        <w:t xml:space="preserve"> </w:t>
      </w:r>
      <w:r>
        <w:rPr>
          <w:i w:val="0"/>
          <w:iCs w:val="0"/>
        </w:rPr>
        <w:t>发展环</w:t>
      </w:r>
      <w:r>
        <w:rPr>
          <w:i w:val="0"/>
          <w:iCs w:val="0"/>
          <w:spacing w:val="-10"/>
        </w:rPr>
        <w:t>境</w:t>
      </w:r>
      <w:bookmarkEnd w:id="12"/>
      <w:bookmarkEnd w:id="13"/>
      <w:bookmarkEnd w:id="14"/>
    </w:p>
    <w:p w14:paraId="26D613CD">
      <w:pPr>
        <w:pStyle w:val="5"/>
        <w:spacing w:before="0" w:line="362" w:lineRule="auto"/>
        <w:ind w:left="0" w:right="539" w:firstLine="559"/>
        <w:jc w:val="both"/>
        <w:rPr>
          <w:rFonts w:ascii="仿宋_GB2312"/>
          <w:b w:val="0"/>
          <w:i w:val="0"/>
          <w:spacing w:val="-2"/>
          <w:sz w:val="28"/>
        </w:rPr>
      </w:pPr>
    </w:p>
    <w:p w14:paraId="2631A87D">
      <w:pPr>
        <w:pStyle w:val="5"/>
        <w:spacing w:line="363" w:lineRule="auto"/>
        <w:ind w:left="0" w:right="0" w:firstLine="536" w:firstLineChars="200"/>
        <w:jc w:val="both"/>
      </w:pPr>
      <w:r>
        <w:rPr>
          <w:spacing w:val="-6"/>
        </w:rPr>
        <w:t>“十二五”期间是哈密地区加快实施优势资源转化、全面</w:t>
      </w:r>
      <w:r>
        <w:rPr>
          <w:rFonts w:hint="default"/>
          <w:spacing w:val="-6"/>
          <w:lang w:eastAsia="zh-CN"/>
        </w:rPr>
        <w:t>建</w:t>
      </w:r>
      <w:r>
        <w:rPr>
          <w:spacing w:val="-6"/>
        </w:rPr>
        <w:t>设小康社会、实现跨越式发展和长治久安的关键时期，处在新的历史起点，机遇与挑战并存，机遇大于挑战。</w:t>
      </w:r>
    </w:p>
    <w:p w14:paraId="7B23A92C">
      <w:pPr>
        <w:spacing w:line="360" w:lineRule="auto"/>
        <w:ind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一、迎来</w:t>
      </w:r>
      <w:r>
        <w:rPr>
          <w:rFonts w:hint="eastAsia" w:ascii="仿宋_GB2312" w:eastAsia="仿宋_GB2312"/>
          <w:b/>
          <w:bCs/>
          <w:i w:val="0"/>
          <w:iCs w:val="0"/>
          <w:spacing w:val="-7"/>
          <w:sz w:val="28"/>
          <w:szCs w:val="28"/>
        </w:rPr>
        <w:t>的机遇</w:t>
      </w:r>
    </w:p>
    <w:p w14:paraId="69E72329">
      <w:pPr>
        <w:pStyle w:val="5"/>
        <w:spacing w:before="0" w:line="363" w:lineRule="auto"/>
        <w:ind w:left="0" w:right="0" w:firstLine="536" w:firstLineChars="200"/>
        <w:jc w:val="both"/>
        <w:rPr>
          <w:spacing w:val="-6"/>
        </w:rPr>
      </w:pPr>
      <w:r>
        <w:rPr>
          <w:spacing w:val="-6"/>
        </w:rPr>
        <w:t>在新时期和新阶段，哈密地区拥有推进跨越式发展的诸多有利因素。从宏观背景环境来看，</w:t>
      </w:r>
      <w:r>
        <w:rPr>
          <w:b w:val="0"/>
          <w:bCs w:val="0"/>
          <w:spacing w:val="-6"/>
        </w:rPr>
        <w:t>一是</w:t>
      </w:r>
      <w:r>
        <w:rPr>
          <w:spacing w:val="-6"/>
        </w:rPr>
        <w:t>随着世界经济复苏，我国经济稳步发展，哈密地区可利用交通运输通道和枢纽，连接东部沿海港口和新疆内陆口岸，发挥新疆重要门户的区位作用和优势，构筑面向中亚、西亚，连接内陆、沿海的东西双向次级对外开放平台；</w:t>
      </w:r>
      <w:r>
        <w:rPr>
          <w:b w:val="0"/>
          <w:bCs w:val="0"/>
          <w:spacing w:val="-6"/>
        </w:rPr>
        <w:t>二是</w:t>
      </w:r>
      <w:r>
        <w:rPr>
          <w:spacing w:val="-6"/>
        </w:rPr>
        <w:t>国家把新疆稳定与发展置于全国发展的高度和层面，为地区未来发展提供了重大的机遇；</w:t>
      </w:r>
      <w:r>
        <w:rPr>
          <w:b w:val="0"/>
          <w:bCs w:val="0"/>
          <w:spacing w:val="-6"/>
        </w:rPr>
        <w:t>三是</w:t>
      </w:r>
      <w:r>
        <w:rPr>
          <w:spacing w:val="-6"/>
        </w:rPr>
        <w:t>国家长期向好的经济社会发展态势没有发生变化，为地区经济社会发展提供了良好的外部环境；</w:t>
      </w:r>
      <w:r>
        <w:rPr>
          <w:b w:val="0"/>
          <w:bCs w:val="0"/>
          <w:spacing w:val="-6"/>
        </w:rPr>
        <w:t>四是</w:t>
      </w:r>
      <w:r>
        <w:rPr>
          <w:spacing w:val="-6"/>
        </w:rPr>
        <w:t>国家西部大开发第二个十年规划的实施、中央新疆工作座谈会的召开以及新一轮对口援疆工作的启动，为地区经济社会发展提供了有力的政策保障；</w:t>
      </w:r>
      <w:r>
        <w:rPr>
          <w:b w:val="0"/>
          <w:bCs w:val="0"/>
          <w:spacing w:val="-6"/>
        </w:rPr>
        <w:t>五是</w:t>
      </w:r>
      <w:r>
        <w:rPr>
          <w:spacing w:val="-6"/>
        </w:rPr>
        <w:t>国家在转变经济发展方式、调整产业结构等方面力度加大，为地区充分发挥比较优势和实现“两个可持续”发展提供了可靠的政策支持。</w:t>
      </w:r>
    </w:p>
    <w:p w14:paraId="2FFE3D75">
      <w:pPr>
        <w:pStyle w:val="5"/>
        <w:autoSpaceDE/>
        <w:autoSpaceDN/>
        <w:spacing w:after="0" w:line="363" w:lineRule="auto"/>
        <w:ind w:left="0" w:firstLine="536" w:firstLineChars="200"/>
        <w:jc w:val="both"/>
        <w:rPr>
          <w:spacing w:val="-6"/>
          <w:sz w:val="28"/>
          <w:szCs w:val="28"/>
        </w:rPr>
      </w:pPr>
      <w:r>
        <w:rPr>
          <w:spacing w:val="-6"/>
        </w:rPr>
        <w:t>从自身条件基础来看，一是具有资源、区位和后发优势，成为地区率先实现跨越式发展的有利条件。哈密地区既是我国资源最为富集、组合优势明显的区域，又是新疆重要的门户和西北重要的综合交通枢纽，有利于地区加快推进“三化”进程，促进资源和区位优势转化为经济和发展优势；二是国家、自治区确定哈密</w:t>
      </w:r>
      <w:r>
        <w:rPr>
          <w:rFonts w:hint="eastAsia"/>
          <w:spacing w:val="-6"/>
          <w:lang w:eastAsia="zh-CN"/>
        </w:rPr>
        <w:t>作</w:t>
      </w:r>
      <w:r>
        <w:rPr>
          <w:spacing w:val="-6"/>
        </w:rPr>
        <w:t>为煤电、风电、光电、煤炭外运基地和能源输送通道，有利于地区进一步推进优势资源转换、加快重点产业发展、壮大工业经济规模和提升经济综合实力与整体水</w:t>
      </w:r>
      <w:r>
        <w:rPr>
          <w:spacing w:val="-6"/>
          <w:sz w:val="28"/>
          <w:szCs w:val="28"/>
        </w:rPr>
        <w:t>平；三是国家、自治区继续加大在交通、水利、电力等重大基础设施方面的投资力度，大大提升了哈密的区际地位；四是“十一五”以来，地区经济增长速度大幅加快，经济总量迅速扩大，特色产业初具规模，对外开放水平不断提升，招商引资规模迅速扩大，为地区实现高起点、</w:t>
      </w:r>
      <w:r>
        <w:rPr>
          <w:spacing w:val="-6"/>
        </w:rPr>
        <w:t>高水平、高效益的跨越式发展奠定了坚实基础；五是国有、民营企业大量进驻，积极参与资源开发和重大项目建设，为地区新兴产业快速崛起和优势产业加快升级，增添了后劲、注入了活力。</w:t>
      </w:r>
    </w:p>
    <w:p w14:paraId="705D6DD2">
      <w:pPr>
        <w:autoSpaceDE/>
        <w:autoSpaceDN/>
        <w:spacing w:line="360" w:lineRule="auto"/>
        <w:ind w:left="0"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二、面临</w:t>
      </w:r>
      <w:r>
        <w:rPr>
          <w:rFonts w:hint="eastAsia" w:ascii="仿宋_GB2312" w:eastAsia="仿宋_GB2312"/>
          <w:b/>
          <w:bCs/>
          <w:i w:val="0"/>
          <w:iCs w:val="0"/>
          <w:spacing w:val="-7"/>
          <w:sz w:val="28"/>
          <w:szCs w:val="28"/>
        </w:rPr>
        <w:t>的挑战</w:t>
      </w:r>
    </w:p>
    <w:p w14:paraId="63A45192">
      <w:pPr>
        <w:pStyle w:val="5"/>
        <w:spacing w:line="363" w:lineRule="auto"/>
        <w:ind w:firstLine="536" w:firstLineChars="200"/>
        <w:jc w:val="both"/>
        <w:rPr>
          <w:spacing w:val="-6"/>
        </w:rPr>
        <w:sectPr>
          <w:footerReference r:id="rId8" w:type="default"/>
          <w:footerReference r:id="rId9" w:type="even"/>
          <w:pgSz w:w="11910" w:h="16840"/>
          <w:pgMar w:top="1480" w:right="1260" w:bottom="1180" w:left="1480" w:header="0" w:footer="1020" w:gutter="0"/>
          <w:pgNumType w:fmt="decimal" w:start="1"/>
          <w:cols w:space="720" w:num="1"/>
        </w:sectPr>
      </w:pPr>
    </w:p>
    <w:p w14:paraId="1737032E">
      <w:pPr>
        <w:pStyle w:val="5"/>
        <w:autoSpaceDE/>
        <w:autoSpaceDN/>
        <w:spacing w:line="360" w:lineRule="auto"/>
        <w:ind w:left="0" w:right="0" w:firstLine="536" w:firstLineChars="200"/>
        <w:jc w:val="both"/>
        <w:rPr>
          <w:spacing w:val="-6"/>
        </w:rPr>
      </w:pPr>
      <w:r>
        <w:rPr>
          <w:spacing w:val="-6"/>
        </w:rPr>
        <w:t>“十二五”期间，世界经济形势日趋复杂，我国经济发展正在转型，哈密地区的发展也面临着一系列严峻挑战。一是区际差距日趋扩大，特别是“十一五”以来，新疆与东部、中部以及发展较快的西部省区的差距不断拉大，地区实现科学跨越、后发赶超的紧迫性和紧迫感加剧；二是区域竞争日益激烈，地区的资源和产业优势还没有得到充分的发挥，必须大力培育新兴产业和努力推进传统产业的升级改造，产业结构调整优化和提高产业竞争力的任务十分繁重；三是城乡间的差距不断扩大，地区城乡统筹协调发展的要求极为迫切；四是资源环境和节能减排的压力加大，地区实现“两个可持续”发展的任务极其艰巨；五是在地区推进“三化”进程中，人才短缺的瓶颈问题仍较明显。</w:t>
      </w:r>
    </w:p>
    <w:p w14:paraId="0DB7906C">
      <w:pPr>
        <w:pStyle w:val="2"/>
        <w:tabs>
          <w:tab w:val="left" w:pos="1199"/>
        </w:tabs>
        <w:spacing w:before="0"/>
        <w:ind w:right="0"/>
      </w:pPr>
      <w:bookmarkStart w:id="15" w:name="_Toc334193858"/>
      <w:bookmarkStart w:id="16" w:name="_Toc826238912"/>
      <w:bookmarkStart w:id="17" w:name="_Toc4108"/>
      <w:r>
        <w:t>第二</w:t>
      </w:r>
      <w:r>
        <w:rPr>
          <w:spacing w:val="-10"/>
        </w:rPr>
        <w:t>章</w:t>
      </w:r>
      <w:r>
        <w:tab/>
      </w:r>
      <w:r>
        <w:t>指导思想和发展目</w:t>
      </w:r>
      <w:r>
        <w:rPr>
          <w:spacing w:val="-10"/>
        </w:rPr>
        <w:t>标</w:t>
      </w:r>
      <w:bookmarkEnd w:id="15"/>
      <w:bookmarkEnd w:id="16"/>
      <w:bookmarkEnd w:id="17"/>
    </w:p>
    <w:p w14:paraId="7C6626FC">
      <w:pPr>
        <w:pStyle w:val="5"/>
        <w:spacing w:before="11"/>
        <w:ind w:left="0"/>
        <w:rPr>
          <w:rFonts w:ascii="黑体"/>
          <w:sz w:val="31"/>
        </w:rPr>
      </w:pPr>
    </w:p>
    <w:p w14:paraId="3E66DA5F">
      <w:pPr>
        <w:pStyle w:val="3"/>
        <w:ind w:left="0" w:right="0"/>
        <w:rPr>
          <w:i w:val="0"/>
          <w:iCs w:val="0"/>
        </w:rPr>
      </w:pPr>
      <w:bookmarkStart w:id="18" w:name="_Toc1131"/>
      <w:bookmarkStart w:id="19" w:name="_Toc425044895"/>
      <w:bookmarkStart w:id="20" w:name="_Toc1182442686"/>
      <w:r>
        <w:rPr>
          <w:i w:val="0"/>
          <w:iCs w:val="0"/>
        </w:rPr>
        <w:t>第一节</w:t>
      </w:r>
      <w:r>
        <w:rPr>
          <w:i w:val="0"/>
          <w:iCs w:val="0"/>
          <w:spacing w:val="48"/>
          <w:w w:val="150"/>
        </w:rPr>
        <w:t xml:space="preserve"> </w:t>
      </w:r>
      <w:r>
        <w:rPr>
          <w:i w:val="0"/>
          <w:iCs w:val="0"/>
        </w:rPr>
        <w:t>指导思</w:t>
      </w:r>
      <w:r>
        <w:rPr>
          <w:i w:val="0"/>
          <w:iCs w:val="0"/>
          <w:spacing w:val="-10"/>
        </w:rPr>
        <w:t>想</w:t>
      </w:r>
      <w:bookmarkEnd w:id="18"/>
      <w:bookmarkEnd w:id="19"/>
      <w:bookmarkEnd w:id="20"/>
    </w:p>
    <w:p w14:paraId="67405187">
      <w:pPr>
        <w:pStyle w:val="5"/>
        <w:autoSpaceDE/>
        <w:autoSpaceDN/>
        <w:spacing w:before="0" w:line="360" w:lineRule="auto"/>
        <w:ind w:left="0" w:firstLine="552" w:firstLineChars="200"/>
        <w:rPr>
          <w:rFonts w:ascii="仿宋_GB2312"/>
          <w:b w:val="0"/>
          <w:i w:val="0"/>
          <w:spacing w:val="-2"/>
          <w:sz w:val="28"/>
        </w:rPr>
      </w:pPr>
    </w:p>
    <w:p w14:paraId="03F2661B">
      <w:pPr>
        <w:pStyle w:val="5"/>
        <w:autoSpaceDE/>
        <w:autoSpaceDN/>
        <w:spacing w:line="360" w:lineRule="auto"/>
        <w:ind w:left="0" w:right="0" w:firstLine="536" w:firstLineChars="200"/>
        <w:jc w:val="both"/>
        <w:rPr>
          <w:spacing w:val="-6"/>
        </w:rPr>
      </w:pPr>
      <w:r>
        <w:rPr>
          <w:spacing w:val="-6"/>
        </w:rPr>
        <w:t>高举中国特色社会主义伟大旗帜，以邓小平理论和“三个代表”重要思想为指导，深入贯彻落实科学发展观，坚持中国共产党领导，坚持社会主义制度，坚持民族区域自治制度，坚持各民族共同团结奋斗、共同繁荣发展，坚持发展第一要务不动摇，深入实施“生态立区、工业强区、科教兴区、南园北牧、增收富民”，以科学发展为主题，以加快转变经济发展方式为主线，始终把推动科学发展作为解决一切问题的基础，始终把改革开放作为促进发展的强大动力，始终把保障和改善民生作为全部工作的出发点和落脚点，始终把加强民族团结作为长治久安的根本保障</w:t>
      </w:r>
      <w:r>
        <w:rPr>
          <w:rFonts w:hint="default"/>
          <w:spacing w:val="-6"/>
          <w:lang w:eastAsia="zh-CN"/>
        </w:rPr>
        <w:t>，</w:t>
      </w:r>
      <w:r>
        <w:rPr>
          <w:spacing w:val="-6"/>
        </w:rPr>
        <w:t>始终把维护</w:t>
      </w:r>
      <w:bookmarkStart w:id="397" w:name="_GoBack"/>
      <w:r>
        <w:rPr>
          <w:spacing w:val="-6"/>
        </w:rPr>
        <w:t>社会稳定</w:t>
      </w:r>
      <w:bookmarkEnd w:id="397"/>
      <w:r>
        <w:rPr>
          <w:spacing w:val="-6"/>
        </w:rPr>
        <w:t>作为发展进步的基本前提，努力推进地区跨越式发展和长治久安，尽快地把哈密建设成为文化哈密、开放哈密、活力哈密，建设成为强而精、富而美的和谐哈密，率先实现全面建设小康社会目标。</w:t>
      </w:r>
    </w:p>
    <w:p w14:paraId="0F984147">
      <w:pPr>
        <w:pStyle w:val="3"/>
        <w:spacing w:before="0"/>
        <w:ind w:left="0" w:right="0"/>
        <w:rPr>
          <w:i w:val="0"/>
          <w:iCs w:val="0"/>
        </w:rPr>
      </w:pPr>
      <w:bookmarkStart w:id="21" w:name="_Toc5195"/>
      <w:bookmarkStart w:id="22" w:name="_Toc1294701965"/>
      <w:bookmarkStart w:id="23" w:name="_Toc652572505"/>
      <w:r>
        <w:rPr>
          <w:i w:val="0"/>
          <w:iCs w:val="0"/>
        </w:rPr>
        <w:t>第二节</w:t>
      </w:r>
      <w:r>
        <w:rPr>
          <w:i w:val="0"/>
          <w:iCs w:val="0"/>
          <w:spacing w:val="48"/>
          <w:w w:val="150"/>
        </w:rPr>
        <w:t xml:space="preserve"> </w:t>
      </w:r>
      <w:r>
        <w:rPr>
          <w:i w:val="0"/>
          <w:iCs w:val="0"/>
        </w:rPr>
        <w:t>指导原</w:t>
      </w:r>
      <w:r>
        <w:rPr>
          <w:i w:val="0"/>
          <w:iCs w:val="0"/>
          <w:spacing w:val="-10"/>
        </w:rPr>
        <w:t>则</w:t>
      </w:r>
      <w:bookmarkEnd w:id="21"/>
      <w:bookmarkEnd w:id="22"/>
      <w:bookmarkEnd w:id="23"/>
    </w:p>
    <w:p w14:paraId="5E055C46">
      <w:pPr>
        <w:pStyle w:val="5"/>
        <w:autoSpaceDE/>
        <w:autoSpaceDN/>
        <w:spacing w:line="360" w:lineRule="auto"/>
        <w:ind w:left="0" w:right="0" w:firstLine="536" w:firstLineChars="200"/>
        <w:jc w:val="both"/>
        <w:rPr>
          <w:rFonts w:hint="default"/>
          <w:spacing w:val="-6"/>
          <w:lang w:eastAsia="zh-CN"/>
        </w:rPr>
        <w:sectPr>
          <w:footerReference r:id="rId10" w:type="default"/>
          <w:pgSz w:w="11910" w:h="16840"/>
          <w:pgMar w:top="1520" w:right="1260" w:bottom="1180" w:left="1480" w:header="0" w:footer="993" w:gutter="0"/>
          <w:pgNumType w:fmt="decimal"/>
          <w:cols w:space="720" w:num="1"/>
        </w:sectPr>
      </w:pPr>
    </w:p>
    <w:p w14:paraId="7A207801">
      <w:pPr>
        <w:pStyle w:val="5"/>
        <w:autoSpaceDE/>
        <w:autoSpaceDN/>
        <w:spacing w:line="363" w:lineRule="auto"/>
        <w:ind w:left="0" w:right="0" w:firstLine="554" w:firstLineChars="200"/>
        <w:jc w:val="both"/>
        <w:rPr>
          <w:spacing w:val="-6"/>
        </w:rPr>
      </w:pPr>
      <w:r>
        <w:rPr>
          <w:rFonts w:hint="default" w:ascii="仿宋_GB2312" w:hAnsi="仿宋_GB2312" w:eastAsia="仿宋_GB2312"/>
          <w:b/>
          <w:iCs/>
          <w:spacing w:val="-2"/>
        </w:rPr>
        <w:t>——</w:t>
      </w:r>
      <w:r>
        <w:rPr>
          <w:b/>
          <w:i w:val="0"/>
          <w:iCs/>
          <w:spacing w:val="-2"/>
        </w:rPr>
        <w:t>坚持科学跨越和率先发展。</w:t>
      </w:r>
      <w:r>
        <w:rPr>
          <w:spacing w:val="-6"/>
        </w:rPr>
        <w:t>树立后发赶超、敢为人先、敢想敢干、改革创新的时代精神，更加注重高起点、高水平、高效益的发展，注重加速发展方式转变、不断优化结构的发展，注重惠及民生、改善民生的发展，注重环保优先、生态立区的发展，注重廉洁高效、开放和谐的发展，转变发展理念、创新发展模式、破解发展难题、提高发展质量，始终在科学发展的轨道上推进跨越式发展，努力实现“十大新突破”。</w:t>
      </w:r>
    </w:p>
    <w:p w14:paraId="57333869">
      <w:pPr>
        <w:pStyle w:val="5"/>
        <w:autoSpaceDE/>
        <w:autoSpaceDN/>
        <w:spacing w:line="363" w:lineRule="auto"/>
        <w:ind w:left="0" w:right="0" w:firstLine="554" w:firstLineChars="200"/>
        <w:jc w:val="both"/>
        <w:rPr>
          <w:spacing w:val="-6"/>
        </w:rPr>
      </w:pPr>
      <w:r>
        <w:rPr>
          <w:rFonts w:hint="default" w:ascii="仿宋_GB2312" w:hAnsi="仿宋_GB2312" w:eastAsia="仿宋_GB2312"/>
          <w:b/>
          <w:iCs/>
          <w:spacing w:val="-2"/>
        </w:rPr>
        <w:t>——</w:t>
      </w:r>
      <w:r>
        <w:rPr>
          <w:b/>
          <w:i w:val="0"/>
          <w:iCs/>
          <w:spacing w:val="-2"/>
        </w:rPr>
        <w:t>坚持转变经济发展方式。</w:t>
      </w:r>
      <w:r>
        <w:rPr>
          <w:spacing w:val="-6"/>
        </w:rPr>
        <w:t>坚持把改革开放作为转变经济发展方式的强大动力，把转变经济发展方式贯穿经济社会发展全过程和各领域，形成绿色低碳经济的发展模式，提高发展的全面性、协调性、可持续性。加快推进经济结构调整，通过科技领先、自主创新，抢占现代产业的制高点，在发展中促转型，在转型中谋发展，加快建立布局合理、结构优化、效益突出的现代产业体系。</w:t>
      </w:r>
    </w:p>
    <w:p w14:paraId="7A529523">
      <w:pPr>
        <w:pStyle w:val="5"/>
        <w:autoSpaceDE/>
        <w:autoSpaceDN/>
        <w:spacing w:before="0" w:line="363" w:lineRule="auto"/>
        <w:ind w:left="0" w:right="0" w:firstLine="554" w:firstLineChars="200"/>
        <w:jc w:val="both"/>
        <w:rPr>
          <w:spacing w:val="-6"/>
        </w:rPr>
      </w:pPr>
      <w:r>
        <w:rPr>
          <w:rFonts w:ascii="仿宋_GB2312" w:hAnsi="仿宋_GB2312" w:eastAsia="仿宋_GB2312"/>
          <w:b/>
          <w:iCs/>
          <w:spacing w:val="-2"/>
        </w:rPr>
        <w:t>——</w:t>
      </w:r>
      <w:r>
        <w:rPr>
          <w:b/>
          <w:i w:val="0"/>
          <w:iCs/>
          <w:spacing w:val="-2"/>
        </w:rPr>
        <w:t>坚持民生优先。</w:t>
      </w:r>
      <w:r>
        <w:rPr>
          <w:spacing w:val="-6"/>
        </w:rPr>
        <w:t>坚持以人为本、民生优先、基层重要、群众第一，把保障和改善民生作为经济社会发展的出发点和落脚点，把更多的公共资源特别是财政资源投向民生领域，推进基本公共服务均等化，实施更加积极的就业政策，不断提高社会保障水平，千方百计提高城乡居民收入水平，确保各族人民在改革发展中得到实惠，实现富民与强区的有机统一。</w:t>
      </w:r>
    </w:p>
    <w:p w14:paraId="09E32BB1">
      <w:pPr>
        <w:pStyle w:val="5"/>
        <w:autoSpaceDE/>
        <w:autoSpaceDN/>
        <w:spacing w:line="363" w:lineRule="auto"/>
        <w:ind w:left="0" w:right="0" w:firstLine="554" w:firstLineChars="200"/>
        <w:jc w:val="both"/>
        <w:rPr>
          <w:spacing w:val="-6"/>
        </w:rPr>
      </w:pPr>
      <w:r>
        <w:rPr>
          <w:rFonts w:ascii="仿宋_GB2312" w:hAnsi="仿宋_GB2312" w:eastAsia="仿宋_GB2312"/>
          <w:b/>
          <w:iCs/>
          <w:spacing w:val="-2"/>
        </w:rPr>
        <w:t>——</w:t>
      </w:r>
      <w:r>
        <w:rPr>
          <w:b/>
          <w:i w:val="0"/>
          <w:iCs/>
          <w:spacing w:val="-2"/>
        </w:rPr>
        <w:t>坚持“两个可持续”发展。</w:t>
      </w:r>
      <w:r>
        <w:rPr>
          <w:spacing w:val="-6"/>
        </w:rPr>
        <w:t>牢固树立环保优先、生态立区的发展理念，坚持走资源开发和生态环境可持续发展的道路，实现经济效益与生态效益、环境效益的有机统一。遵循先规划后开发的原则，坚持“五个优先”，坚持“三高”标准，科学合理有序进行产业布局和资源开发，确保优势资源开发的效率和效益。加快资源节约型、环境友好型社会建设，加快发展循环经济，不断推进节能减排，提高资源开发的环保准入门槛。加快节水型社会建设，牢固树立水资源是经济社会发展命脉的理念，优化配置水资源，推进重点生态工程建设，加大污染防治。</w:t>
      </w:r>
    </w:p>
    <w:p w14:paraId="2C2BEDFE">
      <w:pPr>
        <w:spacing w:after="0" w:line="362" w:lineRule="auto"/>
        <w:sectPr>
          <w:footerReference r:id="rId11" w:type="default"/>
          <w:footerReference r:id="rId12" w:type="even"/>
          <w:pgSz w:w="11910" w:h="16840"/>
          <w:pgMar w:top="1540" w:right="1260" w:bottom="1180" w:left="1480" w:header="0" w:footer="993" w:gutter="0"/>
          <w:pgNumType w:fmt="decimal"/>
          <w:cols w:space="720" w:num="1"/>
        </w:sectPr>
      </w:pPr>
    </w:p>
    <w:p w14:paraId="4A5D2021">
      <w:pPr>
        <w:pStyle w:val="5"/>
        <w:spacing w:before="0" w:line="240" w:lineRule="auto"/>
        <w:ind w:left="408" w:right="0" w:firstLine="0"/>
        <w:rPr>
          <w:rFonts w:ascii="宋体" w:hAnsi="宋体" w:eastAsia="宋体"/>
          <w:spacing w:val="-2"/>
        </w:rPr>
      </w:pPr>
      <w:r>
        <w:rPr>
          <w:sz w:val="20"/>
        </w:rPr>
        <w:pict>
          <v:group id="docshapegroup5" o:spid="_x0000_s1026" o:spt="203" style="height:108.35pt;width:432.75pt;" coordsize="8655,2167">
            <o:lock v:ext="edit"/>
            <v:shape id="docshape6" o:spid="_x0000_s1027" style="position:absolute;left:0;top:0;height:2167;width:8655;" fillcolor="#000000" filled="t" stroked="f" coordsize="8655,2167" path="m8655,2167l0,2167,0,0,8655,0,8655,8,15,8,8,15,15,15,15,2152,8,2152,15,2160,8655,2160,8655,2167xm15,15l8,15,15,8,15,15xm8640,15l15,15,15,8,8640,8,8640,15xm8640,2160l8640,8,8647,15,8655,15,8655,2152,8647,2152,8640,2160xm8655,15l8647,15,8640,8,8655,8,8655,15xm15,2160l8,2152,15,2152,15,2160xm8640,2160l15,2160,15,2152,8640,2152,8640,2160xm8655,2160l8640,2160,8647,2152,8655,2152,8655,2160xe">
              <v:path arrowok="t"/>
              <v:fill on="t" focussize="0,0"/>
              <v:stroke on="f"/>
              <v:imagedata o:title=""/>
              <o:lock v:ext="edit"/>
            </v:shape>
            <v:shape id="docshape7" o:spid="_x0000_s1028" o:spt="202" type="#_x0000_t202" style="position:absolute;left:0;top:0;height:2167;width:8655;" filled="f" stroked="f" coordsize="21600,21600">
              <v:path/>
              <v:fill on="f" focussize="0,0"/>
              <v:stroke on="f" joinstyle="miter"/>
              <v:imagedata o:title=""/>
              <o:lock v:ext="edit"/>
              <v:textbox inset="0mm,0mm,0mm,0mm">
                <w:txbxContent>
                  <w:p w14:paraId="17AC68A8">
                    <w:pPr>
                      <w:spacing w:before="7" w:line="240" w:lineRule="auto"/>
                      <w:rPr>
                        <w:sz w:val="14"/>
                      </w:rPr>
                    </w:pPr>
                  </w:p>
                  <w:p w14:paraId="30AE60D4">
                    <w:pPr>
                      <w:spacing w:before="0"/>
                      <w:ind w:left="3293" w:right="3295"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z w:val="21"/>
                      </w:rPr>
                      <w:t>2-1</w:t>
                    </w:r>
                    <w:r>
                      <w:rPr>
                        <w:rFonts w:hint="eastAsia" w:ascii="黑体" w:eastAsia="黑体"/>
                        <w:b/>
                        <w:spacing w:val="8"/>
                        <w:sz w:val="21"/>
                      </w:rPr>
                      <w:t xml:space="preserve"> 十大新突破</w:t>
                    </w:r>
                  </w:p>
                  <w:p w14:paraId="08607DE6">
                    <w:pPr>
                      <w:spacing w:before="129" w:line="288" w:lineRule="auto"/>
                      <w:ind w:left="159" w:right="159" w:firstLine="414"/>
                      <w:jc w:val="both"/>
                      <w:rPr>
                        <w:rFonts w:ascii="宋体" w:eastAsia="宋体"/>
                        <w:sz w:val="21"/>
                      </w:rPr>
                    </w:pPr>
                    <w:r>
                      <w:rPr>
                        <w:rFonts w:ascii="宋体" w:eastAsia="宋体"/>
                        <w:spacing w:val="-2"/>
                        <w:sz w:val="21"/>
                      </w:rPr>
                      <w:t>在转变发展方式、调整经济结构，实现科学发展上有新突破；在资源转换的效率和效益上有新突破；在构建现代产业体系和延伸产业链上有新突破；在培育新兴产业和高新技术产业上有新突破；在现代物流业的发展上有新突破；在打造旅游产业上有新突破；在投融资平台建设上有新突破；在退城入园和园区建设上有新突破；在城乡电网和园区矿区电网建设上有新突破；在新型城镇化的规划建设和管理上有新突破。</w:t>
                    </w:r>
                  </w:p>
                </w:txbxContent>
              </v:textbox>
            </v:shape>
            <w10:wrap type="none"/>
            <w10:anchorlock/>
          </v:group>
        </w:pict>
      </w:r>
    </w:p>
    <w:p w14:paraId="63128AD5">
      <w:pPr>
        <w:pStyle w:val="5"/>
        <w:autoSpaceDE/>
        <w:autoSpaceDN/>
        <w:spacing w:before="0" w:line="363" w:lineRule="auto"/>
        <w:ind w:left="0" w:right="0" w:firstLine="538" w:firstLineChars="200"/>
        <w:jc w:val="both"/>
        <w:rPr>
          <w:spacing w:val="-6"/>
        </w:rPr>
      </w:pPr>
      <w:r>
        <w:rPr>
          <w:rFonts w:ascii="仿宋_GB2312" w:hAnsi="仿宋_GB2312" w:eastAsia="仿宋_GB2312"/>
          <w:b/>
          <w:bCs/>
          <w:spacing w:val="-6"/>
        </w:rPr>
        <w:t>——</w:t>
      </w:r>
      <w:r>
        <w:rPr>
          <w:b/>
          <w:bCs/>
          <w:i w:val="0"/>
          <w:iCs w:val="0"/>
          <w:spacing w:val="-6"/>
        </w:rPr>
        <w:t>坚持多方融合发展。</w:t>
      </w:r>
      <w:r>
        <w:rPr>
          <w:spacing w:val="-6"/>
        </w:rPr>
        <w:t>贯彻区域融合发展方针，不断深化融合发展实践，努力拓展融合发展领域，巩固扩大融合发展成果，以开放的姿态和胸怀，形成多层次、全方位、宽领域合力推进的良好局面，实现区域各方互利共赢、融合发展。</w:t>
      </w:r>
    </w:p>
    <w:p w14:paraId="6DA5F238">
      <w:pPr>
        <w:pStyle w:val="5"/>
        <w:spacing w:before="7"/>
        <w:ind w:left="0"/>
        <w:rPr>
          <w:sz w:val="22"/>
        </w:rPr>
      </w:pPr>
    </w:p>
    <w:p w14:paraId="397168F6">
      <w:pPr>
        <w:pStyle w:val="3"/>
        <w:ind w:left="0" w:right="0"/>
        <w:rPr>
          <w:i w:val="0"/>
          <w:iCs w:val="0"/>
        </w:rPr>
      </w:pPr>
      <w:bookmarkStart w:id="24" w:name="_Toc18215"/>
      <w:bookmarkStart w:id="25" w:name="_Toc1545036079"/>
      <w:bookmarkStart w:id="26" w:name="_Toc1782109628"/>
      <w:bookmarkStart w:id="27" w:name="_Toc317490098"/>
      <w:r>
        <w:rPr>
          <w:i w:val="0"/>
          <w:iCs w:val="0"/>
        </w:rPr>
        <w:t>第三节</w:t>
      </w:r>
      <w:r>
        <w:rPr>
          <w:i w:val="0"/>
          <w:iCs w:val="0"/>
          <w:spacing w:val="48"/>
          <w:w w:val="150"/>
        </w:rPr>
        <w:t xml:space="preserve"> </w:t>
      </w:r>
      <w:r>
        <w:rPr>
          <w:i w:val="0"/>
          <w:iCs w:val="0"/>
        </w:rPr>
        <w:t>发展目</w:t>
      </w:r>
      <w:r>
        <w:rPr>
          <w:i w:val="0"/>
          <w:iCs w:val="0"/>
          <w:spacing w:val="-10"/>
        </w:rPr>
        <w:t>标</w:t>
      </w:r>
      <w:bookmarkEnd w:id="24"/>
      <w:bookmarkEnd w:id="25"/>
      <w:bookmarkEnd w:id="26"/>
      <w:bookmarkEnd w:id="27"/>
    </w:p>
    <w:p w14:paraId="51C246E6">
      <w:pPr>
        <w:pStyle w:val="5"/>
        <w:autoSpaceDE/>
        <w:autoSpaceDN/>
        <w:spacing w:before="0" w:line="363" w:lineRule="auto"/>
        <w:ind w:left="0"/>
        <w:jc w:val="both"/>
        <w:rPr>
          <w:rFonts w:ascii="仿宋_GB2312"/>
          <w:b w:val="0"/>
          <w:i w:val="0"/>
          <w:spacing w:val="-2"/>
          <w:sz w:val="28"/>
        </w:rPr>
      </w:pPr>
    </w:p>
    <w:p w14:paraId="09E3B829">
      <w:pPr>
        <w:pStyle w:val="5"/>
        <w:autoSpaceDE/>
        <w:autoSpaceDN/>
        <w:spacing w:line="363" w:lineRule="auto"/>
        <w:ind w:left="0" w:right="0" w:firstLine="552" w:firstLineChars="200"/>
        <w:jc w:val="both"/>
        <w:rPr>
          <w:spacing w:val="-2"/>
        </w:rPr>
      </w:pPr>
      <w:r>
        <w:rPr>
          <w:spacing w:val="-2"/>
        </w:rPr>
        <w:t>“十二五”期间，哈密地区紧紧围绕“生态立区、工业强区、科教兴区、南园北牧、增收富民”的发展</w:t>
      </w:r>
      <w:r>
        <w:rPr>
          <w:rFonts w:hint="eastAsia"/>
          <w:spacing w:val="-2"/>
          <w:lang w:eastAsia="zh-CN"/>
        </w:rPr>
        <w:t>目标</w:t>
      </w:r>
      <w:r>
        <w:rPr>
          <w:spacing w:val="-2"/>
        </w:rPr>
        <w:t>，以现代文化为引领，以改革开放为动力，以科技教育为支撑，以新型工业化带动新型城镇化和农牧业现代化，以重点项目为突破口，打造“九大基地”，全面推进经济建设、文化建设、社会建设和生态文明建设，把哈密建成新疆区域增长极，西北地区东西双向开放的重要枢纽和现代化的商品物流集散地，新疆区域协调和城乡统筹的示范区与民族团结和社会和谐的先进区。</w:t>
      </w:r>
    </w:p>
    <w:p w14:paraId="7C688E31">
      <w:pPr>
        <w:pStyle w:val="5"/>
        <w:autoSpaceDE/>
        <w:autoSpaceDN/>
        <w:spacing w:before="0" w:line="363" w:lineRule="auto"/>
        <w:ind w:left="0" w:right="0" w:firstLine="552" w:firstLineChars="200"/>
        <w:jc w:val="both"/>
      </w:pPr>
      <w:r>
        <w:rPr>
          <w:rFonts w:ascii="宋体" w:hAnsi="宋体" w:eastAsia="宋体"/>
          <w:spacing w:val="-2"/>
        </w:rPr>
        <w:t>——</w:t>
      </w:r>
      <w:r>
        <w:rPr>
          <w:b/>
          <w:i w:val="0"/>
          <w:iCs/>
          <w:spacing w:val="-2"/>
        </w:rPr>
        <w:t>经济总量</w:t>
      </w:r>
      <w:r>
        <w:rPr>
          <w:b/>
          <w:i w:val="0"/>
          <w:iCs/>
          <w:spacing w:val="-26"/>
        </w:rPr>
        <w:t>跨越。</w:t>
      </w:r>
      <w:r>
        <w:rPr>
          <w:spacing w:val="-11"/>
        </w:rPr>
        <w:t>在优化结构、提高效益和降低消耗的基础上，</w:t>
      </w:r>
      <w:r>
        <w:rPr>
          <w:spacing w:val="-7"/>
        </w:rPr>
        <w:t xml:space="preserve">“十二五”末，地区生产总值达到 </w:t>
      </w:r>
      <w:r>
        <w:rPr>
          <w:spacing w:val="-2"/>
        </w:rPr>
        <w:t>600</w:t>
      </w:r>
      <w:r>
        <w:rPr>
          <w:spacing w:val="-17"/>
        </w:rPr>
        <w:t xml:space="preserve"> 亿元以上，年均增长 </w:t>
      </w:r>
      <w:r>
        <w:rPr>
          <w:spacing w:val="-2"/>
        </w:rPr>
        <w:t xml:space="preserve">25%以上，力争比“十一五”末翻两番，人均生产总值达到 </w:t>
      </w:r>
      <w:r>
        <w:t>9.5</w:t>
      </w:r>
      <w:r>
        <w:rPr>
          <w:spacing w:val="-5"/>
        </w:rPr>
        <w:t xml:space="preserve"> 万元以上；全社</w:t>
      </w:r>
      <w:r>
        <w:rPr>
          <w:spacing w:val="-7"/>
        </w:rPr>
        <w:t xml:space="preserve">会固定资产投资年均增长 </w:t>
      </w:r>
      <w:r>
        <w:t>40%</w:t>
      </w:r>
      <w:r>
        <w:rPr>
          <w:spacing w:val="-5"/>
        </w:rPr>
        <w:t xml:space="preserve">；地方财政一般预算收入年均增长 </w:t>
      </w:r>
      <w:r>
        <w:t>30%；</w:t>
      </w:r>
      <w:r>
        <w:rPr>
          <w:spacing w:val="-4"/>
        </w:rPr>
        <w:t xml:space="preserve">社会消费品零售总额年均增长 </w:t>
      </w:r>
      <w:r>
        <w:t>18%以上；物价总水平保持基本稳定， CPI</w:t>
      </w:r>
      <w:r>
        <w:rPr>
          <w:spacing w:val="-8"/>
        </w:rPr>
        <w:t xml:space="preserve"> 增幅控制在 </w:t>
      </w:r>
      <w:r>
        <w:t>4%左右。</w:t>
      </w:r>
    </w:p>
    <w:p w14:paraId="778188AA">
      <w:pPr>
        <w:pStyle w:val="5"/>
        <w:spacing w:line="363" w:lineRule="auto"/>
        <w:ind w:left="0" w:right="0" w:firstLine="560" w:firstLineChars="200"/>
        <w:jc w:val="both"/>
      </w:pPr>
      <w:r>
        <w:rPr>
          <w:rFonts w:ascii="宋体" w:hAnsi="宋体" w:eastAsia="宋体"/>
        </w:rPr>
        <w:t>——</w:t>
      </w:r>
      <w:r>
        <w:rPr>
          <w:b/>
          <w:i w:val="0"/>
          <w:iCs/>
        </w:rPr>
        <w:t>结构转型跨越。</w:t>
      </w:r>
      <w:r>
        <w:rPr>
          <w:spacing w:val="-7"/>
        </w:rPr>
        <w:t>到 2015 年，产业结构更加协调，三次产业发展质量和水平显著提高，比重调整为 6：69：25，第一产业增加值年均增速达到 10%，第二产业增加值年均增速达到 40%以上，其中工业和建筑业增加值年均增速达到 40%以上，第三产业增加值年均增速达到 16%，科技创新能力增强，城镇化水平不断提高。</w:t>
      </w:r>
    </w:p>
    <w:p w14:paraId="6E49669A">
      <w:pPr>
        <w:pStyle w:val="5"/>
        <w:spacing w:before="0" w:line="363" w:lineRule="auto"/>
        <w:ind w:left="0" w:right="0" w:firstLine="552" w:firstLineChars="200"/>
        <w:jc w:val="both"/>
      </w:pPr>
      <w:r>
        <w:rPr>
          <w:rFonts w:ascii="宋体" w:hAnsi="宋体" w:eastAsia="宋体"/>
          <w:spacing w:val="-2"/>
        </w:rPr>
        <w:t>——</w:t>
      </w:r>
      <w:r>
        <w:rPr>
          <w:b/>
          <w:i w:val="0"/>
          <w:iCs/>
          <w:spacing w:val="-2"/>
        </w:rPr>
        <w:t>社会事业跨越。</w:t>
      </w:r>
      <w:r>
        <w:rPr>
          <w:spacing w:val="-2"/>
        </w:rPr>
        <w:t>公共产品和服务供给能力不断增强，社会保障体系不断完善，城乡居民在享有教育、医疗、保险、养老、就业等</w:t>
      </w:r>
      <w:r>
        <w:rPr>
          <w:spacing w:val="-4"/>
        </w:rPr>
        <w:t xml:space="preserve">公共服务方面超过西部平均水平。九年义务教育巩固率达到 </w:t>
      </w:r>
      <w:r>
        <w:rPr>
          <w:spacing w:val="-2"/>
        </w:rPr>
        <w:t>99.99%，</w:t>
      </w:r>
      <w:r>
        <w:t xml:space="preserve">新型农村合作医疗参合率达到 100%。实现符合条件的农村家庭至少 </w:t>
      </w:r>
      <w:r>
        <w:rPr>
          <w:spacing w:val="-4"/>
        </w:rPr>
        <w:t xml:space="preserve">“一户一工人”的目标，城镇登记失业率控制在 </w:t>
      </w:r>
      <w:r>
        <w:rPr>
          <w:spacing w:val="-2"/>
        </w:rPr>
        <w:t>3</w:t>
      </w:r>
      <w:r>
        <w:rPr>
          <w:spacing w:val="-8"/>
        </w:rPr>
        <w:t xml:space="preserve">%左右，到 </w:t>
      </w:r>
      <w:r>
        <w:rPr>
          <w:spacing w:val="-2"/>
        </w:rPr>
        <w:t>2015</w:t>
      </w:r>
      <w:r>
        <w:rPr>
          <w:spacing w:val="-18"/>
        </w:rPr>
        <w:t xml:space="preserve"> 年</w:t>
      </w:r>
      <w:r>
        <w:rPr>
          <w:spacing w:val="-2"/>
        </w:rPr>
        <w:t>消除绝对贫困现象。</w:t>
      </w:r>
    </w:p>
    <w:p w14:paraId="00026D39">
      <w:pPr>
        <w:pStyle w:val="5"/>
        <w:spacing w:line="363" w:lineRule="auto"/>
        <w:ind w:left="0" w:right="0" w:firstLine="559"/>
        <w:jc w:val="both"/>
      </w:pPr>
      <w:r>
        <w:rPr>
          <w:rFonts w:ascii="宋体" w:hAnsi="宋体" w:eastAsia="宋体"/>
          <w:spacing w:val="-2"/>
        </w:rPr>
        <w:t>——</w:t>
      </w:r>
      <w:r>
        <w:rPr>
          <w:b/>
          <w:i w:val="0"/>
          <w:iCs/>
          <w:spacing w:val="-2"/>
        </w:rPr>
        <w:t>人民生活跨越。</w:t>
      </w:r>
      <w:r>
        <w:rPr>
          <w:spacing w:val="-2"/>
        </w:rPr>
        <w:t>城乡居民生活质量普遍提高，收入水平与经</w:t>
      </w:r>
      <w:r>
        <w:rPr>
          <w:spacing w:val="-25"/>
        </w:rPr>
        <w:t xml:space="preserve">济发展相适应。到 </w:t>
      </w:r>
      <w:r>
        <w:t>2015</w:t>
      </w:r>
      <w:r>
        <w:rPr>
          <w:spacing w:val="-20"/>
        </w:rPr>
        <w:t xml:space="preserve"> 年，城镇居民人均可支配收入达到 </w:t>
      </w:r>
      <w:r>
        <w:t>3</w:t>
      </w:r>
      <w:r>
        <w:rPr>
          <w:spacing w:val="-13"/>
        </w:rPr>
        <w:t xml:space="preserve"> 万元以上，</w:t>
      </w:r>
      <w:r>
        <w:rPr>
          <w:spacing w:val="-15"/>
        </w:rPr>
        <w:t xml:space="preserve">年均增长 </w:t>
      </w:r>
      <w:r>
        <w:t>18</w:t>
      </w:r>
      <w:r>
        <w:rPr>
          <w:spacing w:val="-6"/>
        </w:rPr>
        <w:t xml:space="preserve">%；农牧民人均纯收入达到 </w:t>
      </w:r>
      <w:r>
        <w:t>1.2</w:t>
      </w:r>
      <w:r>
        <w:rPr>
          <w:spacing w:val="-15"/>
        </w:rPr>
        <w:t xml:space="preserve"> 万元以上，年均增长 </w:t>
      </w:r>
      <w:r>
        <w:t>16%。</w:t>
      </w:r>
      <w:r>
        <w:rPr>
          <w:spacing w:val="-2"/>
        </w:rPr>
        <w:t xml:space="preserve">更加注重人口综合素质的提高，人口自然增长率控制在 </w:t>
      </w:r>
      <w:r>
        <w:t>8.75‰以内。</w:t>
      </w:r>
    </w:p>
    <w:p w14:paraId="62D72CAA">
      <w:pPr>
        <w:pStyle w:val="5"/>
        <w:spacing w:line="363" w:lineRule="auto"/>
        <w:ind w:left="0" w:right="0" w:firstLine="559"/>
        <w:jc w:val="both"/>
        <w:rPr>
          <w:spacing w:val="-4"/>
        </w:rPr>
      </w:pPr>
      <w:r>
        <w:rPr>
          <w:rFonts w:ascii="宋体" w:hAnsi="宋体" w:eastAsia="宋体"/>
          <w:spacing w:val="-2"/>
        </w:rPr>
        <w:t>——</w:t>
      </w:r>
      <w:r>
        <w:rPr>
          <w:b/>
          <w:i w:val="0"/>
          <w:iCs/>
          <w:spacing w:val="-2"/>
        </w:rPr>
        <w:t>可持续发展跨越。</w:t>
      </w:r>
      <w:r>
        <w:rPr>
          <w:spacing w:val="-2"/>
        </w:rPr>
        <w:t>资源的综合利用效益不断提高，节约型社</w:t>
      </w:r>
      <w:r>
        <w:rPr>
          <w:spacing w:val="-6"/>
        </w:rPr>
        <w:t xml:space="preserve">会建设取得重大进展，万元生产总值能源消耗年均下降 </w:t>
      </w:r>
      <w:r>
        <w:rPr>
          <w:spacing w:val="-4"/>
        </w:rPr>
        <w:t>2%，农业灌溉</w:t>
      </w:r>
      <w:r>
        <w:rPr>
          <w:spacing w:val="-2"/>
        </w:rPr>
        <w:t xml:space="preserve">用水有效利用系数提高到 </w:t>
      </w:r>
      <w:r>
        <w:t>0.6</w:t>
      </w:r>
      <w:r>
        <w:rPr>
          <w:spacing w:val="-1"/>
        </w:rPr>
        <w:t xml:space="preserve">，工业固体废物综合处置率提高到 </w:t>
      </w:r>
      <w:r>
        <w:t>85%</w:t>
      </w:r>
      <w:r>
        <w:rPr>
          <w:spacing w:val="-2"/>
        </w:rPr>
        <w:t>以上。努力遏制生态环境恶化趋势，重点区域生态环境得到改善，城</w:t>
      </w:r>
      <w:r>
        <w:rPr>
          <w:spacing w:val="-8"/>
        </w:rPr>
        <w:t xml:space="preserve">市环境质量显著提高，到 </w:t>
      </w:r>
      <w:r>
        <w:rPr>
          <w:spacing w:val="-6"/>
        </w:rPr>
        <w:t>2015</w:t>
      </w:r>
      <w:r>
        <w:rPr>
          <w:spacing w:val="-13"/>
        </w:rPr>
        <w:t xml:space="preserve"> 年，森林覆盖率提高到 </w:t>
      </w:r>
      <w:r>
        <w:rPr>
          <w:spacing w:val="-6"/>
        </w:rPr>
        <w:t>1.46%左右，城</w:t>
      </w:r>
      <w:r>
        <w:rPr>
          <w:spacing w:val="-2"/>
        </w:rPr>
        <w:t>镇空气质量达到国家二级标准，企业主要污染物排放控制在国家指标</w:t>
      </w:r>
      <w:r>
        <w:rPr>
          <w:spacing w:val="-4"/>
        </w:rPr>
        <w:t>范围内。</w:t>
      </w:r>
    </w:p>
    <w:p w14:paraId="6495CF1A">
      <w:pPr>
        <w:pStyle w:val="5"/>
        <w:spacing w:line="363" w:lineRule="auto"/>
        <w:ind w:left="0" w:right="0" w:firstLine="552" w:firstLineChars="200"/>
        <w:jc w:val="both"/>
      </w:pPr>
      <w:r>
        <w:rPr>
          <w:rFonts w:ascii="宋体" w:hAnsi="宋体" w:eastAsia="宋体"/>
          <w:spacing w:val="-2"/>
        </w:rPr>
        <w:t>——</w:t>
      </w:r>
      <w:r>
        <w:rPr>
          <w:b/>
          <w:i w:val="0"/>
          <w:iCs/>
          <w:spacing w:val="-2"/>
        </w:rPr>
        <w:t>改革开放跨越。</w:t>
      </w:r>
      <w:r>
        <w:rPr>
          <w:spacing w:val="-2"/>
        </w:rPr>
        <w:t>积极鼓励中小企业发展，非公有制经济占生</w:t>
      </w:r>
      <w:r>
        <w:rPr>
          <w:spacing w:val="-12"/>
        </w:rPr>
        <w:t>产总值比重进一步提高。市场投资主体多元化，要素市场进一步完善。</w:t>
      </w:r>
      <w:r>
        <w:rPr>
          <w:spacing w:val="-2"/>
        </w:rPr>
        <w:t>抓住对口援建机遇，推进多方融合发展。加大招商引资力度，提升对</w:t>
      </w:r>
      <w:r>
        <w:rPr>
          <w:spacing w:val="-16"/>
        </w:rPr>
        <w:t xml:space="preserve">外开放水平。到 </w:t>
      </w:r>
      <w:r>
        <w:t>2015</w:t>
      </w:r>
      <w:r>
        <w:rPr>
          <w:spacing w:val="-14"/>
        </w:rPr>
        <w:t xml:space="preserve"> 年，全地区外贸进出口总额力争实现 </w:t>
      </w:r>
      <w:r>
        <w:t>1</w:t>
      </w:r>
      <w:r>
        <w:rPr>
          <w:spacing w:val="-10"/>
        </w:rPr>
        <w:t xml:space="preserve"> 亿美元以</w:t>
      </w:r>
      <w:r>
        <w:rPr>
          <w:spacing w:val="-32"/>
        </w:rPr>
        <w:t xml:space="preserve">上，年均增长 </w:t>
      </w:r>
      <w:r>
        <w:t>20</w:t>
      </w:r>
      <w:r>
        <w:rPr>
          <w:spacing w:val="-16"/>
        </w:rPr>
        <w:t xml:space="preserve">%以上，老爷庙口岸进出口货物总量年均增长 </w:t>
      </w:r>
      <w:r>
        <w:t>50%以上。</w:t>
      </w:r>
    </w:p>
    <w:p w14:paraId="3ED75086">
      <w:pPr>
        <w:pStyle w:val="5"/>
        <w:spacing w:line="363" w:lineRule="auto"/>
        <w:ind w:left="0" w:right="0" w:firstLine="559"/>
        <w:jc w:val="both"/>
        <w:rPr>
          <w:spacing w:val="-4"/>
        </w:rPr>
      </w:pPr>
    </w:p>
    <w:p w14:paraId="4C653A57">
      <w:pPr>
        <w:pStyle w:val="5"/>
        <w:spacing w:line="363" w:lineRule="auto"/>
        <w:ind w:left="0" w:right="0" w:firstLine="559"/>
        <w:jc w:val="both"/>
        <w:rPr>
          <w:spacing w:val="-4"/>
        </w:rPr>
      </w:pPr>
    </w:p>
    <w:p w14:paraId="3CA68B22">
      <w:pPr>
        <w:spacing w:after="0" w:line="362" w:lineRule="auto"/>
        <w:jc w:val="both"/>
        <w:sectPr>
          <w:pgSz w:w="11910" w:h="16840"/>
          <w:pgMar w:top="1540" w:right="1260" w:bottom="1180" w:left="1480" w:header="0" w:footer="993" w:gutter="0"/>
          <w:pgNumType w:fmt="decimal"/>
          <w:cols w:space="720" w:num="1"/>
        </w:sectPr>
      </w:pPr>
    </w:p>
    <w:p w14:paraId="5351207E">
      <w:pPr>
        <w:pStyle w:val="5"/>
        <w:spacing w:before="12"/>
        <w:ind w:left="0"/>
        <w:rPr>
          <w:sz w:val="7"/>
        </w:rPr>
      </w:pPr>
    </w:p>
    <w:tbl>
      <w:tblPr>
        <w:tblStyle w:val="12"/>
        <w:tblpPr w:leftFromText="180" w:rightFromText="180" w:vertAnchor="text" w:horzAnchor="page" w:tblpX="1708" w:tblpY="206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3604"/>
        <w:gridCol w:w="1418"/>
        <w:gridCol w:w="1110"/>
        <w:gridCol w:w="898"/>
        <w:gridCol w:w="955"/>
      </w:tblGrid>
      <w:tr w14:paraId="358A4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23" w:type="dxa"/>
            <w:gridSpan w:val="6"/>
          </w:tcPr>
          <w:p w14:paraId="11060AB2">
            <w:pPr>
              <w:pStyle w:val="16"/>
              <w:spacing w:before="77" w:line="263" w:lineRule="exact"/>
              <w:ind w:left="1961" w:right="1955"/>
              <w:rPr>
                <w:rFonts w:hint="eastAsia" w:ascii="黑体" w:hAnsi="黑体" w:eastAsia="黑体"/>
                <w:b/>
                <w:sz w:val="21"/>
              </w:rPr>
            </w:pPr>
            <w:r>
              <w:rPr>
                <w:rFonts w:hint="eastAsia" w:ascii="黑体" w:hAnsi="黑体" w:eastAsia="黑体"/>
                <w:b/>
                <w:spacing w:val="-11"/>
                <w:sz w:val="21"/>
              </w:rPr>
              <w:t xml:space="preserve">专栏 </w:t>
            </w:r>
            <w:r>
              <w:rPr>
                <w:rFonts w:hint="eastAsia" w:ascii="黑体" w:hAnsi="黑体" w:eastAsia="黑体"/>
                <w:b/>
                <w:spacing w:val="-2"/>
                <w:sz w:val="21"/>
              </w:rPr>
              <w:t>2-3“十二五”时期经济社会发展的主要指</w:t>
            </w:r>
            <w:r>
              <w:rPr>
                <w:rFonts w:hint="eastAsia" w:ascii="黑体" w:hAnsi="黑体" w:eastAsia="黑体"/>
                <w:b/>
                <w:spacing w:val="-10"/>
                <w:sz w:val="21"/>
              </w:rPr>
              <w:t>标</w:t>
            </w:r>
          </w:p>
        </w:tc>
      </w:tr>
      <w:tr w14:paraId="7D62D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38" w:type="dxa"/>
          </w:tcPr>
          <w:p w14:paraId="7E0D434C">
            <w:pPr>
              <w:pStyle w:val="16"/>
              <w:spacing w:before="0"/>
              <w:jc w:val="left"/>
              <w:rPr>
                <w:rFonts w:ascii="Times New Roman"/>
                <w:sz w:val="20"/>
              </w:rPr>
            </w:pPr>
          </w:p>
        </w:tc>
        <w:tc>
          <w:tcPr>
            <w:tcW w:w="3604" w:type="dxa"/>
          </w:tcPr>
          <w:p w14:paraId="791E03DB">
            <w:pPr>
              <w:pStyle w:val="16"/>
              <w:spacing w:before="2"/>
              <w:jc w:val="left"/>
              <w:rPr>
                <w:sz w:val="20"/>
              </w:rPr>
            </w:pPr>
          </w:p>
          <w:p w14:paraId="7C2E3FA9">
            <w:pPr>
              <w:pStyle w:val="16"/>
              <w:spacing w:before="1"/>
              <w:ind w:left="1578" w:right="1572"/>
              <w:rPr>
                <w:rFonts w:ascii="宋体" w:eastAsia="宋体"/>
                <w:sz w:val="21"/>
              </w:rPr>
            </w:pPr>
            <w:r>
              <w:rPr>
                <w:rFonts w:ascii="宋体" w:eastAsia="宋体"/>
                <w:spacing w:val="-8"/>
                <w:sz w:val="21"/>
              </w:rPr>
              <w:t>指标</w:t>
            </w:r>
          </w:p>
        </w:tc>
        <w:tc>
          <w:tcPr>
            <w:tcW w:w="1418" w:type="dxa"/>
          </w:tcPr>
          <w:p w14:paraId="1B700CA1">
            <w:pPr>
              <w:pStyle w:val="16"/>
              <w:spacing w:before="2"/>
              <w:jc w:val="left"/>
              <w:rPr>
                <w:sz w:val="20"/>
              </w:rPr>
            </w:pPr>
          </w:p>
          <w:p w14:paraId="784BD457">
            <w:pPr>
              <w:pStyle w:val="16"/>
              <w:spacing w:before="1"/>
              <w:ind w:left="99" w:right="94"/>
              <w:rPr>
                <w:rFonts w:ascii="宋体" w:eastAsia="宋体"/>
                <w:sz w:val="21"/>
              </w:rPr>
            </w:pPr>
            <w:r>
              <w:rPr>
                <w:rFonts w:ascii="宋体" w:eastAsia="宋体"/>
                <w:spacing w:val="-2"/>
                <w:sz w:val="21"/>
              </w:rPr>
              <w:t>2010</w:t>
            </w:r>
            <w:r>
              <w:rPr>
                <w:rFonts w:ascii="宋体" w:eastAsia="宋体"/>
                <w:spacing w:val="-30"/>
                <w:sz w:val="21"/>
              </w:rPr>
              <w:t xml:space="preserve"> 年</w:t>
            </w:r>
          </w:p>
        </w:tc>
        <w:tc>
          <w:tcPr>
            <w:tcW w:w="1110" w:type="dxa"/>
          </w:tcPr>
          <w:p w14:paraId="23BD69AC">
            <w:pPr>
              <w:pStyle w:val="16"/>
              <w:spacing w:before="2"/>
              <w:jc w:val="left"/>
              <w:rPr>
                <w:sz w:val="20"/>
              </w:rPr>
            </w:pPr>
          </w:p>
          <w:p w14:paraId="611087D0">
            <w:pPr>
              <w:pStyle w:val="16"/>
              <w:spacing w:before="1"/>
              <w:ind w:right="203"/>
              <w:jc w:val="right"/>
              <w:rPr>
                <w:rFonts w:ascii="宋体" w:eastAsia="宋体"/>
                <w:sz w:val="21"/>
              </w:rPr>
            </w:pPr>
            <w:r>
              <w:rPr>
                <w:rFonts w:ascii="宋体" w:eastAsia="宋体"/>
                <w:spacing w:val="-2"/>
                <w:sz w:val="21"/>
              </w:rPr>
              <w:t>2015</w:t>
            </w:r>
            <w:r>
              <w:rPr>
                <w:rFonts w:ascii="宋体" w:eastAsia="宋体"/>
                <w:spacing w:val="-30"/>
                <w:sz w:val="21"/>
              </w:rPr>
              <w:t xml:space="preserve"> 年</w:t>
            </w:r>
          </w:p>
        </w:tc>
        <w:tc>
          <w:tcPr>
            <w:tcW w:w="898" w:type="dxa"/>
          </w:tcPr>
          <w:p w14:paraId="2C9C03F7">
            <w:pPr>
              <w:pStyle w:val="16"/>
              <w:spacing w:before="0" w:line="360" w:lineRule="exact"/>
              <w:ind w:left="290" w:right="19" w:hanging="262"/>
              <w:jc w:val="left"/>
              <w:rPr>
                <w:rFonts w:ascii="宋体" w:eastAsia="宋体"/>
                <w:sz w:val="21"/>
              </w:rPr>
            </w:pPr>
            <w:r>
              <w:rPr>
                <w:rFonts w:ascii="宋体" w:eastAsia="宋体"/>
                <w:spacing w:val="-4"/>
                <w:sz w:val="21"/>
              </w:rPr>
              <w:t>年均增长 (%)</w:t>
            </w:r>
          </w:p>
        </w:tc>
        <w:tc>
          <w:tcPr>
            <w:tcW w:w="955" w:type="dxa"/>
          </w:tcPr>
          <w:p w14:paraId="641304FF">
            <w:pPr>
              <w:pStyle w:val="16"/>
              <w:spacing w:before="2"/>
              <w:jc w:val="left"/>
              <w:rPr>
                <w:sz w:val="20"/>
              </w:rPr>
            </w:pPr>
          </w:p>
          <w:p w14:paraId="56EEB7C9">
            <w:pPr>
              <w:pStyle w:val="16"/>
              <w:spacing w:before="1"/>
              <w:ind w:left="147" w:right="139"/>
              <w:rPr>
                <w:rFonts w:ascii="宋体" w:eastAsia="宋体"/>
                <w:sz w:val="21"/>
              </w:rPr>
            </w:pPr>
            <w:r>
              <w:rPr>
                <w:rFonts w:ascii="宋体" w:eastAsia="宋体"/>
                <w:spacing w:val="-4"/>
                <w:sz w:val="21"/>
              </w:rPr>
              <w:t>属 性</w:t>
            </w:r>
          </w:p>
        </w:tc>
      </w:tr>
      <w:tr w14:paraId="48D21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538" w:type="dxa"/>
            <w:vMerge w:val="restart"/>
            <w:textDirection w:val="tbRlV"/>
            <w:vAlign w:val="center"/>
          </w:tcPr>
          <w:p w14:paraId="6B6DE698">
            <w:pPr>
              <w:pStyle w:val="16"/>
              <w:spacing w:before="0" w:line="204" w:lineRule="auto"/>
              <w:ind w:left="300" w:leftChars="0" w:right="113"/>
              <w:jc w:val="center"/>
              <w:rPr>
                <w:rFonts w:hint="eastAsia" w:ascii="黑体" w:hAnsi="黑体" w:eastAsia="黑体" w:cs="黑体"/>
                <w:sz w:val="21"/>
              </w:rPr>
            </w:pPr>
            <w:r>
              <w:rPr>
                <w:rFonts w:hint="eastAsia" w:ascii="黑体" w:hAnsi="黑体" w:eastAsia="黑体" w:cs="黑体"/>
                <w:spacing w:val="-7"/>
                <w:sz w:val="21"/>
              </w:rPr>
              <w:t>经济总量</w:t>
            </w:r>
          </w:p>
        </w:tc>
        <w:tc>
          <w:tcPr>
            <w:tcW w:w="3604" w:type="dxa"/>
            <w:tcBorders>
              <w:bottom w:val="nil"/>
            </w:tcBorders>
          </w:tcPr>
          <w:p w14:paraId="7210F0A1">
            <w:pPr>
              <w:pStyle w:val="16"/>
              <w:spacing w:before="79"/>
              <w:ind w:left="5"/>
              <w:jc w:val="left"/>
              <w:rPr>
                <w:rFonts w:ascii="宋体" w:eastAsia="宋体"/>
                <w:sz w:val="21"/>
              </w:rPr>
            </w:pPr>
            <w:r>
              <w:rPr>
                <w:rFonts w:ascii="宋体" w:eastAsia="宋体"/>
                <w:spacing w:val="-2"/>
                <w:sz w:val="21"/>
              </w:rPr>
              <w:t>地区生产总值（亿元</w:t>
            </w:r>
            <w:r>
              <w:rPr>
                <w:rFonts w:ascii="宋体" w:eastAsia="宋体"/>
                <w:spacing w:val="-10"/>
                <w:sz w:val="21"/>
              </w:rPr>
              <w:t>）</w:t>
            </w:r>
          </w:p>
        </w:tc>
        <w:tc>
          <w:tcPr>
            <w:tcW w:w="1418" w:type="dxa"/>
            <w:tcBorders>
              <w:bottom w:val="nil"/>
            </w:tcBorders>
          </w:tcPr>
          <w:p w14:paraId="7EECC058">
            <w:pPr>
              <w:pStyle w:val="16"/>
              <w:spacing w:before="79"/>
              <w:ind w:left="102" w:right="91"/>
              <w:rPr>
                <w:rFonts w:ascii="宋体"/>
                <w:sz w:val="21"/>
              </w:rPr>
            </w:pPr>
            <w:r>
              <w:rPr>
                <w:rFonts w:ascii="宋体"/>
                <w:spacing w:val="-2"/>
                <w:sz w:val="21"/>
              </w:rPr>
              <w:t>167.38</w:t>
            </w:r>
          </w:p>
        </w:tc>
        <w:tc>
          <w:tcPr>
            <w:tcW w:w="1110" w:type="dxa"/>
            <w:tcBorders>
              <w:bottom w:val="nil"/>
            </w:tcBorders>
          </w:tcPr>
          <w:p w14:paraId="6EF0E8AD">
            <w:pPr>
              <w:pStyle w:val="16"/>
              <w:spacing w:before="79"/>
              <w:ind w:right="153"/>
              <w:jc w:val="right"/>
              <w:rPr>
                <w:rFonts w:ascii="宋体" w:eastAsia="宋体"/>
                <w:sz w:val="21"/>
              </w:rPr>
            </w:pPr>
            <w:r>
              <w:rPr>
                <w:rFonts w:ascii="宋体" w:eastAsia="宋体"/>
                <w:spacing w:val="-2"/>
                <w:sz w:val="21"/>
              </w:rPr>
              <w:t>600</w:t>
            </w:r>
            <w:r>
              <w:rPr>
                <w:rFonts w:ascii="宋体" w:eastAsia="宋体"/>
                <w:spacing w:val="-22"/>
                <w:sz w:val="21"/>
              </w:rPr>
              <w:t xml:space="preserve"> 以上</w:t>
            </w:r>
          </w:p>
        </w:tc>
        <w:tc>
          <w:tcPr>
            <w:tcW w:w="898" w:type="dxa"/>
            <w:tcBorders>
              <w:bottom w:val="nil"/>
            </w:tcBorders>
          </w:tcPr>
          <w:p w14:paraId="2C3C6CCA">
            <w:pPr>
              <w:pStyle w:val="16"/>
              <w:spacing w:before="79"/>
              <w:ind w:left="93" w:right="90"/>
              <w:rPr>
                <w:rFonts w:ascii="宋体" w:eastAsia="宋体"/>
                <w:sz w:val="21"/>
              </w:rPr>
            </w:pPr>
            <w:r>
              <w:rPr>
                <w:rFonts w:ascii="宋体" w:eastAsia="宋体"/>
                <w:spacing w:val="-2"/>
                <w:sz w:val="21"/>
              </w:rPr>
              <w:t>25</w:t>
            </w:r>
            <w:r>
              <w:rPr>
                <w:rFonts w:ascii="宋体" w:eastAsia="宋体"/>
                <w:spacing w:val="-22"/>
                <w:sz w:val="21"/>
              </w:rPr>
              <w:t xml:space="preserve"> 以上</w:t>
            </w:r>
          </w:p>
        </w:tc>
        <w:tc>
          <w:tcPr>
            <w:tcW w:w="955" w:type="dxa"/>
            <w:tcBorders>
              <w:bottom w:val="nil"/>
            </w:tcBorders>
          </w:tcPr>
          <w:p w14:paraId="3EB14A48">
            <w:pPr>
              <w:pStyle w:val="16"/>
              <w:spacing w:before="79"/>
              <w:ind w:left="147" w:right="142"/>
              <w:rPr>
                <w:rFonts w:ascii="宋体" w:eastAsia="宋体"/>
                <w:sz w:val="21"/>
              </w:rPr>
            </w:pPr>
            <w:r>
              <w:rPr>
                <w:rFonts w:ascii="宋体" w:eastAsia="宋体"/>
                <w:spacing w:val="-5"/>
                <w:sz w:val="21"/>
              </w:rPr>
              <w:t>预期性</w:t>
            </w:r>
          </w:p>
        </w:tc>
      </w:tr>
      <w:tr w14:paraId="5ECE5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8" w:type="dxa"/>
            <w:vMerge w:val="continue"/>
            <w:tcBorders>
              <w:top w:val="nil"/>
            </w:tcBorders>
            <w:textDirection w:val="tbRl"/>
            <w:vAlign w:val="center"/>
          </w:tcPr>
          <w:p w14:paraId="2521CE17">
            <w:pPr>
              <w:jc w:val="center"/>
              <w:rPr>
                <w:rFonts w:hint="eastAsia" w:ascii="黑体" w:hAnsi="黑体" w:eastAsia="黑体" w:cs="黑体"/>
                <w:sz w:val="2"/>
                <w:szCs w:val="2"/>
              </w:rPr>
            </w:pPr>
          </w:p>
        </w:tc>
        <w:tc>
          <w:tcPr>
            <w:tcW w:w="3604" w:type="dxa"/>
            <w:tcBorders>
              <w:top w:val="nil"/>
              <w:bottom w:val="nil"/>
            </w:tcBorders>
          </w:tcPr>
          <w:p w14:paraId="32130442">
            <w:pPr>
              <w:pStyle w:val="16"/>
              <w:spacing w:before="40"/>
              <w:ind w:left="5"/>
              <w:jc w:val="left"/>
              <w:rPr>
                <w:rFonts w:ascii="宋体" w:eastAsia="宋体"/>
                <w:sz w:val="21"/>
              </w:rPr>
            </w:pPr>
            <w:r>
              <w:rPr>
                <w:rFonts w:ascii="宋体" w:eastAsia="宋体"/>
                <w:spacing w:val="-2"/>
                <w:sz w:val="21"/>
              </w:rPr>
              <w:t>人均地区生产总值（万元</w:t>
            </w:r>
            <w:r>
              <w:rPr>
                <w:rFonts w:ascii="宋体" w:eastAsia="宋体"/>
                <w:spacing w:val="-10"/>
                <w:sz w:val="21"/>
              </w:rPr>
              <w:t>）</w:t>
            </w:r>
          </w:p>
        </w:tc>
        <w:tc>
          <w:tcPr>
            <w:tcW w:w="1418" w:type="dxa"/>
            <w:tcBorders>
              <w:top w:val="nil"/>
              <w:bottom w:val="nil"/>
            </w:tcBorders>
          </w:tcPr>
          <w:p w14:paraId="36AA6E70">
            <w:pPr>
              <w:pStyle w:val="16"/>
              <w:spacing w:before="40"/>
              <w:ind w:left="102" w:right="93"/>
              <w:rPr>
                <w:rFonts w:ascii="宋体"/>
                <w:sz w:val="21"/>
              </w:rPr>
            </w:pPr>
            <w:r>
              <w:rPr>
                <w:rFonts w:ascii="宋体"/>
                <w:spacing w:val="-4"/>
                <w:sz w:val="21"/>
              </w:rPr>
              <w:t>2.94</w:t>
            </w:r>
          </w:p>
        </w:tc>
        <w:tc>
          <w:tcPr>
            <w:tcW w:w="1110" w:type="dxa"/>
            <w:tcBorders>
              <w:top w:val="nil"/>
              <w:bottom w:val="nil"/>
            </w:tcBorders>
          </w:tcPr>
          <w:p w14:paraId="5EB11CA9">
            <w:pPr>
              <w:pStyle w:val="16"/>
              <w:spacing w:before="40"/>
              <w:ind w:left="344"/>
              <w:jc w:val="left"/>
              <w:rPr>
                <w:rFonts w:ascii="宋体"/>
                <w:sz w:val="21"/>
              </w:rPr>
            </w:pPr>
            <w:r>
              <w:rPr>
                <w:rFonts w:ascii="宋体"/>
                <w:spacing w:val="-4"/>
                <w:sz w:val="21"/>
              </w:rPr>
              <w:t>9.61</w:t>
            </w:r>
          </w:p>
        </w:tc>
        <w:tc>
          <w:tcPr>
            <w:tcW w:w="898" w:type="dxa"/>
            <w:tcBorders>
              <w:top w:val="nil"/>
              <w:bottom w:val="nil"/>
            </w:tcBorders>
          </w:tcPr>
          <w:p w14:paraId="5025147D">
            <w:pPr>
              <w:pStyle w:val="16"/>
              <w:spacing w:before="40"/>
              <w:ind w:left="93" w:right="84"/>
              <w:rPr>
                <w:rFonts w:ascii="宋体"/>
                <w:sz w:val="21"/>
              </w:rPr>
            </w:pPr>
            <w:r>
              <w:rPr>
                <w:rFonts w:ascii="宋体"/>
                <w:spacing w:val="-5"/>
                <w:sz w:val="21"/>
              </w:rPr>
              <w:t>27</w:t>
            </w:r>
          </w:p>
        </w:tc>
        <w:tc>
          <w:tcPr>
            <w:tcW w:w="955" w:type="dxa"/>
            <w:tcBorders>
              <w:top w:val="nil"/>
              <w:bottom w:val="nil"/>
            </w:tcBorders>
          </w:tcPr>
          <w:p w14:paraId="6F75972F">
            <w:pPr>
              <w:pStyle w:val="16"/>
              <w:spacing w:before="40"/>
              <w:ind w:left="147" w:right="142"/>
              <w:rPr>
                <w:rFonts w:ascii="宋体" w:eastAsia="宋体"/>
                <w:sz w:val="21"/>
              </w:rPr>
            </w:pPr>
            <w:r>
              <w:rPr>
                <w:rFonts w:ascii="宋体" w:eastAsia="宋体"/>
                <w:spacing w:val="-5"/>
                <w:sz w:val="21"/>
              </w:rPr>
              <w:t>预期性</w:t>
            </w:r>
          </w:p>
        </w:tc>
      </w:tr>
      <w:tr w14:paraId="3D28A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8" w:type="dxa"/>
            <w:vMerge w:val="continue"/>
            <w:tcBorders>
              <w:top w:val="nil"/>
            </w:tcBorders>
            <w:textDirection w:val="tbRl"/>
            <w:vAlign w:val="center"/>
          </w:tcPr>
          <w:p w14:paraId="6E3BCE19">
            <w:pPr>
              <w:jc w:val="center"/>
              <w:rPr>
                <w:rFonts w:hint="eastAsia" w:ascii="黑体" w:hAnsi="黑体" w:eastAsia="黑体" w:cs="黑体"/>
                <w:sz w:val="2"/>
                <w:szCs w:val="2"/>
              </w:rPr>
            </w:pPr>
          </w:p>
        </w:tc>
        <w:tc>
          <w:tcPr>
            <w:tcW w:w="3604" w:type="dxa"/>
            <w:tcBorders>
              <w:top w:val="nil"/>
              <w:bottom w:val="nil"/>
            </w:tcBorders>
          </w:tcPr>
          <w:p w14:paraId="1BA229A8">
            <w:pPr>
              <w:pStyle w:val="16"/>
              <w:spacing w:before="40"/>
              <w:ind w:left="5"/>
              <w:jc w:val="left"/>
              <w:rPr>
                <w:rFonts w:ascii="宋体" w:eastAsia="宋体"/>
                <w:sz w:val="21"/>
              </w:rPr>
            </w:pPr>
            <w:r>
              <w:rPr>
                <w:rFonts w:ascii="宋体" w:eastAsia="宋体"/>
                <w:spacing w:val="-2"/>
                <w:sz w:val="21"/>
              </w:rPr>
              <w:t>地方财政一般预算收入（亿元</w:t>
            </w:r>
            <w:r>
              <w:rPr>
                <w:rFonts w:ascii="宋体" w:eastAsia="宋体"/>
                <w:spacing w:val="-10"/>
                <w:sz w:val="21"/>
              </w:rPr>
              <w:t>）</w:t>
            </w:r>
          </w:p>
        </w:tc>
        <w:tc>
          <w:tcPr>
            <w:tcW w:w="1418" w:type="dxa"/>
            <w:tcBorders>
              <w:top w:val="nil"/>
              <w:bottom w:val="nil"/>
            </w:tcBorders>
          </w:tcPr>
          <w:p w14:paraId="74958EE4">
            <w:pPr>
              <w:pStyle w:val="16"/>
              <w:spacing w:before="40"/>
              <w:ind w:left="102" w:right="93"/>
              <w:rPr>
                <w:rFonts w:ascii="宋体"/>
                <w:sz w:val="21"/>
              </w:rPr>
            </w:pPr>
            <w:r>
              <w:rPr>
                <w:rFonts w:ascii="宋体"/>
                <w:spacing w:val="-2"/>
                <w:sz w:val="21"/>
              </w:rPr>
              <w:t>15.04</w:t>
            </w:r>
          </w:p>
        </w:tc>
        <w:tc>
          <w:tcPr>
            <w:tcW w:w="1110" w:type="dxa"/>
            <w:tcBorders>
              <w:top w:val="nil"/>
              <w:bottom w:val="nil"/>
            </w:tcBorders>
          </w:tcPr>
          <w:p w14:paraId="4F6EAF54">
            <w:pPr>
              <w:pStyle w:val="16"/>
              <w:spacing w:before="40"/>
              <w:ind w:left="291"/>
              <w:jc w:val="left"/>
              <w:rPr>
                <w:rFonts w:ascii="宋体"/>
                <w:sz w:val="21"/>
              </w:rPr>
            </w:pPr>
            <w:r>
              <w:rPr>
                <w:rFonts w:ascii="宋体"/>
                <w:spacing w:val="-2"/>
                <w:sz w:val="21"/>
              </w:rPr>
              <w:t>55.84</w:t>
            </w:r>
          </w:p>
        </w:tc>
        <w:tc>
          <w:tcPr>
            <w:tcW w:w="898" w:type="dxa"/>
            <w:tcBorders>
              <w:top w:val="nil"/>
              <w:bottom w:val="nil"/>
            </w:tcBorders>
          </w:tcPr>
          <w:p w14:paraId="5E121C11">
            <w:pPr>
              <w:pStyle w:val="16"/>
              <w:spacing w:before="40"/>
              <w:ind w:left="93" w:right="84"/>
              <w:rPr>
                <w:rFonts w:ascii="宋体"/>
                <w:sz w:val="21"/>
              </w:rPr>
            </w:pPr>
            <w:r>
              <w:rPr>
                <w:rFonts w:ascii="宋体"/>
                <w:spacing w:val="-5"/>
                <w:sz w:val="21"/>
              </w:rPr>
              <w:t>30</w:t>
            </w:r>
          </w:p>
        </w:tc>
        <w:tc>
          <w:tcPr>
            <w:tcW w:w="955" w:type="dxa"/>
            <w:tcBorders>
              <w:top w:val="nil"/>
              <w:bottom w:val="nil"/>
            </w:tcBorders>
          </w:tcPr>
          <w:p w14:paraId="7D8D51DC">
            <w:pPr>
              <w:pStyle w:val="16"/>
              <w:spacing w:before="40"/>
              <w:ind w:left="147" w:right="142"/>
              <w:rPr>
                <w:rFonts w:ascii="宋体" w:eastAsia="宋体"/>
                <w:sz w:val="21"/>
              </w:rPr>
            </w:pPr>
            <w:r>
              <w:rPr>
                <w:rFonts w:ascii="宋体" w:eastAsia="宋体"/>
                <w:spacing w:val="-5"/>
                <w:sz w:val="21"/>
              </w:rPr>
              <w:t>预期性</w:t>
            </w:r>
          </w:p>
        </w:tc>
      </w:tr>
      <w:tr w14:paraId="76449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38" w:type="dxa"/>
            <w:vMerge w:val="continue"/>
            <w:tcBorders>
              <w:top w:val="nil"/>
            </w:tcBorders>
            <w:textDirection w:val="tbRl"/>
            <w:vAlign w:val="center"/>
          </w:tcPr>
          <w:p w14:paraId="7F8D0D15">
            <w:pPr>
              <w:jc w:val="center"/>
              <w:rPr>
                <w:rFonts w:hint="eastAsia" w:ascii="黑体" w:hAnsi="黑体" w:eastAsia="黑体" w:cs="黑体"/>
                <w:sz w:val="2"/>
                <w:szCs w:val="2"/>
              </w:rPr>
            </w:pPr>
          </w:p>
        </w:tc>
        <w:tc>
          <w:tcPr>
            <w:tcW w:w="3604" w:type="dxa"/>
            <w:tcBorders>
              <w:top w:val="nil"/>
            </w:tcBorders>
          </w:tcPr>
          <w:p w14:paraId="6C06B174">
            <w:pPr>
              <w:pStyle w:val="16"/>
              <w:spacing w:before="40" w:line="261" w:lineRule="exact"/>
              <w:ind w:left="5"/>
              <w:jc w:val="left"/>
              <w:rPr>
                <w:rFonts w:ascii="宋体" w:eastAsia="宋体"/>
                <w:sz w:val="21"/>
              </w:rPr>
            </w:pPr>
            <w:r>
              <w:rPr>
                <w:rFonts w:ascii="宋体" w:eastAsia="宋体"/>
                <w:spacing w:val="-2"/>
                <w:sz w:val="21"/>
              </w:rPr>
              <w:t>社会消费品零售总额（亿元</w:t>
            </w:r>
            <w:r>
              <w:rPr>
                <w:rFonts w:ascii="宋体" w:eastAsia="宋体"/>
                <w:spacing w:val="-10"/>
                <w:sz w:val="21"/>
              </w:rPr>
              <w:t>）</w:t>
            </w:r>
          </w:p>
        </w:tc>
        <w:tc>
          <w:tcPr>
            <w:tcW w:w="1418" w:type="dxa"/>
            <w:tcBorders>
              <w:top w:val="nil"/>
            </w:tcBorders>
          </w:tcPr>
          <w:p w14:paraId="3038A647">
            <w:pPr>
              <w:pStyle w:val="16"/>
              <w:spacing w:before="40" w:line="261" w:lineRule="exact"/>
              <w:ind w:left="100" w:right="94"/>
              <w:rPr>
                <w:rFonts w:ascii="宋体"/>
                <w:sz w:val="21"/>
              </w:rPr>
            </w:pPr>
            <w:r>
              <w:rPr>
                <w:rFonts w:ascii="宋体"/>
                <w:spacing w:val="-2"/>
                <w:sz w:val="21"/>
              </w:rPr>
              <w:t>38.67</w:t>
            </w:r>
          </w:p>
        </w:tc>
        <w:tc>
          <w:tcPr>
            <w:tcW w:w="1110" w:type="dxa"/>
            <w:tcBorders>
              <w:top w:val="nil"/>
            </w:tcBorders>
          </w:tcPr>
          <w:p w14:paraId="03A928EE">
            <w:pPr>
              <w:pStyle w:val="16"/>
              <w:spacing w:before="40" w:line="261" w:lineRule="exact"/>
              <w:ind w:left="291"/>
              <w:jc w:val="left"/>
              <w:rPr>
                <w:rFonts w:ascii="宋体"/>
                <w:sz w:val="21"/>
              </w:rPr>
            </w:pPr>
            <w:r>
              <w:rPr>
                <w:rFonts w:ascii="宋体"/>
                <w:spacing w:val="-2"/>
                <w:sz w:val="21"/>
              </w:rPr>
              <w:t>88.47</w:t>
            </w:r>
          </w:p>
        </w:tc>
        <w:tc>
          <w:tcPr>
            <w:tcW w:w="898" w:type="dxa"/>
            <w:tcBorders>
              <w:top w:val="nil"/>
            </w:tcBorders>
          </w:tcPr>
          <w:p w14:paraId="4D5585FC">
            <w:pPr>
              <w:pStyle w:val="16"/>
              <w:spacing w:before="40" w:line="261" w:lineRule="exact"/>
              <w:ind w:left="93" w:right="84"/>
              <w:rPr>
                <w:rFonts w:ascii="宋体"/>
                <w:sz w:val="21"/>
              </w:rPr>
            </w:pPr>
            <w:r>
              <w:rPr>
                <w:rFonts w:ascii="宋体"/>
                <w:spacing w:val="-5"/>
                <w:sz w:val="21"/>
              </w:rPr>
              <w:t>18</w:t>
            </w:r>
          </w:p>
        </w:tc>
        <w:tc>
          <w:tcPr>
            <w:tcW w:w="955" w:type="dxa"/>
            <w:tcBorders>
              <w:top w:val="nil"/>
            </w:tcBorders>
          </w:tcPr>
          <w:p w14:paraId="6FE27102">
            <w:pPr>
              <w:pStyle w:val="16"/>
              <w:spacing w:before="40" w:line="261" w:lineRule="exact"/>
              <w:ind w:left="147" w:right="142"/>
              <w:rPr>
                <w:rFonts w:ascii="宋体" w:eastAsia="宋体"/>
                <w:sz w:val="21"/>
              </w:rPr>
            </w:pPr>
            <w:r>
              <w:rPr>
                <w:rFonts w:ascii="宋体" w:eastAsia="宋体"/>
                <w:spacing w:val="-5"/>
                <w:sz w:val="21"/>
              </w:rPr>
              <w:t>预期性</w:t>
            </w:r>
          </w:p>
        </w:tc>
      </w:tr>
      <w:tr w14:paraId="4DAC7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38" w:type="dxa"/>
            <w:vMerge w:val="restart"/>
            <w:textDirection w:val="tbRlV"/>
            <w:vAlign w:val="center"/>
          </w:tcPr>
          <w:p w14:paraId="4BAFB6DD">
            <w:pPr>
              <w:pStyle w:val="16"/>
              <w:spacing w:before="0" w:line="204" w:lineRule="auto"/>
              <w:ind w:left="211" w:leftChars="0" w:right="113"/>
              <w:jc w:val="center"/>
              <w:rPr>
                <w:rFonts w:hint="eastAsia" w:ascii="黑体" w:hAnsi="黑体" w:eastAsia="黑体" w:cs="黑体"/>
                <w:sz w:val="21"/>
              </w:rPr>
            </w:pPr>
            <w:r>
              <w:rPr>
                <w:rFonts w:hint="eastAsia" w:ascii="黑体" w:hAnsi="黑体" w:eastAsia="黑体" w:cs="黑体"/>
                <w:spacing w:val="-7"/>
                <w:sz w:val="21"/>
              </w:rPr>
              <w:t>经济结构</w:t>
            </w:r>
          </w:p>
        </w:tc>
        <w:tc>
          <w:tcPr>
            <w:tcW w:w="3604" w:type="dxa"/>
            <w:tcBorders>
              <w:bottom w:val="nil"/>
            </w:tcBorders>
          </w:tcPr>
          <w:p w14:paraId="2B9357A7">
            <w:pPr>
              <w:pStyle w:val="16"/>
              <w:spacing w:before="6"/>
              <w:jc w:val="left"/>
              <w:rPr>
                <w:sz w:val="24"/>
              </w:rPr>
            </w:pPr>
          </w:p>
          <w:p w14:paraId="53AB5A28">
            <w:pPr>
              <w:pStyle w:val="16"/>
              <w:spacing w:before="0"/>
              <w:ind w:left="5"/>
              <w:jc w:val="left"/>
              <w:rPr>
                <w:rFonts w:ascii="宋体" w:eastAsia="宋体"/>
                <w:sz w:val="21"/>
              </w:rPr>
            </w:pPr>
            <w:r>
              <w:rPr>
                <w:rFonts w:ascii="宋体" w:eastAsia="宋体"/>
                <w:spacing w:val="-2"/>
                <w:sz w:val="21"/>
              </w:rPr>
              <w:t>工业增加值（亿元</w:t>
            </w:r>
            <w:r>
              <w:rPr>
                <w:rFonts w:ascii="宋体" w:eastAsia="宋体"/>
                <w:spacing w:val="-10"/>
                <w:sz w:val="21"/>
              </w:rPr>
              <w:t>）</w:t>
            </w:r>
          </w:p>
        </w:tc>
        <w:tc>
          <w:tcPr>
            <w:tcW w:w="1418" w:type="dxa"/>
            <w:tcBorders>
              <w:bottom w:val="nil"/>
            </w:tcBorders>
          </w:tcPr>
          <w:p w14:paraId="42BE4309">
            <w:pPr>
              <w:pStyle w:val="16"/>
              <w:spacing w:before="6"/>
              <w:jc w:val="left"/>
              <w:rPr>
                <w:sz w:val="24"/>
              </w:rPr>
            </w:pPr>
          </w:p>
          <w:p w14:paraId="2B8B65B4">
            <w:pPr>
              <w:pStyle w:val="16"/>
              <w:spacing w:before="0"/>
              <w:ind w:left="100" w:right="94"/>
              <w:rPr>
                <w:rFonts w:ascii="宋体"/>
                <w:sz w:val="21"/>
              </w:rPr>
            </w:pPr>
            <w:r>
              <w:rPr>
                <w:rFonts w:ascii="宋体"/>
                <w:spacing w:val="-2"/>
                <w:sz w:val="21"/>
              </w:rPr>
              <w:t>52.29</w:t>
            </w:r>
          </w:p>
        </w:tc>
        <w:tc>
          <w:tcPr>
            <w:tcW w:w="1110" w:type="dxa"/>
            <w:tcBorders>
              <w:bottom w:val="nil"/>
            </w:tcBorders>
          </w:tcPr>
          <w:p w14:paraId="68EB4E43">
            <w:pPr>
              <w:pStyle w:val="16"/>
              <w:spacing w:before="6"/>
              <w:jc w:val="left"/>
              <w:rPr>
                <w:sz w:val="24"/>
              </w:rPr>
            </w:pPr>
          </w:p>
          <w:p w14:paraId="0AA0F8AC">
            <w:pPr>
              <w:pStyle w:val="16"/>
              <w:spacing w:before="0"/>
              <w:ind w:right="228"/>
              <w:jc w:val="right"/>
              <w:rPr>
                <w:rFonts w:ascii="宋体"/>
                <w:sz w:val="21"/>
              </w:rPr>
            </w:pPr>
            <w:r>
              <w:rPr>
                <w:rFonts w:ascii="宋体"/>
                <w:spacing w:val="-2"/>
                <w:sz w:val="21"/>
              </w:rPr>
              <w:t>280.21</w:t>
            </w:r>
          </w:p>
        </w:tc>
        <w:tc>
          <w:tcPr>
            <w:tcW w:w="898" w:type="dxa"/>
            <w:tcBorders>
              <w:bottom w:val="nil"/>
            </w:tcBorders>
          </w:tcPr>
          <w:p w14:paraId="3773C4A6">
            <w:pPr>
              <w:pStyle w:val="16"/>
              <w:spacing w:before="6"/>
              <w:jc w:val="left"/>
              <w:rPr>
                <w:sz w:val="24"/>
              </w:rPr>
            </w:pPr>
          </w:p>
          <w:p w14:paraId="26FEB699">
            <w:pPr>
              <w:pStyle w:val="16"/>
              <w:spacing w:before="0"/>
              <w:ind w:left="93" w:right="84"/>
              <w:rPr>
                <w:rFonts w:ascii="宋体"/>
                <w:sz w:val="21"/>
              </w:rPr>
            </w:pPr>
            <w:r>
              <w:rPr>
                <w:rFonts w:ascii="宋体"/>
                <w:spacing w:val="-5"/>
                <w:sz w:val="21"/>
              </w:rPr>
              <w:t>40</w:t>
            </w:r>
          </w:p>
        </w:tc>
        <w:tc>
          <w:tcPr>
            <w:tcW w:w="955" w:type="dxa"/>
            <w:tcBorders>
              <w:bottom w:val="nil"/>
            </w:tcBorders>
          </w:tcPr>
          <w:p w14:paraId="7C31CB8B">
            <w:pPr>
              <w:pStyle w:val="16"/>
              <w:spacing w:before="6"/>
              <w:jc w:val="left"/>
              <w:rPr>
                <w:sz w:val="24"/>
              </w:rPr>
            </w:pPr>
          </w:p>
          <w:p w14:paraId="70B210FF">
            <w:pPr>
              <w:pStyle w:val="16"/>
              <w:spacing w:before="0"/>
              <w:ind w:left="147" w:right="142"/>
              <w:rPr>
                <w:rFonts w:ascii="宋体" w:eastAsia="宋体"/>
                <w:sz w:val="21"/>
              </w:rPr>
            </w:pPr>
            <w:r>
              <w:rPr>
                <w:rFonts w:ascii="宋体" w:eastAsia="宋体"/>
                <w:spacing w:val="-5"/>
                <w:sz w:val="21"/>
              </w:rPr>
              <w:t>预期性</w:t>
            </w:r>
          </w:p>
        </w:tc>
      </w:tr>
      <w:tr w14:paraId="28D48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38" w:type="dxa"/>
            <w:vMerge w:val="continue"/>
            <w:tcBorders>
              <w:top w:val="nil"/>
            </w:tcBorders>
            <w:textDirection w:val="tbRl"/>
            <w:vAlign w:val="center"/>
          </w:tcPr>
          <w:p w14:paraId="77C95F3C">
            <w:pPr>
              <w:jc w:val="center"/>
              <w:rPr>
                <w:rFonts w:hint="eastAsia" w:ascii="黑体" w:hAnsi="黑体" w:eastAsia="黑体" w:cs="黑体"/>
                <w:sz w:val="2"/>
                <w:szCs w:val="2"/>
              </w:rPr>
            </w:pPr>
          </w:p>
        </w:tc>
        <w:tc>
          <w:tcPr>
            <w:tcW w:w="3604" w:type="dxa"/>
            <w:tcBorders>
              <w:top w:val="nil"/>
            </w:tcBorders>
          </w:tcPr>
          <w:p w14:paraId="458D48F0">
            <w:pPr>
              <w:pStyle w:val="16"/>
              <w:spacing w:before="40"/>
              <w:ind w:left="5"/>
              <w:jc w:val="left"/>
              <w:rPr>
                <w:rFonts w:ascii="宋体" w:eastAsia="宋体"/>
                <w:sz w:val="21"/>
              </w:rPr>
            </w:pPr>
            <w:r>
              <w:rPr>
                <w:rFonts w:ascii="宋体" w:eastAsia="宋体"/>
                <w:spacing w:val="-4"/>
                <w:sz w:val="21"/>
              </w:rPr>
              <w:t>三次产业结构</w:t>
            </w:r>
          </w:p>
        </w:tc>
        <w:tc>
          <w:tcPr>
            <w:tcW w:w="1418" w:type="dxa"/>
            <w:tcBorders>
              <w:top w:val="nil"/>
            </w:tcBorders>
          </w:tcPr>
          <w:p w14:paraId="3BB31A04">
            <w:pPr>
              <w:pStyle w:val="16"/>
              <w:spacing w:before="100"/>
              <w:ind w:left="102" w:right="94"/>
              <w:rPr>
                <w:rFonts w:ascii="宋体" w:eastAsia="宋体"/>
                <w:sz w:val="15"/>
              </w:rPr>
            </w:pPr>
            <w:r>
              <w:rPr>
                <w:rFonts w:ascii="宋体" w:eastAsia="宋体"/>
                <w:spacing w:val="-2"/>
                <w:sz w:val="15"/>
              </w:rPr>
              <w:t>14.4：44.8：40.8</w:t>
            </w:r>
          </w:p>
        </w:tc>
        <w:tc>
          <w:tcPr>
            <w:tcW w:w="1110" w:type="dxa"/>
            <w:tcBorders>
              <w:top w:val="nil"/>
            </w:tcBorders>
          </w:tcPr>
          <w:p w14:paraId="602CBB4D">
            <w:pPr>
              <w:pStyle w:val="16"/>
              <w:spacing w:before="72"/>
              <w:ind w:right="183"/>
              <w:jc w:val="right"/>
              <w:rPr>
                <w:rFonts w:ascii="宋体" w:eastAsia="宋体"/>
                <w:sz w:val="18"/>
              </w:rPr>
            </w:pPr>
            <w:r>
              <w:rPr>
                <w:rFonts w:ascii="宋体" w:eastAsia="宋体"/>
                <w:spacing w:val="-2"/>
                <w:sz w:val="18"/>
              </w:rPr>
              <w:t>6：69:25</w:t>
            </w:r>
          </w:p>
        </w:tc>
        <w:tc>
          <w:tcPr>
            <w:tcW w:w="898" w:type="dxa"/>
            <w:tcBorders>
              <w:top w:val="nil"/>
            </w:tcBorders>
          </w:tcPr>
          <w:p w14:paraId="7E4632C4">
            <w:pPr>
              <w:pStyle w:val="16"/>
              <w:spacing w:before="40"/>
              <w:ind w:left="9"/>
              <w:rPr>
                <w:rFonts w:ascii="宋体"/>
                <w:sz w:val="21"/>
              </w:rPr>
            </w:pPr>
            <w:r>
              <w:rPr>
                <w:rFonts w:ascii="宋体"/>
                <w:w w:val="99"/>
                <w:sz w:val="21"/>
              </w:rPr>
              <w:t>-</w:t>
            </w:r>
          </w:p>
        </w:tc>
        <w:tc>
          <w:tcPr>
            <w:tcW w:w="955" w:type="dxa"/>
            <w:tcBorders>
              <w:top w:val="nil"/>
            </w:tcBorders>
          </w:tcPr>
          <w:p w14:paraId="111FEE5D">
            <w:pPr>
              <w:pStyle w:val="16"/>
              <w:spacing w:before="40"/>
              <w:ind w:left="147" w:right="142"/>
              <w:rPr>
                <w:rFonts w:ascii="宋体" w:eastAsia="宋体"/>
                <w:sz w:val="21"/>
              </w:rPr>
            </w:pPr>
            <w:r>
              <w:rPr>
                <w:rFonts w:ascii="宋体" w:eastAsia="宋体"/>
                <w:spacing w:val="-5"/>
                <w:sz w:val="21"/>
              </w:rPr>
              <w:t>预期性</w:t>
            </w:r>
          </w:p>
        </w:tc>
      </w:tr>
      <w:tr w14:paraId="5CB61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38" w:type="dxa"/>
            <w:vMerge w:val="restart"/>
            <w:textDirection w:val="tbRlV"/>
            <w:vAlign w:val="center"/>
          </w:tcPr>
          <w:p w14:paraId="2A2FBBD2">
            <w:pPr>
              <w:pStyle w:val="16"/>
              <w:spacing w:before="0" w:line="204" w:lineRule="auto"/>
              <w:ind w:left="803" w:leftChars="0" w:right="113"/>
              <w:jc w:val="center"/>
              <w:rPr>
                <w:rFonts w:hint="eastAsia" w:ascii="黑体" w:hAnsi="黑体" w:eastAsia="黑体" w:cs="黑体"/>
                <w:sz w:val="21"/>
              </w:rPr>
            </w:pPr>
            <w:r>
              <w:rPr>
                <w:rFonts w:hint="eastAsia" w:ascii="黑体" w:hAnsi="黑体" w:eastAsia="黑体" w:cs="黑体"/>
                <w:spacing w:val="-7"/>
                <w:sz w:val="21"/>
              </w:rPr>
              <w:t>社会事业</w:t>
            </w:r>
          </w:p>
        </w:tc>
        <w:tc>
          <w:tcPr>
            <w:tcW w:w="3604" w:type="dxa"/>
            <w:tcBorders>
              <w:bottom w:val="nil"/>
            </w:tcBorders>
          </w:tcPr>
          <w:p w14:paraId="5D379E1D">
            <w:pPr>
              <w:pStyle w:val="16"/>
              <w:spacing w:before="149"/>
              <w:ind w:left="5"/>
              <w:jc w:val="left"/>
              <w:rPr>
                <w:rFonts w:ascii="宋体" w:eastAsia="宋体"/>
                <w:sz w:val="21"/>
              </w:rPr>
            </w:pPr>
            <w:r>
              <w:rPr>
                <w:rFonts w:ascii="宋体" w:eastAsia="宋体"/>
                <w:spacing w:val="-2"/>
                <w:sz w:val="21"/>
              </w:rPr>
              <w:t>九年义务教育巩固率</w:t>
            </w:r>
            <w:r>
              <w:rPr>
                <w:rFonts w:ascii="宋体" w:eastAsia="宋体"/>
                <w:spacing w:val="-5"/>
                <w:sz w:val="21"/>
              </w:rPr>
              <w:t>（%）</w:t>
            </w:r>
          </w:p>
        </w:tc>
        <w:tc>
          <w:tcPr>
            <w:tcW w:w="1418" w:type="dxa"/>
            <w:tcBorders>
              <w:bottom w:val="nil"/>
            </w:tcBorders>
          </w:tcPr>
          <w:p w14:paraId="4464498D">
            <w:pPr>
              <w:pStyle w:val="16"/>
              <w:spacing w:before="149"/>
              <w:ind w:left="100" w:right="94"/>
              <w:rPr>
                <w:rFonts w:ascii="宋体"/>
                <w:sz w:val="21"/>
              </w:rPr>
            </w:pPr>
            <w:r>
              <w:rPr>
                <w:rFonts w:ascii="宋体"/>
                <w:spacing w:val="-2"/>
                <w:sz w:val="21"/>
              </w:rPr>
              <w:t>99.96</w:t>
            </w:r>
          </w:p>
        </w:tc>
        <w:tc>
          <w:tcPr>
            <w:tcW w:w="1110" w:type="dxa"/>
            <w:tcBorders>
              <w:bottom w:val="nil"/>
            </w:tcBorders>
          </w:tcPr>
          <w:p w14:paraId="625C4B79">
            <w:pPr>
              <w:pStyle w:val="16"/>
              <w:spacing w:before="149"/>
              <w:ind w:left="291"/>
              <w:jc w:val="left"/>
              <w:rPr>
                <w:rFonts w:ascii="宋体"/>
                <w:sz w:val="21"/>
              </w:rPr>
            </w:pPr>
            <w:r>
              <w:rPr>
                <w:rFonts w:ascii="宋体"/>
                <w:spacing w:val="-2"/>
                <w:sz w:val="21"/>
              </w:rPr>
              <w:t>99.99</w:t>
            </w:r>
          </w:p>
        </w:tc>
        <w:tc>
          <w:tcPr>
            <w:tcW w:w="898" w:type="dxa"/>
            <w:tcBorders>
              <w:bottom w:val="nil"/>
            </w:tcBorders>
          </w:tcPr>
          <w:p w14:paraId="427BBC7F">
            <w:pPr>
              <w:pStyle w:val="16"/>
              <w:spacing w:before="149"/>
              <w:ind w:left="9"/>
              <w:rPr>
                <w:rFonts w:ascii="宋体"/>
                <w:sz w:val="21"/>
              </w:rPr>
            </w:pPr>
            <w:r>
              <w:rPr>
                <w:rFonts w:ascii="宋体"/>
                <w:w w:val="99"/>
                <w:sz w:val="21"/>
              </w:rPr>
              <w:t>-</w:t>
            </w:r>
          </w:p>
        </w:tc>
        <w:tc>
          <w:tcPr>
            <w:tcW w:w="955" w:type="dxa"/>
            <w:tcBorders>
              <w:bottom w:val="nil"/>
            </w:tcBorders>
          </w:tcPr>
          <w:p w14:paraId="1E4C0D2C">
            <w:pPr>
              <w:pStyle w:val="16"/>
              <w:spacing w:before="149"/>
              <w:ind w:left="147" w:right="142"/>
              <w:rPr>
                <w:rFonts w:ascii="宋体" w:eastAsia="宋体"/>
                <w:sz w:val="21"/>
              </w:rPr>
            </w:pPr>
            <w:r>
              <w:rPr>
                <w:rFonts w:ascii="宋体" w:eastAsia="宋体"/>
                <w:spacing w:val="-5"/>
                <w:sz w:val="21"/>
              </w:rPr>
              <w:t>预期性</w:t>
            </w:r>
          </w:p>
        </w:tc>
      </w:tr>
      <w:tr w14:paraId="1B54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38" w:type="dxa"/>
            <w:vMerge w:val="continue"/>
            <w:tcBorders>
              <w:top w:val="nil"/>
            </w:tcBorders>
            <w:textDirection w:val="tbRl"/>
            <w:vAlign w:val="center"/>
          </w:tcPr>
          <w:p w14:paraId="19F13528">
            <w:pPr>
              <w:jc w:val="center"/>
              <w:rPr>
                <w:rFonts w:hint="eastAsia" w:ascii="黑体" w:hAnsi="黑体" w:eastAsia="黑体" w:cs="黑体"/>
                <w:sz w:val="2"/>
                <w:szCs w:val="2"/>
              </w:rPr>
            </w:pPr>
          </w:p>
        </w:tc>
        <w:tc>
          <w:tcPr>
            <w:tcW w:w="3604" w:type="dxa"/>
            <w:tcBorders>
              <w:top w:val="nil"/>
              <w:bottom w:val="nil"/>
            </w:tcBorders>
          </w:tcPr>
          <w:p w14:paraId="41A9C12B">
            <w:pPr>
              <w:pStyle w:val="16"/>
              <w:spacing w:before="19"/>
              <w:ind w:left="5"/>
              <w:jc w:val="left"/>
              <w:rPr>
                <w:rFonts w:ascii="宋体" w:eastAsia="宋体"/>
                <w:sz w:val="21"/>
              </w:rPr>
            </w:pPr>
            <w:r>
              <w:rPr>
                <w:rFonts w:ascii="宋体" w:eastAsia="宋体"/>
                <w:spacing w:val="-2"/>
                <w:sz w:val="21"/>
              </w:rPr>
              <w:t>初中升高中阶段升学率</w:t>
            </w:r>
            <w:r>
              <w:rPr>
                <w:rFonts w:ascii="宋体" w:eastAsia="宋体"/>
                <w:spacing w:val="-5"/>
                <w:sz w:val="21"/>
              </w:rPr>
              <w:t>（%）</w:t>
            </w:r>
          </w:p>
        </w:tc>
        <w:tc>
          <w:tcPr>
            <w:tcW w:w="1418" w:type="dxa"/>
            <w:tcBorders>
              <w:top w:val="nil"/>
              <w:bottom w:val="nil"/>
            </w:tcBorders>
          </w:tcPr>
          <w:p w14:paraId="667CC59C">
            <w:pPr>
              <w:pStyle w:val="16"/>
              <w:spacing w:before="19"/>
              <w:ind w:left="102" w:right="93"/>
              <w:rPr>
                <w:rFonts w:ascii="宋体"/>
                <w:sz w:val="21"/>
              </w:rPr>
            </w:pPr>
            <w:r>
              <w:rPr>
                <w:rFonts w:ascii="宋体"/>
                <w:spacing w:val="-4"/>
                <w:sz w:val="21"/>
              </w:rPr>
              <w:t>88.6</w:t>
            </w:r>
          </w:p>
        </w:tc>
        <w:tc>
          <w:tcPr>
            <w:tcW w:w="1110" w:type="dxa"/>
            <w:tcBorders>
              <w:top w:val="nil"/>
              <w:bottom w:val="nil"/>
            </w:tcBorders>
          </w:tcPr>
          <w:p w14:paraId="2577CED4">
            <w:pPr>
              <w:pStyle w:val="16"/>
              <w:spacing w:before="19"/>
              <w:ind w:left="276" w:right="266"/>
              <w:rPr>
                <w:rFonts w:ascii="宋体"/>
                <w:sz w:val="21"/>
              </w:rPr>
            </w:pPr>
            <w:r>
              <w:rPr>
                <w:rFonts w:ascii="宋体"/>
                <w:spacing w:val="-5"/>
                <w:sz w:val="21"/>
              </w:rPr>
              <w:t>90</w:t>
            </w:r>
          </w:p>
        </w:tc>
        <w:tc>
          <w:tcPr>
            <w:tcW w:w="898" w:type="dxa"/>
            <w:tcBorders>
              <w:top w:val="nil"/>
              <w:bottom w:val="nil"/>
            </w:tcBorders>
          </w:tcPr>
          <w:p w14:paraId="050B466D">
            <w:pPr>
              <w:pStyle w:val="16"/>
              <w:spacing w:before="19"/>
              <w:ind w:left="9"/>
              <w:rPr>
                <w:rFonts w:ascii="宋体"/>
                <w:sz w:val="21"/>
              </w:rPr>
            </w:pPr>
            <w:r>
              <w:rPr>
                <w:rFonts w:ascii="宋体"/>
                <w:w w:val="99"/>
                <w:sz w:val="21"/>
              </w:rPr>
              <w:t>-</w:t>
            </w:r>
          </w:p>
        </w:tc>
        <w:tc>
          <w:tcPr>
            <w:tcW w:w="955" w:type="dxa"/>
            <w:tcBorders>
              <w:top w:val="nil"/>
              <w:bottom w:val="nil"/>
            </w:tcBorders>
          </w:tcPr>
          <w:p w14:paraId="0F39CA45">
            <w:pPr>
              <w:pStyle w:val="16"/>
              <w:spacing w:before="19"/>
              <w:ind w:left="147" w:right="142"/>
              <w:rPr>
                <w:rFonts w:ascii="宋体" w:eastAsia="宋体"/>
                <w:sz w:val="21"/>
              </w:rPr>
            </w:pPr>
            <w:r>
              <w:rPr>
                <w:rFonts w:ascii="宋体" w:eastAsia="宋体"/>
                <w:spacing w:val="-5"/>
                <w:sz w:val="21"/>
              </w:rPr>
              <w:t>预期性</w:t>
            </w:r>
          </w:p>
        </w:tc>
      </w:tr>
      <w:tr w14:paraId="5DA8F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38" w:type="dxa"/>
            <w:vMerge w:val="continue"/>
            <w:tcBorders>
              <w:top w:val="nil"/>
            </w:tcBorders>
            <w:textDirection w:val="tbRl"/>
            <w:vAlign w:val="center"/>
          </w:tcPr>
          <w:p w14:paraId="5FE1E721">
            <w:pPr>
              <w:jc w:val="center"/>
              <w:rPr>
                <w:rFonts w:hint="eastAsia" w:ascii="黑体" w:hAnsi="黑体" w:eastAsia="黑体" w:cs="黑体"/>
                <w:sz w:val="2"/>
                <w:szCs w:val="2"/>
              </w:rPr>
            </w:pPr>
          </w:p>
        </w:tc>
        <w:tc>
          <w:tcPr>
            <w:tcW w:w="3604" w:type="dxa"/>
            <w:tcBorders>
              <w:top w:val="nil"/>
              <w:bottom w:val="nil"/>
            </w:tcBorders>
          </w:tcPr>
          <w:p w14:paraId="6B50C6AC">
            <w:pPr>
              <w:pStyle w:val="16"/>
              <w:spacing w:before="19"/>
              <w:ind w:left="5"/>
              <w:jc w:val="left"/>
              <w:rPr>
                <w:rFonts w:ascii="宋体" w:eastAsia="宋体"/>
                <w:sz w:val="21"/>
              </w:rPr>
            </w:pPr>
            <w:r>
              <w:rPr>
                <w:rFonts w:ascii="宋体" w:eastAsia="宋体"/>
                <w:spacing w:val="-2"/>
                <w:sz w:val="21"/>
              </w:rPr>
              <w:t>城镇居民基本医疗保险参保率</w:t>
            </w:r>
            <w:r>
              <w:rPr>
                <w:rFonts w:ascii="宋体" w:eastAsia="宋体"/>
                <w:spacing w:val="-5"/>
                <w:sz w:val="21"/>
              </w:rPr>
              <w:t>（%）</w:t>
            </w:r>
          </w:p>
        </w:tc>
        <w:tc>
          <w:tcPr>
            <w:tcW w:w="1418" w:type="dxa"/>
            <w:tcBorders>
              <w:top w:val="nil"/>
              <w:bottom w:val="nil"/>
            </w:tcBorders>
          </w:tcPr>
          <w:p w14:paraId="1BD79AFF">
            <w:pPr>
              <w:pStyle w:val="16"/>
              <w:spacing w:before="19"/>
              <w:ind w:left="102" w:right="93"/>
              <w:rPr>
                <w:rFonts w:ascii="宋体"/>
                <w:sz w:val="21"/>
              </w:rPr>
            </w:pPr>
            <w:r>
              <w:rPr>
                <w:rFonts w:ascii="宋体"/>
                <w:spacing w:val="-5"/>
                <w:sz w:val="21"/>
              </w:rPr>
              <w:t>100</w:t>
            </w:r>
          </w:p>
        </w:tc>
        <w:tc>
          <w:tcPr>
            <w:tcW w:w="1110" w:type="dxa"/>
            <w:tcBorders>
              <w:top w:val="nil"/>
              <w:bottom w:val="nil"/>
            </w:tcBorders>
          </w:tcPr>
          <w:p w14:paraId="415E0C72">
            <w:pPr>
              <w:pStyle w:val="16"/>
              <w:spacing w:before="19"/>
              <w:ind w:left="276" w:right="266"/>
              <w:rPr>
                <w:rFonts w:ascii="宋体"/>
                <w:sz w:val="21"/>
              </w:rPr>
            </w:pPr>
            <w:r>
              <w:rPr>
                <w:rFonts w:ascii="宋体"/>
                <w:spacing w:val="-5"/>
                <w:sz w:val="21"/>
              </w:rPr>
              <w:t>100</w:t>
            </w:r>
          </w:p>
        </w:tc>
        <w:tc>
          <w:tcPr>
            <w:tcW w:w="898" w:type="dxa"/>
            <w:tcBorders>
              <w:top w:val="nil"/>
              <w:bottom w:val="nil"/>
            </w:tcBorders>
          </w:tcPr>
          <w:p w14:paraId="50CF090B">
            <w:pPr>
              <w:pStyle w:val="16"/>
              <w:spacing w:before="19"/>
              <w:ind w:left="9"/>
              <w:rPr>
                <w:rFonts w:ascii="宋体"/>
                <w:sz w:val="21"/>
              </w:rPr>
            </w:pPr>
            <w:r>
              <w:rPr>
                <w:rFonts w:ascii="宋体"/>
                <w:w w:val="99"/>
                <w:sz w:val="21"/>
              </w:rPr>
              <w:t>-</w:t>
            </w:r>
          </w:p>
        </w:tc>
        <w:tc>
          <w:tcPr>
            <w:tcW w:w="955" w:type="dxa"/>
            <w:tcBorders>
              <w:top w:val="nil"/>
              <w:bottom w:val="nil"/>
            </w:tcBorders>
          </w:tcPr>
          <w:p w14:paraId="76CC66B4">
            <w:pPr>
              <w:pStyle w:val="16"/>
              <w:spacing w:before="19"/>
              <w:ind w:left="147" w:right="142"/>
              <w:rPr>
                <w:rFonts w:ascii="宋体" w:eastAsia="宋体"/>
                <w:sz w:val="21"/>
              </w:rPr>
            </w:pPr>
            <w:r>
              <w:rPr>
                <w:rFonts w:ascii="宋体" w:eastAsia="宋体"/>
                <w:spacing w:val="-5"/>
                <w:sz w:val="21"/>
              </w:rPr>
              <w:t>预期性</w:t>
            </w:r>
          </w:p>
        </w:tc>
      </w:tr>
      <w:tr w14:paraId="55B05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38" w:type="dxa"/>
            <w:vMerge w:val="continue"/>
            <w:tcBorders>
              <w:top w:val="nil"/>
            </w:tcBorders>
            <w:textDirection w:val="tbRl"/>
            <w:vAlign w:val="center"/>
          </w:tcPr>
          <w:p w14:paraId="06E7C5C8">
            <w:pPr>
              <w:jc w:val="center"/>
              <w:rPr>
                <w:rFonts w:hint="eastAsia" w:ascii="黑体" w:hAnsi="黑体" w:eastAsia="黑体" w:cs="黑体"/>
                <w:sz w:val="2"/>
                <w:szCs w:val="2"/>
              </w:rPr>
            </w:pPr>
          </w:p>
        </w:tc>
        <w:tc>
          <w:tcPr>
            <w:tcW w:w="3604" w:type="dxa"/>
            <w:tcBorders>
              <w:top w:val="nil"/>
              <w:bottom w:val="nil"/>
            </w:tcBorders>
          </w:tcPr>
          <w:p w14:paraId="1262116C">
            <w:pPr>
              <w:pStyle w:val="16"/>
              <w:spacing w:before="21"/>
              <w:ind w:left="5"/>
              <w:jc w:val="left"/>
              <w:rPr>
                <w:rFonts w:ascii="宋体" w:eastAsia="宋体"/>
                <w:sz w:val="21"/>
              </w:rPr>
            </w:pPr>
            <w:r>
              <w:rPr>
                <w:rFonts w:ascii="宋体" w:eastAsia="宋体"/>
                <w:spacing w:val="-2"/>
                <w:sz w:val="21"/>
              </w:rPr>
              <w:t>农村新型合作医疗保险参合率</w:t>
            </w:r>
            <w:r>
              <w:rPr>
                <w:rFonts w:ascii="宋体" w:eastAsia="宋体"/>
                <w:spacing w:val="-5"/>
                <w:sz w:val="21"/>
              </w:rPr>
              <w:t>（%）</w:t>
            </w:r>
          </w:p>
        </w:tc>
        <w:tc>
          <w:tcPr>
            <w:tcW w:w="1418" w:type="dxa"/>
            <w:tcBorders>
              <w:top w:val="nil"/>
              <w:bottom w:val="nil"/>
            </w:tcBorders>
          </w:tcPr>
          <w:p w14:paraId="04322D84">
            <w:pPr>
              <w:pStyle w:val="16"/>
              <w:spacing w:before="21"/>
              <w:ind w:left="102" w:right="93"/>
              <w:rPr>
                <w:rFonts w:ascii="宋体"/>
                <w:sz w:val="21"/>
              </w:rPr>
            </w:pPr>
            <w:r>
              <w:rPr>
                <w:rFonts w:ascii="宋体"/>
                <w:spacing w:val="-4"/>
                <w:sz w:val="21"/>
              </w:rPr>
              <w:t>99.4</w:t>
            </w:r>
          </w:p>
        </w:tc>
        <w:tc>
          <w:tcPr>
            <w:tcW w:w="1110" w:type="dxa"/>
            <w:tcBorders>
              <w:top w:val="nil"/>
              <w:bottom w:val="nil"/>
            </w:tcBorders>
          </w:tcPr>
          <w:p w14:paraId="27D8C166">
            <w:pPr>
              <w:pStyle w:val="16"/>
              <w:spacing w:before="21"/>
              <w:ind w:left="344"/>
              <w:jc w:val="left"/>
              <w:rPr>
                <w:rFonts w:ascii="宋体"/>
                <w:sz w:val="21"/>
              </w:rPr>
            </w:pPr>
            <w:r>
              <w:rPr>
                <w:rFonts w:ascii="宋体"/>
                <w:spacing w:val="-4"/>
                <w:sz w:val="21"/>
              </w:rPr>
              <w:t>99.6</w:t>
            </w:r>
          </w:p>
        </w:tc>
        <w:tc>
          <w:tcPr>
            <w:tcW w:w="898" w:type="dxa"/>
            <w:tcBorders>
              <w:top w:val="nil"/>
              <w:bottom w:val="nil"/>
            </w:tcBorders>
          </w:tcPr>
          <w:p w14:paraId="17495191">
            <w:pPr>
              <w:pStyle w:val="16"/>
              <w:spacing w:before="21"/>
              <w:ind w:left="9"/>
              <w:rPr>
                <w:rFonts w:ascii="宋体"/>
                <w:sz w:val="21"/>
              </w:rPr>
            </w:pPr>
            <w:r>
              <w:rPr>
                <w:rFonts w:ascii="宋体"/>
                <w:w w:val="99"/>
                <w:sz w:val="21"/>
              </w:rPr>
              <w:t>-</w:t>
            </w:r>
          </w:p>
        </w:tc>
        <w:tc>
          <w:tcPr>
            <w:tcW w:w="955" w:type="dxa"/>
            <w:tcBorders>
              <w:top w:val="nil"/>
              <w:bottom w:val="nil"/>
            </w:tcBorders>
          </w:tcPr>
          <w:p w14:paraId="2842E525">
            <w:pPr>
              <w:pStyle w:val="16"/>
              <w:spacing w:before="21"/>
              <w:ind w:left="147" w:right="142"/>
              <w:rPr>
                <w:rFonts w:ascii="宋体" w:eastAsia="宋体"/>
                <w:sz w:val="21"/>
              </w:rPr>
            </w:pPr>
            <w:r>
              <w:rPr>
                <w:rFonts w:ascii="宋体" w:eastAsia="宋体"/>
                <w:spacing w:val="-5"/>
                <w:sz w:val="21"/>
              </w:rPr>
              <w:t>预期性</w:t>
            </w:r>
          </w:p>
        </w:tc>
      </w:tr>
      <w:tr w14:paraId="255BA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38" w:type="dxa"/>
            <w:vMerge w:val="continue"/>
            <w:tcBorders>
              <w:top w:val="nil"/>
            </w:tcBorders>
            <w:textDirection w:val="tbRl"/>
            <w:vAlign w:val="center"/>
          </w:tcPr>
          <w:p w14:paraId="42374D65">
            <w:pPr>
              <w:jc w:val="center"/>
              <w:rPr>
                <w:rFonts w:hint="eastAsia" w:ascii="黑体" w:hAnsi="黑体" w:eastAsia="黑体" w:cs="黑体"/>
                <w:sz w:val="2"/>
                <w:szCs w:val="2"/>
              </w:rPr>
            </w:pPr>
          </w:p>
        </w:tc>
        <w:tc>
          <w:tcPr>
            <w:tcW w:w="3604" w:type="dxa"/>
            <w:tcBorders>
              <w:top w:val="nil"/>
              <w:bottom w:val="nil"/>
            </w:tcBorders>
          </w:tcPr>
          <w:p w14:paraId="34BF62A2">
            <w:pPr>
              <w:pStyle w:val="16"/>
              <w:spacing w:before="19"/>
              <w:ind w:left="5"/>
              <w:jc w:val="left"/>
              <w:rPr>
                <w:rFonts w:ascii="宋体" w:eastAsia="宋体"/>
                <w:sz w:val="21"/>
              </w:rPr>
            </w:pPr>
            <w:r>
              <w:rPr>
                <w:rFonts w:ascii="宋体" w:eastAsia="宋体"/>
                <w:spacing w:val="-2"/>
                <w:sz w:val="21"/>
              </w:rPr>
              <w:t>农村基本养老参保率</w:t>
            </w:r>
            <w:r>
              <w:rPr>
                <w:rFonts w:ascii="宋体" w:eastAsia="宋体"/>
                <w:spacing w:val="-5"/>
                <w:sz w:val="21"/>
              </w:rPr>
              <w:t>（%）</w:t>
            </w:r>
          </w:p>
        </w:tc>
        <w:tc>
          <w:tcPr>
            <w:tcW w:w="1418" w:type="dxa"/>
            <w:tcBorders>
              <w:top w:val="nil"/>
              <w:bottom w:val="nil"/>
            </w:tcBorders>
          </w:tcPr>
          <w:p w14:paraId="2CC41BB6">
            <w:pPr>
              <w:pStyle w:val="16"/>
              <w:spacing w:before="19"/>
              <w:ind w:left="102" w:right="93"/>
              <w:rPr>
                <w:rFonts w:ascii="宋体"/>
                <w:sz w:val="21"/>
              </w:rPr>
            </w:pPr>
            <w:r>
              <w:rPr>
                <w:rFonts w:ascii="宋体"/>
                <w:spacing w:val="-5"/>
                <w:sz w:val="21"/>
              </w:rPr>
              <w:t>85</w:t>
            </w:r>
          </w:p>
        </w:tc>
        <w:tc>
          <w:tcPr>
            <w:tcW w:w="1110" w:type="dxa"/>
            <w:tcBorders>
              <w:top w:val="nil"/>
              <w:bottom w:val="nil"/>
            </w:tcBorders>
          </w:tcPr>
          <w:p w14:paraId="0AB34DEF">
            <w:pPr>
              <w:pStyle w:val="16"/>
              <w:spacing w:before="19"/>
              <w:ind w:left="276" w:right="266"/>
              <w:rPr>
                <w:rFonts w:ascii="宋体"/>
                <w:sz w:val="21"/>
              </w:rPr>
            </w:pPr>
            <w:r>
              <w:rPr>
                <w:rFonts w:ascii="宋体"/>
                <w:spacing w:val="-5"/>
                <w:sz w:val="21"/>
              </w:rPr>
              <w:t>95</w:t>
            </w:r>
          </w:p>
        </w:tc>
        <w:tc>
          <w:tcPr>
            <w:tcW w:w="898" w:type="dxa"/>
            <w:tcBorders>
              <w:top w:val="nil"/>
              <w:bottom w:val="nil"/>
            </w:tcBorders>
          </w:tcPr>
          <w:p w14:paraId="2B9574E5">
            <w:pPr>
              <w:pStyle w:val="16"/>
              <w:spacing w:before="19"/>
              <w:ind w:left="9"/>
              <w:rPr>
                <w:rFonts w:ascii="宋体"/>
                <w:sz w:val="21"/>
              </w:rPr>
            </w:pPr>
            <w:r>
              <w:rPr>
                <w:rFonts w:ascii="宋体"/>
                <w:w w:val="99"/>
                <w:sz w:val="21"/>
              </w:rPr>
              <w:t>2</w:t>
            </w:r>
          </w:p>
        </w:tc>
        <w:tc>
          <w:tcPr>
            <w:tcW w:w="955" w:type="dxa"/>
            <w:tcBorders>
              <w:top w:val="nil"/>
              <w:bottom w:val="nil"/>
            </w:tcBorders>
          </w:tcPr>
          <w:p w14:paraId="5A96AF43">
            <w:pPr>
              <w:pStyle w:val="16"/>
              <w:spacing w:before="19"/>
              <w:ind w:left="147" w:right="142"/>
              <w:rPr>
                <w:rFonts w:ascii="宋体" w:eastAsia="宋体"/>
                <w:sz w:val="21"/>
              </w:rPr>
            </w:pPr>
            <w:r>
              <w:rPr>
                <w:rFonts w:ascii="宋体" w:eastAsia="宋体"/>
                <w:spacing w:val="-5"/>
                <w:sz w:val="21"/>
              </w:rPr>
              <w:t>预期性</w:t>
            </w:r>
          </w:p>
        </w:tc>
      </w:tr>
      <w:tr w14:paraId="0D0D2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38" w:type="dxa"/>
            <w:vMerge w:val="continue"/>
            <w:tcBorders>
              <w:top w:val="nil"/>
            </w:tcBorders>
            <w:textDirection w:val="tbRl"/>
            <w:vAlign w:val="center"/>
          </w:tcPr>
          <w:p w14:paraId="2194A328">
            <w:pPr>
              <w:jc w:val="center"/>
              <w:rPr>
                <w:rFonts w:hint="eastAsia" w:ascii="黑体" w:hAnsi="黑体" w:eastAsia="黑体" w:cs="黑体"/>
                <w:sz w:val="2"/>
                <w:szCs w:val="2"/>
              </w:rPr>
            </w:pPr>
          </w:p>
        </w:tc>
        <w:tc>
          <w:tcPr>
            <w:tcW w:w="3604" w:type="dxa"/>
            <w:tcBorders>
              <w:top w:val="nil"/>
              <w:bottom w:val="nil"/>
            </w:tcBorders>
          </w:tcPr>
          <w:p w14:paraId="7859E842">
            <w:pPr>
              <w:pStyle w:val="16"/>
              <w:spacing w:before="19"/>
              <w:ind w:left="5"/>
              <w:jc w:val="left"/>
              <w:rPr>
                <w:rFonts w:ascii="宋体" w:eastAsia="宋体"/>
                <w:sz w:val="21"/>
              </w:rPr>
            </w:pPr>
            <w:r>
              <w:rPr>
                <w:rFonts w:ascii="宋体" w:eastAsia="宋体"/>
                <w:spacing w:val="-2"/>
                <w:sz w:val="21"/>
              </w:rPr>
              <w:t>城镇登记失业率</w:t>
            </w:r>
            <w:r>
              <w:rPr>
                <w:rFonts w:ascii="宋体" w:eastAsia="宋体"/>
                <w:spacing w:val="-5"/>
                <w:sz w:val="21"/>
              </w:rPr>
              <w:t>（%）</w:t>
            </w:r>
          </w:p>
        </w:tc>
        <w:tc>
          <w:tcPr>
            <w:tcW w:w="1418" w:type="dxa"/>
            <w:tcBorders>
              <w:top w:val="nil"/>
              <w:bottom w:val="nil"/>
            </w:tcBorders>
          </w:tcPr>
          <w:p w14:paraId="091B3455">
            <w:pPr>
              <w:pStyle w:val="16"/>
              <w:spacing w:before="19"/>
              <w:ind w:left="100" w:right="94"/>
              <w:rPr>
                <w:rFonts w:ascii="宋体"/>
                <w:sz w:val="21"/>
              </w:rPr>
            </w:pPr>
            <w:r>
              <w:rPr>
                <w:rFonts w:ascii="宋体"/>
                <w:spacing w:val="-5"/>
                <w:sz w:val="21"/>
              </w:rPr>
              <w:t>3.2</w:t>
            </w:r>
          </w:p>
        </w:tc>
        <w:tc>
          <w:tcPr>
            <w:tcW w:w="1110" w:type="dxa"/>
            <w:tcBorders>
              <w:top w:val="nil"/>
              <w:bottom w:val="nil"/>
            </w:tcBorders>
          </w:tcPr>
          <w:p w14:paraId="1503D476">
            <w:pPr>
              <w:pStyle w:val="16"/>
              <w:spacing w:before="19"/>
              <w:ind w:left="6"/>
              <w:rPr>
                <w:rFonts w:ascii="宋体"/>
                <w:sz w:val="21"/>
              </w:rPr>
            </w:pPr>
            <w:r>
              <w:rPr>
                <w:rFonts w:ascii="宋体"/>
                <w:w w:val="99"/>
                <w:sz w:val="21"/>
              </w:rPr>
              <w:t>3</w:t>
            </w:r>
          </w:p>
        </w:tc>
        <w:tc>
          <w:tcPr>
            <w:tcW w:w="898" w:type="dxa"/>
            <w:tcBorders>
              <w:top w:val="nil"/>
              <w:bottom w:val="nil"/>
            </w:tcBorders>
          </w:tcPr>
          <w:p w14:paraId="2B21C0AB">
            <w:pPr>
              <w:pStyle w:val="16"/>
              <w:spacing w:before="19"/>
              <w:ind w:left="9"/>
              <w:rPr>
                <w:rFonts w:ascii="宋体"/>
                <w:sz w:val="21"/>
              </w:rPr>
            </w:pPr>
            <w:r>
              <w:rPr>
                <w:rFonts w:ascii="宋体"/>
                <w:w w:val="99"/>
                <w:sz w:val="21"/>
              </w:rPr>
              <w:t>-</w:t>
            </w:r>
          </w:p>
        </w:tc>
        <w:tc>
          <w:tcPr>
            <w:tcW w:w="955" w:type="dxa"/>
            <w:tcBorders>
              <w:top w:val="nil"/>
              <w:bottom w:val="nil"/>
            </w:tcBorders>
          </w:tcPr>
          <w:p w14:paraId="2CC93CE8">
            <w:pPr>
              <w:pStyle w:val="16"/>
              <w:spacing w:before="19"/>
              <w:ind w:left="147" w:right="142"/>
              <w:rPr>
                <w:rFonts w:ascii="宋体" w:eastAsia="宋体"/>
                <w:sz w:val="21"/>
              </w:rPr>
            </w:pPr>
            <w:r>
              <w:rPr>
                <w:rFonts w:ascii="宋体" w:eastAsia="宋体"/>
                <w:spacing w:val="-5"/>
                <w:sz w:val="21"/>
              </w:rPr>
              <w:t>预期性</w:t>
            </w:r>
          </w:p>
        </w:tc>
      </w:tr>
      <w:tr w14:paraId="2FD86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38" w:type="dxa"/>
            <w:vMerge w:val="continue"/>
            <w:tcBorders>
              <w:top w:val="nil"/>
            </w:tcBorders>
            <w:textDirection w:val="tbRl"/>
            <w:vAlign w:val="center"/>
          </w:tcPr>
          <w:p w14:paraId="3281E285">
            <w:pPr>
              <w:jc w:val="center"/>
              <w:rPr>
                <w:rFonts w:hint="eastAsia" w:ascii="黑体" w:hAnsi="黑体" w:eastAsia="黑体" w:cs="黑体"/>
                <w:sz w:val="2"/>
                <w:szCs w:val="2"/>
              </w:rPr>
            </w:pPr>
          </w:p>
        </w:tc>
        <w:tc>
          <w:tcPr>
            <w:tcW w:w="3604" w:type="dxa"/>
            <w:tcBorders>
              <w:top w:val="nil"/>
            </w:tcBorders>
          </w:tcPr>
          <w:p w14:paraId="20D3A41C">
            <w:pPr>
              <w:pStyle w:val="16"/>
              <w:spacing w:before="21"/>
              <w:ind w:left="5"/>
              <w:jc w:val="left"/>
              <w:rPr>
                <w:rFonts w:ascii="宋体" w:eastAsia="宋体"/>
                <w:sz w:val="21"/>
              </w:rPr>
            </w:pPr>
            <w:r>
              <w:rPr>
                <w:rFonts w:ascii="宋体" w:eastAsia="宋体"/>
                <w:spacing w:val="-3"/>
                <w:sz w:val="21"/>
              </w:rPr>
              <w:t>人均平均期望寿命值</w:t>
            </w:r>
          </w:p>
        </w:tc>
        <w:tc>
          <w:tcPr>
            <w:tcW w:w="1418" w:type="dxa"/>
            <w:tcBorders>
              <w:top w:val="nil"/>
            </w:tcBorders>
          </w:tcPr>
          <w:p w14:paraId="412462D2">
            <w:pPr>
              <w:pStyle w:val="16"/>
              <w:spacing w:before="21"/>
              <w:ind w:left="102" w:right="93"/>
              <w:rPr>
                <w:rFonts w:ascii="宋体"/>
                <w:sz w:val="21"/>
              </w:rPr>
            </w:pPr>
            <w:r>
              <w:rPr>
                <w:rFonts w:ascii="宋体"/>
                <w:spacing w:val="-5"/>
                <w:sz w:val="21"/>
              </w:rPr>
              <w:t>73</w:t>
            </w:r>
          </w:p>
        </w:tc>
        <w:tc>
          <w:tcPr>
            <w:tcW w:w="1110" w:type="dxa"/>
            <w:tcBorders>
              <w:top w:val="nil"/>
            </w:tcBorders>
          </w:tcPr>
          <w:p w14:paraId="0E719A43">
            <w:pPr>
              <w:pStyle w:val="16"/>
              <w:spacing w:before="21"/>
              <w:ind w:left="276" w:right="266"/>
              <w:rPr>
                <w:rFonts w:ascii="宋体"/>
                <w:sz w:val="21"/>
              </w:rPr>
            </w:pPr>
            <w:r>
              <w:rPr>
                <w:rFonts w:ascii="宋体"/>
                <w:spacing w:val="-5"/>
                <w:sz w:val="21"/>
              </w:rPr>
              <w:t>75</w:t>
            </w:r>
          </w:p>
        </w:tc>
        <w:tc>
          <w:tcPr>
            <w:tcW w:w="898" w:type="dxa"/>
            <w:tcBorders>
              <w:top w:val="nil"/>
            </w:tcBorders>
          </w:tcPr>
          <w:p w14:paraId="3226FFE5">
            <w:pPr>
              <w:pStyle w:val="16"/>
              <w:spacing w:before="21"/>
              <w:ind w:left="9"/>
              <w:rPr>
                <w:rFonts w:ascii="宋体"/>
                <w:sz w:val="21"/>
              </w:rPr>
            </w:pPr>
            <w:r>
              <w:rPr>
                <w:rFonts w:ascii="宋体"/>
                <w:w w:val="99"/>
                <w:sz w:val="21"/>
              </w:rPr>
              <w:t>-</w:t>
            </w:r>
          </w:p>
        </w:tc>
        <w:tc>
          <w:tcPr>
            <w:tcW w:w="955" w:type="dxa"/>
            <w:tcBorders>
              <w:top w:val="nil"/>
            </w:tcBorders>
          </w:tcPr>
          <w:p w14:paraId="221B5AD9">
            <w:pPr>
              <w:pStyle w:val="16"/>
              <w:spacing w:before="21"/>
              <w:ind w:left="147" w:right="142"/>
              <w:rPr>
                <w:rFonts w:ascii="宋体" w:eastAsia="宋体"/>
                <w:sz w:val="21"/>
              </w:rPr>
            </w:pPr>
            <w:r>
              <w:rPr>
                <w:rFonts w:ascii="宋体" w:eastAsia="宋体"/>
                <w:spacing w:val="-5"/>
                <w:sz w:val="21"/>
              </w:rPr>
              <w:t>预期性</w:t>
            </w:r>
          </w:p>
        </w:tc>
      </w:tr>
      <w:tr w14:paraId="36835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538" w:type="dxa"/>
            <w:vMerge w:val="restart"/>
            <w:textDirection w:val="tbRlV"/>
            <w:vAlign w:val="center"/>
          </w:tcPr>
          <w:p w14:paraId="02AD8805">
            <w:pPr>
              <w:pStyle w:val="16"/>
              <w:spacing w:before="0" w:line="204" w:lineRule="auto"/>
              <w:ind w:left="212" w:leftChars="0" w:right="113"/>
              <w:jc w:val="center"/>
              <w:rPr>
                <w:rFonts w:hint="eastAsia" w:ascii="黑体" w:hAnsi="黑体" w:eastAsia="黑体" w:cs="黑体"/>
                <w:sz w:val="21"/>
              </w:rPr>
            </w:pPr>
            <w:r>
              <w:rPr>
                <w:rFonts w:hint="eastAsia" w:ascii="黑体" w:hAnsi="黑体" w:eastAsia="黑体" w:cs="黑体"/>
                <w:spacing w:val="-4"/>
                <w:sz w:val="21"/>
              </w:rPr>
              <w:t>可持续发展</w:t>
            </w:r>
          </w:p>
        </w:tc>
        <w:tc>
          <w:tcPr>
            <w:tcW w:w="3604" w:type="dxa"/>
            <w:tcBorders>
              <w:bottom w:val="nil"/>
            </w:tcBorders>
          </w:tcPr>
          <w:p w14:paraId="7B4C7C22">
            <w:pPr>
              <w:pStyle w:val="16"/>
              <w:spacing w:before="93"/>
              <w:ind w:left="5"/>
              <w:jc w:val="left"/>
              <w:rPr>
                <w:rFonts w:ascii="宋体" w:eastAsia="宋体"/>
                <w:sz w:val="21"/>
              </w:rPr>
            </w:pPr>
            <w:r>
              <w:rPr>
                <w:rFonts w:ascii="宋体" w:eastAsia="宋体"/>
                <w:spacing w:val="-2"/>
                <w:sz w:val="21"/>
              </w:rPr>
              <w:t>森林覆盖率</w:t>
            </w:r>
            <w:r>
              <w:rPr>
                <w:rFonts w:ascii="宋体" w:eastAsia="宋体"/>
                <w:spacing w:val="-5"/>
                <w:sz w:val="21"/>
              </w:rPr>
              <w:t>（%）</w:t>
            </w:r>
          </w:p>
        </w:tc>
        <w:tc>
          <w:tcPr>
            <w:tcW w:w="1418" w:type="dxa"/>
            <w:tcBorders>
              <w:bottom w:val="nil"/>
            </w:tcBorders>
          </w:tcPr>
          <w:p w14:paraId="3A248A08">
            <w:pPr>
              <w:pStyle w:val="16"/>
              <w:spacing w:before="93"/>
              <w:ind w:left="102" w:right="93"/>
              <w:rPr>
                <w:rFonts w:ascii="宋体"/>
                <w:sz w:val="21"/>
              </w:rPr>
            </w:pPr>
            <w:r>
              <w:rPr>
                <w:rFonts w:ascii="宋体"/>
                <w:spacing w:val="-4"/>
                <w:sz w:val="21"/>
              </w:rPr>
              <w:t>1.32</w:t>
            </w:r>
          </w:p>
        </w:tc>
        <w:tc>
          <w:tcPr>
            <w:tcW w:w="1110" w:type="dxa"/>
            <w:tcBorders>
              <w:bottom w:val="nil"/>
            </w:tcBorders>
          </w:tcPr>
          <w:p w14:paraId="02EFEB2C">
            <w:pPr>
              <w:pStyle w:val="16"/>
              <w:spacing w:before="93"/>
              <w:ind w:left="344"/>
              <w:jc w:val="left"/>
              <w:rPr>
                <w:rFonts w:ascii="宋体"/>
                <w:sz w:val="21"/>
              </w:rPr>
            </w:pPr>
            <w:r>
              <w:rPr>
                <w:rFonts w:ascii="宋体"/>
                <w:spacing w:val="-4"/>
                <w:sz w:val="21"/>
              </w:rPr>
              <w:t>1.46</w:t>
            </w:r>
          </w:p>
        </w:tc>
        <w:tc>
          <w:tcPr>
            <w:tcW w:w="898" w:type="dxa"/>
            <w:tcBorders>
              <w:bottom w:val="nil"/>
            </w:tcBorders>
          </w:tcPr>
          <w:p w14:paraId="22F8F26A">
            <w:pPr>
              <w:pStyle w:val="16"/>
              <w:spacing w:before="93"/>
              <w:ind w:left="9"/>
              <w:rPr>
                <w:rFonts w:ascii="宋体"/>
                <w:sz w:val="21"/>
              </w:rPr>
            </w:pPr>
            <w:r>
              <w:rPr>
                <w:rFonts w:ascii="宋体"/>
                <w:w w:val="99"/>
                <w:sz w:val="21"/>
              </w:rPr>
              <w:t>-</w:t>
            </w:r>
          </w:p>
        </w:tc>
        <w:tc>
          <w:tcPr>
            <w:tcW w:w="955" w:type="dxa"/>
            <w:tcBorders>
              <w:bottom w:val="nil"/>
            </w:tcBorders>
          </w:tcPr>
          <w:p w14:paraId="03F8FB31">
            <w:pPr>
              <w:pStyle w:val="16"/>
              <w:spacing w:before="93"/>
              <w:ind w:left="147" w:right="142"/>
              <w:rPr>
                <w:rFonts w:ascii="宋体" w:eastAsia="宋体"/>
                <w:sz w:val="21"/>
              </w:rPr>
            </w:pPr>
            <w:r>
              <w:rPr>
                <w:rFonts w:ascii="宋体" w:eastAsia="宋体"/>
                <w:spacing w:val="-5"/>
                <w:sz w:val="21"/>
              </w:rPr>
              <w:t>约束性</w:t>
            </w:r>
          </w:p>
        </w:tc>
      </w:tr>
      <w:tr w14:paraId="0E552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8" w:type="dxa"/>
            <w:vMerge w:val="continue"/>
            <w:tcBorders>
              <w:top w:val="nil"/>
            </w:tcBorders>
            <w:textDirection w:val="tbRl"/>
          </w:tcPr>
          <w:p w14:paraId="4AF0E1C2">
            <w:pPr>
              <w:rPr>
                <w:sz w:val="2"/>
                <w:szCs w:val="2"/>
              </w:rPr>
            </w:pPr>
          </w:p>
        </w:tc>
        <w:tc>
          <w:tcPr>
            <w:tcW w:w="3604" w:type="dxa"/>
            <w:tcBorders>
              <w:top w:val="nil"/>
              <w:bottom w:val="nil"/>
            </w:tcBorders>
          </w:tcPr>
          <w:p w14:paraId="7B2C0D9A">
            <w:pPr>
              <w:pStyle w:val="16"/>
              <w:spacing w:before="40"/>
              <w:ind w:left="5"/>
              <w:jc w:val="left"/>
              <w:rPr>
                <w:rFonts w:ascii="宋体" w:eastAsia="宋体"/>
                <w:sz w:val="21"/>
              </w:rPr>
            </w:pPr>
            <w:r>
              <w:rPr>
                <w:rFonts w:ascii="宋体" w:eastAsia="宋体"/>
                <w:spacing w:val="-3"/>
                <w:sz w:val="21"/>
              </w:rPr>
              <w:t>农业灌溉用水有效利用系数</w:t>
            </w:r>
          </w:p>
        </w:tc>
        <w:tc>
          <w:tcPr>
            <w:tcW w:w="1418" w:type="dxa"/>
            <w:tcBorders>
              <w:top w:val="nil"/>
              <w:bottom w:val="nil"/>
            </w:tcBorders>
          </w:tcPr>
          <w:p w14:paraId="33594787">
            <w:pPr>
              <w:pStyle w:val="16"/>
              <w:spacing w:before="40"/>
              <w:ind w:left="102" w:right="93"/>
              <w:rPr>
                <w:rFonts w:ascii="宋体"/>
                <w:sz w:val="21"/>
              </w:rPr>
            </w:pPr>
            <w:r>
              <w:rPr>
                <w:rFonts w:ascii="宋体"/>
                <w:spacing w:val="-4"/>
                <w:sz w:val="21"/>
              </w:rPr>
              <w:t>0.55</w:t>
            </w:r>
          </w:p>
        </w:tc>
        <w:tc>
          <w:tcPr>
            <w:tcW w:w="1110" w:type="dxa"/>
            <w:tcBorders>
              <w:top w:val="nil"/>
              <w:bottom w:val="nil"/>
            </w:tcBorders>
          </w:tcPr>
          <w:p w14:paraId="5E247DAE">
            <w:pPr>
              <w:pStyle w:val="16"/>
              <w:spacing w:before="40"/>
              <w:ind w:left="276" w:right="268"/>
              <w:rPr>
                <w:rFonts w:ascii="宋体"/>
                <w:sz w:val="21"/>
              </w:rPr>
            </w:pPr>
            <w:r>
              <w:rPr>
                <w:rFonts w:ascii="宋体"/>
                <w:spacing w:val="-5"/>
                <w:sz w:val="21"/>
              </w:rPr>
              <w:t>0.6</w:t>
            </w:r>
          </w:p>
        </w:tc>
        <w:tc>
          <w:tcPr>
            <w:tcW w:w="898" w:type="dxa"/>
            <w:tcBorders>
              <w:top w:val="nil"/>
              <w:bottom w:val="nil"/>
            </w:tcBorders>
          </w:tcPr>
          <w:p w14:paraId="3A6F58F1">
            <w:pPr>
              <w:pStyle w:val="16"/>
              <w:spacing w:before="40"/>
              <w:ind w:left="9"/>
              <w:rPr>
                <w:rFonts w:ascii="宋体"/>
                <w:sz w:val="21"/>
              </w:rPr>
            </w:pPr>
            <w:r>
              <w:rPr>
                <w:rFonts w:ascii="宋体"/>
                <w:w w:val="99"/>
                <w:sz w:val="21"/>
              </w:rPr>
              <w:t>-</w:t>
            </w:r>
          </w:p>
        </w:tc>
        <w:tc>
          <w:tcPr>
            <w:tcW w:w="955" w:type="dxa"/>
            <w:tcBorders>
              <w:top w:val="nil"/>
              <w:bottom w:val="nil"/>
            </w:tcBorders>
          </w:tcPr>
          <w:p w14:paraId="7F268E71">
            <w:pPr>
              <w:pStyle w:val="16"/>
              <w:spacing w:before="40"/>
              <w:ind w:left="147" w:right="142"/>
              <w:rPr>
                <w:rFonts w:ascii="宋体" w:eastAsia="宋体"/>
                <w:sz w:val="21"/>
              </w:rPr>
            </w:pPr>
            <w:r>
              <w:rPr>
                <w:rFonts w:ascii="宋体" w:eastAsia="宋体"/>
                <w:spacing w:val="-5"/>
                <w:sz w:val="21"/>
              </w:rPr>
              <w:t>预期性</w:t>
            </w:r>
          </w:p>
        </w:tc>
      </w:tr>
      <w:tr w14:paraId="2A304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8" w:type="dxa"/>
            <w:vMerge w:val="continue"/>
            <w:tcBorders>
              <w:top w:val="nil"/>
            </w:tcBorders>
            <w:textDirection w:val="tbRl"/>
          </w:tcPr>
          <w:p w14:paraId="1A8156B3">
            <w:pPr>
              <w:rPr>
                <w:sz w:val="2"/>
                <w:szCs w:val="2"/>
              </w:rPr>
            </w:pPr>
          </w:p>
        </w:tc>
        <w:tc>
          <w:tcPr>
            <w:tcW w:w="3604" w:type="dxa"/>
            <w:tcBorders>
              <w:top w:val="nil"/>
              <w:bottom w:val="nil"/>
            </w:tcBorders>
          </w:tcPr>
          <w:p w14:paraId="39212AA3">
            <w:pPr>
              <w:pStyle w:val="16"/>
              <w:spacing w:before="40"/>
              <w:ind w:left="5"/>
              <w:jc w:val="left"/>
              <w:rPr>
                <w:rFonts w:ascii="宋体" w:eastAsia="宋体"/>
                <w:sz w:val="21"/>
              </w:rPr>
            </w:pPr>
            <w:r>
              <w:rPr>
                <w:rFonts w:ascii="宋体" w:eastAsia="宋体"/>
                <w:spacing w:val="-2"/>
                <w:sz w:val="21"/>
              </w:rPr>
              <w:t>工业固体废物综合处置率</w:t>
            </w:r>
            <w:r>
              <w:rPr>
                <w:rFonts w:ascii="宋体" w:eastAsia="宋体"/>
                <w:spacing w:val="-5"/>
                <w:sz w:val="21"/>
              </w:rPr>
              <w:t>（%）</w:t>
            </w:r>
          </w:p>
        </w:tc>
        <w:tc>
          <w:tcPr>
            <w:tcW w:w="1418" w:type="dxa"/>
            <w:tcBorders>
              <w:top w:val="nil"/>
              <w:bottom w:val="nil"/>
            </w:tcBorders>
          </w:tcPr>
          <w:p w14:paraId="68F7554B">
            <w:pPr>
              <w:pStyle w:val="16"/>
              <w:spacing w:before="40"/>
              <w:ind w:left="9"/>
              <w:rPr>
                <w:rFonts w:ascii="宋体"/>
                <w:sz w:val="21"/>
              </w:rPr>
            </w:pPr>
            <w:r>
              <w:rPr>
                <w:rFonts w:ascii="宋体"/>
                <w:w w:val="99"/>
                <w:sz w:val="21"/>
              </w:rPr>
              <w:t>-</w:t>
            </w:r>
          </w:p>
        </w:tc>
        <w:tc>
          <w:tcPr>
            <w:tcW w:w="1110" w:type="dxa"/>
            <w:tcBorders>
              <w:top w:val="nil"/>
              <w:bottom w:val="nil"/>
            </w:tcBorders>
          </w:tcPr>
          <w:p w14:paraId="6C5040CA">
            <w:pPr>
              <w:pStyle w:val="16"/>
              <w:spacing w:before="40"/>
              <w:ind w:left="276" w:right="268"/>
              <w:rPr>
                <w:rFonts w:ascii="宋体"/>
                <w:sz w:val="21"/>
              </w:rPr>
            </w:pPr>
            <w:r>
              <w:rPr>
                <w:rFonts w:ascii="宋体"/>
                <w:spacing w:val="-5"/>
                <w:sz w:val="21"/>
              </w:rPr>
              <w:t>85</w:t>
            </w:r>
          </w:p>
        </w:tc>
        <w:tc>
          <w:tcPr>
            <w:tcW w:w="898" w:type="dxa"/>
            <w:tcBorders>
              <w:top w:val="nil"/>
              <w:bottom w:val="nil"/>
            </w:tcBorders>
          </w:tcPr>
          <w:p w14:paraId="003F0926">
            <w:pPr>
              <w:pStyle w:val="16"/>
              <w:spacing w:before="40"/>
              <w:ind w:left="9"/>
              <w:rPr>
                <w:rFonts w:ascii="宋体"/>
                <w:sz w:val="21"/>
              </w:rPr>
            </w:pPr>
            <w:r>
              <w:rPr>
                <w:rFonts w:ascii="宋体"/>
                <w:w w:val="99"/>
                <w:sz w:val="21"/>
              </w:rPr>
              <w:t>-</w:t>
            </w:r>
          </w:p>
        </w:tc>
        <w:tc>
          <w:tcPr>
            <w:tcW w:w="955" w:type="dxa"/>
            <w:tcBorders>
              <w:top w:val="nil"/>
              <w:bottom w:val="nil"/>
            </w:tcBorders>
          </w:tcPr>
          <w:p w14:paraId="4FD21A1D">
            <w:pPr>
              <w:pStyle w:val="16"/>
              <w:spacing w:before="40"/>
              <w:ind w:left="147" w:right="142"/>
              <w:rPr>
                <w:rFonts w:ascii="宋体" w:eastAsia="宋体"/>
                <w:sz w:val="21"/>
              </w:rPr>
            </w:pPr>
            <w:r>
              <w:rPr>
                <w:rFonts w:ascii="宋体" w:eastAsia="宋体"/>
                <w:spacing w:val="-5"/>
                <w:sz w:val="21"/>
              </w:rPr>
              <w:t>约束性</w:t>
            </w:r>
          </w:p>
        </w:tc>
      </w:tr>
      <w:tr w14:paraId="1192C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38" w:type="dxa"/>
            <w:vMerge w:val="continue"/>
            <w:tcBorders>
              <w:top w:val="nil"/>
            </w:tcBorders>
            <w:textDirection w:val="tbRl"/>
          </w:tcPr>
          <w:p w14:paraId="19E6AB4C">
            <w:pPr>
              <w:rPr>
                <w:sz w:val="2"/>
                <w:szCs w:val="2"/>
              </w:rPr>
            </w:pPr>
          </w:p>
        </w:tc>
        <w:tc>
          <w:tcPr>
            <w:tcW w:w="3604" w:type="dxa"/>
            <w:tcBorders>
              <w:top w:val="nil"/>
            </w:tcBorders>
          </w:tcPr>
          <w:p w14:paraId="33B1ECEE">
            <w:pPr>
              <w:pStyle w:val="16"/>
              <w:spacing w:before="40"/>
              <w:ind w:left="5"/>
              <w:jc w:val="left"/>
              <w:rPr>
                <w:rFonts w:ascii="宋体" w:eastAsia="宋体"/>
                <w:sz w:val="21"/>
              </w:rPr>
            </w:pPr>
            <w:r>
              <w:rPr>
                <w:rFonts w:ascii="宋体" w:eastAsia="宋体"/>
                <w:spacing w:val="-18"/>
                <w:sz w:val="21"/>
              </w:rPr>
              <w:t xml:space="preserve">单位 </w:t>
            </w:r>
            <w:r>
              <w:rPr>
                <w:rFonts w:ascii="宋体" w:eastAsia="宋体"/>
                <w:spacing w:val="-2"/>
                <w:sz w:val="21"/>
              </w:rPr>
              <w:t>GDP</w:t>
            </w:r>
            <w:r>
              <w:rPr>
                <w:rFonts w:ascii="宋体" w:eastAsia="宋体"/>
                <w:spacing w:val="-12"/>
                <w:sz w:val="21"/>
              </w:rPr>
              <w:t xml:space="preserve"> 能耗降低</w:t>
            </w:r>
            <w:r>
              <w:rPr>
                <w:rFonts w:ascii="宋体" w:eastAsia="宋体"/>
                <w:spacing w:val="-2"/>
                <w:sz w:val="21"/>
              </w:rPr>
              <w:t>（吨标准煤/万元</w:t>
            </w:r>
            <w:r>
              <w:rPr>
                <w:rFonts w:ascii="宋体" w:eastAsia="宋体"/>
                <w:spacing w:val="-10"/>
                <w:sz w:val="21"/>
              </w:rPr>
              <w:t>）</w:t>
            </w:r>
          </w:p>
        </w:tc>
        <w:tc>
          <w:tcPr>
            <w:tcW w:w="1418" w:type="dxa"/>
            <w:tcBorders>
              <w:top w:val="nil"/>
            </w:tcBorders>
          </w:tcPr>
          <w:p w14:paraId="09107DA6">
            <w:pPr>
              <w:pStyle w:val="16"/>
              <w:spacing w:before="40"/>
              <w:ind w:left="100" w:right="94"/>
              <w:rPr>
                <w:rFonts w:ascii="宋体"/>
                <w:sz w:val="21"/>
              </w:rPr>
            </w:pPr>
            <w:r>
              <w:rPr>
                <w:rFonts w:ascii="宋体"/>
                <w:spacing w:val="-2"/>
                <w:sz w:val="21"/>
              </w:rPr>
              <w:t>2.236</w:t>
            </w:r>
          </w:p>
        </w:tc>
        <w:tc>
          <w:tcPr>
            <w:tcW w:w="1110" w:type="dxa"/>
            <w:tcBorders>
              <w:top w:val="nil"/>
            </w:tcBorders>
          </w:tcPr>
          <w:p w14:paraId="1BFEA25B">
            <w:pPr>
              <w:pStyle w:val="16"/>
              <w:spacing w:before="40"/>
              <w:ind w:left="291"/>
              <w:jc w:val="left"/>
              <w:rPr>
                <w:rFonts w:ascii="宋体"/>
                <w:sz w:val="21"/>
              </w:rPr>
            </w:pPr>
            <w:r>
              <w:rPr>
                <w:rFonts w:ascii="宋体"/>
                <w:spacing w:val="-2"/>
                <w:sz w:val="21"/>
              </w:rPr>
              <w:t>2.021</w:t>
            </w:r>
          </w:p>
        </w:tc>
        <w:tc>
          <w:tcPr>
            <w:tcW w:w="898" w:type="dxa"/>
            <w:tcBorders>
              <w:top w:val="nil"/>
            </w:tcBorders>
          </w:tcPr>
          <w:p w14:paraId="74E99A06">
            <w:pPr>
              <w:pStyle w:val="16"/>
              <w:spacing w:before="40"/>
              <w:ind w:left="93" w:right="84"/>
              <w:rPr>
                <w:rFonts w:ascii="宋体"/>
                <w:sz w:val="21"/>
              </w:rPr>
            </w:pPr>
            <w:r>
              <w:rPr>
                <w:rFonts w:ascii="宋体"/>
                <w:spacing w:val="-2"/>
                <w:sz w:val="21"/>
              </w:rPr>
              <w:t>-</w:t>
            </w:r>
            <w:r>
              <w:rPr>
                <w:rFonts w:ascii="宋体"/>
                <w:spacing w:val="-10"/>
                <w:sz w:val="21"/>
              </w:rPr>
              <w:t>2</w:t>
            </w:r>
          </w:p>
        </w:tc>
        <w:tc>
          <w:tcPr>
            <w:tcW w:w="955" w:type="dxa"/>
            <w:tcBorders>
              <w:top w:val="nil"/>
            </w:tcBorders>
          </w:tcPr>
          <w:p w14:paraId="60A305DE">
            <w:pPr>
              <w:pStyle w:val="16"/>
              <w:spacing w:before="40"/>
              <w:ind w:left="147" w:right="142"/>
              <w:rPr>
                <w:rFonts w:ascii="宋体" w:eastAsia="宋体"/>
                <w:sz w:val="21"/>
              </w:rPr>
            </w:pPr>
            <w:r>
              <w:rPr>
                <w:rFonts w:ascii="宋体" w:eastAsia="宋体"/>
                <w:spacing w:val="-5"/>
                <w:sz w:val="21"/>
              </w:rPr>
              <w:t>约束性</w:t>
            </w:r>
          </w:p>
        </w:tc>
      </w:tr>
    </w:tbl>
    <w:tbl>
      <w:tblPr>
        <w:tblStyle w:val="12"/>
        <w:tblpPr w:leftFromText="180" w:rightFromText="180" w:vertAnchor="text" w:horzAnchor="page" w:tblpX="1715" w:tblpY="976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3604"/>
        <w:gridCol w:w="1418"/>
        <w:gridCol w:w="1110"/>
        <w:gridCol w:w="898"/>
        <w:gridCol w:w="955"/>
      </w:tblGrid>
      <w:tr w14:paraId="16C9B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538" w:type="dxa"/>
            <w:textDirection w:val="tbRlV"/>
            <w:vAlign w:val="center"/>
          </w:tcPr>
          <w:p w14:paraId="444A875C">
            <w:pPr>
              <w:pStyle w:val="16"/>
              <w:spacing w:before="0" w:line="204" w:lineRule="auto"/>
              <w:ind w:left="70" w:leftChars="0" w:right="113"/>
              <w:jc w:val="center"/>
              <w:rPr>
                <w:rFonts w:hint="eastAsia" w:ascii="黑体" w:hAnsi="黑体" w:eastAsia="黑体" w:cs="黑体"/>
                <w:sz w:val="21"/>
              </w:rPr>
            </w:pPr>
            <w:r>
              <w:rPr>
                <w:rFonts w:hint="eastAsia" w:ascii="黑体" w:hAnsi="黑体" w:eastAsia="黑体" w:cs="黑体"/>
                <w:spacing w:val="-7"/>
                <w:sz w:val="21"/>
              </w:rPr>
              <w:t>对外开放</w:t>
            </w:r>
          </w:p>
        </w:tc>
        <w:tc>
          <w:tcPr>
            <w:tcW w:w="3604" w:type="dxa"/>
          </w:tcPr>
          <w:p w14:paraId="0ED7E86B">
            <w:pPr>
              <w:pStyle w:val="16"/>
              <w:spacing w:before="0"/>
              <w:jc w:val="left"/>
              <w:rPr>
                <w:sz w:val="20"/>
              </w:rPr>
            </w:pPr>
          </w:p>
          <w:p w14:paraId="0D5AE276">
            <w:pPr>
              <w:pStyle w:val="16"/>
              <w:spacing w:before="132"/>
              <w:ind w:left="5"/>
              <w:jc w:val="left"/>
              <w:rPr>
                <w:rFonts w:ascii="宋体" w:eastAsia="宋体"/>
                <w:sz w:val="21"/>
              </w:rPr>
            </w:pPr>
            <w:r>
              <w:rPr>
                <w:rFonts w:ascii="宋体" w:eastAsia="宋体"/>
                <w:spacing w:val="-2"/>
                <w:sz w:val="21"/>
              </w:rPr>
              <w:t>外贸进出口总额（亿美元</w:t>
            </w:r>
            <w:r>
              <w:rPr>
                <w:rFonts w:ascii="宋体" w:eastAsia="宋体"/>
                <w:spacing w:val="-10"/>
                <w:sz w:val="21"/>
              </w:rPr>
              <w:t>）</w:t>
            </w:r>
          </w:p>
        </w:tc>
        <w:tc>
          <w:tcPr>
            <w:tcW w:w="1418" w:type="dxa"/>
          </w:tcPr>
          <w:p w14:paraId="796A7329">
            <w:pPr>
              <w:pStyle w:val="16"/>
              <w:spacing w:before="0"/>
              <w:jc w:val="left"/>
              <w:rPr>
                <w:sz w:val="20"/>
              </w:rPr>
            </w:pPr>
          </w:p>
          <w:p w14:paraId="1F9B3043">
            <w:pPr>
              <w:pStyle w:val="16"/>
              <w:spacing w:before="132"/>
              <w:ind w:left="102" w:right="93"/>
              <w:rPr>
                <w:rFonts w:ascii="宋体"/>
                <w:sz w:val="21"/>
              </w:rPr>
            </w:pPr>
            <w:r>
              <w:rPr>
                <w:rFonts w:ascii="宋体"/>
                <w:spacing w:val="-4"/>
                <w:sz w:val="21"/>
              </w:rPr>
              <w:t>0.22</w:t>
            </w:r>
          </w:p>
        </w:tc>
        <w:tc>
          <w:tcPr>
            <w:tcW w:w="1110" w:type="dxa"/>
          </w:tcPr>
          <w:p w14:paraId="577A479F">
            <w:pPr>
              <w:pStyle w:val="16"/>
              <w:spacing w:before="0"/>
              <w:jc w:val="left"/>
              <w:rPr>
                <w:sz w:val="20"/>
              </w:rPr>
            </w:pPr>
          </w:p>
          <w:p w14:paraId="16FBFF48">
            <w:pPr>
              <w:pStyle w:val="16"/>
              <w:spacing w:before="132"/>
              <w:ind w:left="276" w:right="266"/>
              <w:rPr>
                <w:rFonts w:ascii="宋体"/>
                <w:sz w:val="21"/>
              </w:rPr>
            </w:pPr>
            <w:r>
              <w:rPr>
                <w:rFonts w:ascii="宋体"/>
                <w:spacing w:val="-4"/>
                <w:sz w:val="21"/>
              </w:rPr>
              <w:t>1.17</w:t>
            </w:r>
          </w:p>
        </w:tc>
        <w:tc>
          <w:tcPr>
            <w:tcW w:w="898" w:type="dxa"/>
          </w:tcPr>
          <w:p w14:paraId="713D512B">
            <w:pPr>
              <w:pStyle w:val="16"/>
              <w:spacing w:before="0"/>
              <w:jc w:val="left"/>
              <w:rPr>
                <w:sz w:val="20"/>
              </w:rPr>
            </w:pPr>
          </w:p>
          <w:p w14:paraId="357B74F2">
            <w:pPr>
              <w:pStyle w:val="16"/>
              <w:spacing w:before="132"/>
              <w:ind w:left="343"/>
              <w:jc w:val="left"/>
              <w:rPr>
                <w:rFonts w:ascii="宋体"/>
                <w:sz w:val="21"/>
              </w:rPr>
            </w:pPr>
            <w:r>
              <w:rPr>
                <w:rFonts w:ascii="宋体"/>
                <w:spacing w:val="-5"/>
                <w:sz w:val="21"/>
              </w:rPr>
              <w:t>20</w:t>
            </w:r>
          </w:p>
        </w:tc>
        <w:tc>
          <w:tcPr>
            <w:tcW w:w="955" w:type="dxa"/>
          </w:tcPr>
          <w:p w14:paraId="525A0D16">
            <w:pPr>
              <w:pStyle w:val="16"/>
              <w:spacing w:before="0"/>
              <w:jc w:val="left"/>
              <w:rPr>
                <w:sz w:val="20"/>
              </w:rPr>
            </w:pPr>
          </w:p>
          <w:p w14:paraId="54081B35">
            <w:pPr>
              <w:pStyle w:val="16"/>
              <w:spacing w:before="132"/>
              <w:ind w:left="147" w:right="142"/>
              <w:rPr>
                <w:rFonts w:ascii="宋体" w:eastAsia="宋体"/>
                <w:sz w:val="21"/>
              </w:rPr>
            </w:pPr>
            <w:r>
              <w:rPr>
                <w:rFonts w:ascii="宋体" w:eastAsia="宋体"/>
                <w:spacing w:val="-5"/>
                <w:sz w:val="21"/>
              </w:rPr>
              <w:t>预期性</w:t>
            </w:r>
          </w:p>
        </w:tc>
      </w:tr>
      <w:tr w14:paraId="3FDB1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538" w:type="dxa"/>
            <w:vMerge w:val="restart"/>
            <w:textDirection w:val="tbRlV"/>
            <w:vAlign w:val="center"/>
          </w:tcPr>
          <w:p w14:paraId="171540E1">
            <w:pPr>
              <w:pStyle w:val="16"/>
              <w:spacing w:before="0" w:line="204" w:lineRule="auto"/>
              <w:ind w:left="317" w:leftChars="0" w:right="113"/>
              <w:jc w:val="center"/>
              <w:rPr>
                <w:rFonts w:hint="eastAsia" w:ascii="黑体" w:hAnsi="黑体" w:eastAsia="黑体" w:cs="黑体"/>
                <w:sz w:val="21"/>
              </w:rPr>
            </w:pPr>
            <w:r>
              <w:rPr>
                <w:rFonts w:hint="eastAsia" w:ascii="黑体" w:hAnsi="黑体" w:eastAsia="黑体" w:cs="黑体"/>
                <w:spacing w:val="-7"/>
                <w:sz w:val="21"/>
              </w:rPr>
              <w:t>人民生活</w:t>
            </w:r>
          </w:p>
        </w:tc>
        <w:tc>
          <w:tcPr>
            <w:tcW w:w="3604" w:type="dxa"/>
            <w:tcBorders>
              <w:bottom w:val="nil"/>
            </w:tcBorders>
          </w:tcPr>
          <w:p w14:paraId="1092F822">
            <w:pPr>
              <w:pStyle w:val="16"/>
              <w:spacing w:before="4"/>
              <w:jc w:val="left"/>
              <w:rPr>
                <w:sz w:val="21"/>
              </w:rPr>
            </w:pPr>
          </w:p>
          <w:p w14:paraId="1D39529C">
            <w:pPr>
              <w:pStyle w:val="16"/>
              <w:spacing w:before="0"/>
              <w:ind w:left="5"/>
              <w:jc w:val="left"/>
              <w:rPr>
                <w:rFonts w:ascii="宋体" w:eastAsia="宋体"/>
                <w:sz w:val="21"/>
              </w:rPr>
            </w:pPr>
            <w:r>
              <w:rPr>
                <w:rFonts w:ascii="宋体" w:eastAsia="宋体"/>
                <w:spacing w:val="-2"/>
                <w:sz w:val="21"/>
              </w:rPr>
              <w:t>城镇居民人均可支配收入（元</w:t>
            </w:r>
            <w:r>
              <w:rPr>
                <w:rFonts w:ascii="宋体" w:eastAsia="宋体"/>
                <w:spacing w:val="-10"/>
                <w:sz w:val="21"/>
              </w:rPr>
              <w:t>）</w:t>
            </w:r>
          </w:p>
        </w:tc>
        <w:tc>
          <w:tcPr>
            <w:tcW w:w="1418" w:type="dxa"/>
            <w:tcBorders>
              <w:bottom w:val="nil"/>
            </w:tcBorders>
          </w:tcPr>
          <w:p w14:paraId="6EDD994F">
            <w:pPr>
              <w:pStyle w:val="16"/>
              <w:spacing w:before="4"/>
              <w:jc w:val="left"/>
              <w:rPr>
                <w:sz w:val="21"/>
              </w:rPr>
            </w:pPr>
          </w:p>
          <w:p w14:paraId="5544075A">
            <w:pPr>
              <w:pStyle w:val="16"/>
              <w:spacing w:before="0"/>
              <w:ind w:left="102" w:right="93"/>
              <w:rPr>
                <w:rFonts w:ascii="宋体"/>
                <w:sz w:val="21"/>
              </w:rPr>
            </w:pPr>
            <w:r>
              <w:rPr>
                <w:rFonts w:ascii="宋体"/>
                <w:spacing w:val="-2"/>
                <w:sz w:val="21"/>
              </w:rPr>
              <w:t>13372</w:t>
            </w:r>
          </w:p>
        </w:tc>
        <w:tc>
          <w:tcPr>
            <w:tcW w:w="1110" w:type="dxa"/>
            <w:tcBorders>
              <w:bottom w:val="nil"/>
            </w:tcBorders>
          </w:tcPr>
          <w:p w14:paraId="432A8836">
            <w:pPr>
              <w:pStyle w:val="16"/>
              <w:spacing w:before="4"/>
              <w:jc w:val="left"/>
              <w:rPr>
                <w:sz w:val="21"/>
              </w:rPr>
            </w:pPr>
          </w:p>
          <w:p w14:paraId="16704655">
            <w:pPr>
              <w:pStyle w:val="16"/>
              <w:spacing w:before="0"/>
              <w:ind w:left="276" w:right="268"/>
              <w:rPr>
                <w:rFonts w:ascii="宋体"/>
                <w:sz w:val="21"/>
              </w:rPr>
            </w:pPr>
            <w:r>
              <w:rPr>
                <w:rFonts w:ascii="宋体"/>
                <w:spacing w:val="-2"/>
                <w:sz w:val="21"/>
              </w:rPr>
              <w:t>30592</w:t>
            </w:r>
          </w:p>
        </w:tc>
        <w:tc>
          <w:tcPr>
            <w:tcW w:w="898" w:type="dxa"/>
            <w:tcBorders>
              <w:bottom w:val="nil"/>
            </w:tcBorders>
          </w:tcPr>
          <w:p w14:paraId="74F97833">
            <w:pPr>
              <w:pStyle w:val="16"/>
              <w:spacing w:before="4"/>
              <w:jc w:val="left"/>
              <w:rPr>
                <w:sz w:val="21"/>
              </w:rPr>
            </w:pPr>
          </w:p>
          <w:p w14:paraId="093DE433">
            <w:pPr>
              <w:pStyle w:val="16"/>
              <w:spacing w:before="0"/>
              <w:ind w:left="343"/>
              <w:jc w:val="left"/>
              <w:rPr>
                <w:rFonts w:ascii="宋体"/>
                <w:sz w:val="21"/>
              </w:rPr>
            </w:pPr>
            <w:r>
              <w:rPr>
                <w:rFonts w:ascii="宋体"/>
                <w:spacing w:val="-5"/>
                <w:sz w:val="21"/>
              </w:rPr>
              <w:t>18</w:t>
            </w:r>
          </w:p>
        </w:tc>
        <w:tc>
          <w:tcPr>
            <w:tcW w:w="955" w:type="dxa"/>
            <w:tcBorders>
              <w:bottom w:val="nil"/>
            </w:tcBorders>
          </w:tcPr>
          <w:p w14:paraId="4DCC23FE">
            <w:pPr>
              <w:pStyle w:val="16"/>
              <w:spacing w:before="4"/>
              <w:jc w:val="left"/>
              <w:rPr>
                <w:sz w:val="21"/>
              </w:rPr>
            </w:pPr>
          </w:p>
          <w:p w14:paraId="09FDEB68">
            <w:pPr>
              <w:pStyle w:val="16"/>
              <w:spacing w:before="0"/>
              <w:ind w:left="147" w:right="142"/>
              <w:rPr>
                <w:rFonts w:ascii="宋体" w:eastAsia="宋体"/>
                <w:sz w:val="21"/>
              </w:rPr>
            </w:pPr>
            <w:r>
              <w:rPr>
                <w:rFonts w:ascii="宋体" w:eastAsia="宋体"/>
                <w:spacing w:val="-5"/>
                <w:sz w:val="21"/>
              </w:rPr>
              <w:t>预期性</w:t>
            </w:r>
          </w:p>
        </w:tc>
      </w:tr>
      <w:tr w14:paraId="4097D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38" w:type="dxa"/>
            <w:vMerge w:val="continue"/>
            <w:tcBorders>
              <w:top w:val="nil"/>
            </w:tcBorders>
            <w:textDirection w:val="tbRl"/>
          </w:tcPr>
          <w:p w14:paraId="31DB41CE">
            <w:pPr>
              <w:rPr>
                <w:sz w:val="2"/>
                <w:szCs w:val="2"/>
              </w:rPr>
            </w:pPr>
          </w:p>
        </w:tc>
        <w:tc>
          <w:tcPr>
            <w:tcW w:w="3604" w:type="dxa"/>
            <w:tcBorders>
              <w:top w:val="nil"/>
              <w:bottom w:val="nil"/>
            </w:tcBorders>
          </w:tcPr>
          <w:p w14:paraId="25B0E2C3">
            <w:pPr>
              <w:pStyle w:val="16"/>
              <w:spacing w:before="40"/>
              <w:ind w:left="5"/>
              <w:jc w:val="left"/>
              <w:rPr>
                <w:rFonts w:ascii="宋体" w:eastAsia="宋体"/>
                <w:sz w:val="21"/>
              </w:rPr>
            </w:pPr>
            <w:r>
              <w:rPr>
                <w:rFonts w:ascii="宋体" w:eastAsia="宋体"/>
                <w:spacing w:val="-2"/>
                <w:sz w:val="21"/>
              </w:rPr>
              <w:t>农牧民人均纯收入（元</w:t>
            </w:r>
            <w:r>
              <w:rPr>
                <w:rFonts w:ascii="宋体" w:eastAsia="宋体"/>
                <w:spacing w:val="-10"/>
                <w:sz w:val="21"/>
              </w:rPr>
              <w:t>）</w:t>
            </w:r>
          </w:p>
        </w:tc>
        <w:tc>
          <w:tcPr>
            <w:tcW w:w="1418" w:type="dxa"/>
            <w:tcBorders>
              <w:top w:val="nil"/>
              <w:bottom w:val="nil"/>
            </w:tcBorders>
          </w:tcPr>
          <w:p w14:paraId="5D178E08">
            <w:pPr>
              <w:pStyle w:val="16"/>
              <w:spacing w:before="40"/>
              <w:ind w:left="102" w:right="93"/>
              <w:rPr>
                <w:rFonts w:ascii="宋体"/>
                <w:sz w:val="21"/>
              </w:rPr>
            </w:pPr>
            <w:r>
              <w:rPr>
                <w:rFonts w:ascii="宋体"/>
                <w:spacing w:val="-4"/>
                <w:sz w:val="21"/>
              </w:rPr>
              <w:t>5934</w:t>
            </w:r>
          </w:p>
        </w:tc>
        <w:tc>
          <w:tcPr>
            <w:tcW w:w="1110" w:type="dxa"/>
            <w:tcBorders>
              <w:top w:val="nil"/>
              <w:bottom w:val="nil"/>
            </w:tcBorders>
          </w:tcPr>
          <w:p w14:paraId="7A2F63CA">
            <w:pPr>
              <w:pStyle w:val="16"/>
              <w:spacing w:before="40"/>
              <w:ind w:left="276" w:right="268"/>
              <w:rPr>
                <w:rFonts w:ascii="宋体"/>
                <w:sz w:val="21"/>
              </w:rPr>
            </w:pPr>
            <w:r>
              <w:rPr>
                <w:rFonts w:ascii="宋体"/>
                <w:spacing w:val="-2"/>
                <w:sz w:val="21"/>
              </w:rPr>
              <w:t>12000</w:t>
            </w:r>
          </w:p>
        </w:tc>
        <w:tc>
          <w:tcPr>
            <w:tcW w:w="898" w:type="dxa"/>
            <w:tcBorders>
              <w:top w:val="nil"/>
              <w:bottom w:val="nil"/>
            </w:tcBorders>
          </w:tcPr>
          <w:p w14:paraId="52D029DD">
            <w:pPr>
              <w:pStyle w:val="16"/>
              <w:spacing w:before="40"/>
              <w:ind w:left="343"/>
              <w:jc w:val="left"/>
              <w:rPr>
                <w:rFonts w:ascii="宋体"/>
                <w:sz w:val="21"/>
              </w:rPr>
            </w:pPr>
            <w:r>
              <w:rPr>
                <w:rFonts w:ascii="宋体"/>
                <w:spacing w:val="-5"/>
                <w:sz w:val="21"/>
              </w:rPr>
              <w:t>16</w:t>
            </w:r>
          </w:p>
        </w:tc>
        <w:tc>
          <w:tcPr>
            <w:tcW w:w="955" w:type="dxa"/>
            <w:tcBorders>
              <w:top w:val="nil"/>
              <w:bottom w:val="nil"/>
            </w:tcBorders>
          </w:tcPr>
          <w:p w14:paraId="3474485A">
            <w:pPr>
              <w:pStyle w:val="16"/>
              <w:spacing w:before="40"/>
              <w:ind w:left="147" w:right="142"/>
              <w:rPr>
                <w:rFonts w:ascii="宋体" w:eastAsia="宋体"/>
                <w:sz w:val="21"/>
              </w:rPr>
            </w:pPr>
            <w:r>
              <w:rPr>
                <w:rFonts w:ascii="宋体" w:eastAsia="宋体"/>
                <w:spacing w:val="-5"/>
                <w:sz w:val="21"/>
              </w:rPr>
              <w:t>预期性</w:t>
            </w:r>
          </w:p>
        </w:tc>
      </w:tr>
      <w:tr w14:paraId="15B9A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538" w:type="dxa"/>
            <w:vMerge w:val="continue"/>
            <w:tcBorders>
              <w:top w:val="nil"/>
            </w:tcBorders>
            <w:textDirection w:val="tbRl"/>
          </w:tcPr>
          <w:p w14:paraId="2B5FB872">
            <w:pPr>
              <w:rPr>
                <w:sz w:val="2"/>
                <w:szCs w:val="2"/>
              </w:rPr>
            </w:pPr>
          </w:p>
        </w:tc>
        <w:tc>
          <w:tcPr>
            <w:tcW w:w="3604" w:type="dxa"/>
            <w:tcBorders>
              <w:top w:val="nil"/>
            </w:tcBorders>
          </w:tcPr>
          <w:p w14:paraId="23EB9B8A">
            <w:pPr>
              <w:pStyle w:val="16"/>
              <w:spacing w:before="40"/>
              <w:ind w:left="5"/>
              <w:jc w:val="left"/>
              <w:rPr>
                <w:rFonts w:ascii="宋体" w:eastAsia="宋体"/>
                <w:sz w:val="21"/>
              </w:rPr>
            </w:pPr>
            <w:r>
              <w:rPr>
                <w:rFonts w:ascii="宋体" w:eastAsia="宋体"/>
                <w:spacing w:val="-2"/>
                <w:sz w:val="21"/>
              </w:rPr>
              <w:t>CPI</w:t>
            </w:r>
            <w:r>
              <w:rPr>
                <w:rFonts w:ascii="宋体" w:eastAsia="宋体"/>
                <w:spacing w:val="-18"/>
                <w:sz w:val="21"/>
              </w:rPr>
              <w:t xml:space="preserve"> 增幅</w:t>
            </w:r>
            <w:r>
              <w:rPr>
                <w:rFonts w:ascii="宋体" w:eastAsia="宋体"/>
                <w:spacing w:val="-5"/>
                <w:sz w:val="21"/>
              </w:rPr>
              <w:t>（%）</w:t>
            </w:r>
          </w:p>
        </w:tc>
        <w:tc>
          <w:tcPr>
            <w:tcW w:w="1418" w:type="dxa"/>
            <w:tcBorders>
              <w:top w:val="nil"/>
            </w:tcBorders>
          </w:tcPr>
          <w:p w14:paraId="62B20DC1">
            <w:pPr>
              <w:pStyle w:val="16"/>
              <w:spacing w:before="40"/>
              <w:ind w:left="9"/>
              <w:rPr>
                <w:rFonts w:ascii="宋体"/>
                <w:sz w:val="21"/>
              </w:rPr>
            </w:pPr>
            <w:r>
              <w:rPr>
                <w:rFonts w:ascii="宋体"/>
                <w:w w:val="99"/>
                <w:sz w:val="21"/>
              </w:rPr>
              <w:t>5</w:t>
            </w:r>
          </w:p>
        </w:tc>
        <w:tc>
          <w:tcPr>
            <w:tcW w:w="1110" w:type="dxa"/>
            <w:tcBorders>
              <w:top w:val="nil"/>
            </w:tcBorders>
          </w:tcPr>
          <w:p w14:paraId="5F5C8791">
            <w:pPr>
              <w:pStyle w:val="16"/>
              <w:spacing w:before="40"/>
              <w:ind w:left="6"/>
              <w:rPr>
                <w:rFonts w:ascii="宋体"/>
                <w:sz w:val="21"/>
              </w:rPr>
            </w:pPr>
            <w:r>
              <w:rPr>
                <w:rFonts w:ascii="宋体"/>
                <w:w w:val="99"/>
                <w:sz w:val="21"/>
              </w:rPr>
              <w:t>-</w:t>
            </w:r>
          </w:p>
        </w:tc>
        <w:tc>
          <w:tcPr>
            <w:tcW w:w="898" w:type="dxa"/>
            <w:tcBorders>
              <w:top w:val="nil"/>
            </w:tcBorders>
          </w:tcPr>
          <w:p w14:paraId="3DF482AA">
            <w:pPr>
              <w:pStyle w:val="16"/>
              <w:spacing w:before="40"/>
              <w:ind w:left="290"/>
              <w:jc w:val="left"/>
              <w:rPr>
                <w:rFonts w:ascii="宋体"/>
                <w:sz w:val="21"/>
              </w:rPr>
            </w:pPr>
            <w:r>
              <w:rPr>
                <w:rFonts w:ascii="宋体"/>
                <w:spacing w:val="-5"/>
                <w:sz w:val="21"/>
              </w:rPr>
              <w:t>4.0</w:t>
            </w:r>
          </w:p>
        </w:tc>
        <w:tc>
          <w:tcPr>
            <w:tcW w:w="955" w:type="dxa"/>
            <w:tcBorders>
              <w:top w:val="nil"/>
            </w:tcBorders>
          </w:tcPr>
          <w:p w14:paraId="7105B301">
            <w:pPr>
              <w:pStyle w:val="16"/>
              <w:spacing w:before="40"/>
              <w:ind w:left="147" w:right="142"/>
              <w:rPr>
                <w:rFonts w:ascii="宋体" w:eastAsia="宋体"/>
                <w:sz w:val="21"/>
              </w:rPr>
            </w:pPr>
            <w:r>
              <w:rPr>
                <w:rFonts w:ascii="宋体" w:eastAsia="宋体"/>
                <w:spacing w:val="-5"/>
                <w:sz w:val="21"/>
              </w:rPr>
              <w:t>预期性</w:t>
            </w:r>
          </w:p>
        </w:tc>
      </w:tr>
    </w:tbl>
    <w:p w14:paraId="7C31AF10">
      <w:pPr>
        <w:spacing w:after="0"/>
        <w:rPr>
          <w:sz w:val="20"/>
        </w:rPr>
      </w:pPr>
      <w:r>
        <w:rPr>
          <w:rFonts w:hint="eastAsia"/>
          <w:sz w:val="7"/>
          <w:lang w:val="en-US" w:eastAsia="zh-CN"/>
        </w:rPr>
        <w:t xml:space="preserve">      </w:t>
      </w:r>
      <w:r>
        <w:rPr>
          <w:sz w:val="20"/>
        </w:rPr>
        <mc:AlternateContent>
          <mc:Choice Requires="wps">
            <w:drawing>
              <wp:inline distT="0" distB="0" distL="114300" distR="114300">
                <wp:extent cx="5372100" cy="1038225"/>
                <wp:effectExtent l="4445" t="5080" r="14605" b="4445"/>
                <wp:docPr id="1" name="docshape11"/>
                <wp:cNvGraphicFramePr/>
                <a:graphic xmlns:a="http://schemas.openxmlformats.org/drawingml/2006/main">
                  <a:graphicData uri="http://schemas.microsoft.com/office/word/2010/wordprocessingShape">
                    <wps:wsp>
                      <wps:cNvSpPr txBox="1"/>
                      <wps:spPr>
                        <a:xfrm>
                          <a:off x="0" y="0"/>
                          <a:ext cx="5372100" cy="1038225"/>
                        </a:xfrm>
                        <a:prstGeom prst="rect">
                          <a:avLst/>
                        </a:prstGeom>
                        <a:noFill/>
                        <a:ln w="6096" cap="flat" cmpd="sng">
                          <a:solidFill>
                            <a:srgbClr val="000000"/>
                          </a:solidFill>
                          <a:prstDash val="solid"/>
                          <a:miter/>
                          <a:headEnd type="none" w="med" len="med"/>
                          <a:tailEnd type="none" w="med" len="med"/>
                        </a:ln>
                      </wps:spPr>
                      <wps:txbx>
                        <w:txbxContent>
                          <w:p w14:paraId="6659F775">
                            <w:pPr>
                              <w:spacing w:before="98"/>
                              <w:ind w:left="2763" w:right="2764" w:firstLine="0"/>
                              <w:jc w:val="center"/>
                              <w:rPr>
                                <w:rFonts w:hint="eastAsia" w:ascii="黑体" w:eastAsia="黑体"/>
                                <w:b/>
                                <w:sz w:val="21"/>
                              </w:rPr>
                            </w:pPr>
                            <w:r>
                              <w:rPr>
                                <w:rFonts w:hint="eastAsia" w:ascii="黑体" w:eastAsia="黑体"/>
                                <w:b/>
                                <w:spacing w:val="-17"/>
                                <w:sz w:val="21"/>
                              </w:rPr>
                              <w:t xml:space="preserve">专栏 </w:t>
                            </w:r>
                            <w:r>
                              <w:rPr>
                                <w:rFonts w:hint="eastAsia" w:ascii="黑体" w:eastAsia="黑体"/>
                                <w:b/>
                                <w:sz w:val="21"/>
                              </w:rPr>
                              <w:t>2-2</w:t>
                            </w:r>
                            <w:r>
                              <w:rPr>
                                <w:rFonts w:hint="eastAsia" w:ascii="黑体" w:eastAsia="黑体"/>
                                <w:b/>
                                <w:spacing w:val="42"/>
                                <w:w w:val="150"/>
                                <w:sz w:val="21"/>
                              </w:rPr>
                              <w:t xml:space="preserve"> </w:t>
                            </w:r>
                            <w:r>
                              <w:rPr>
                                <w:rFonts w:hint="eastAsia" w:ascii="黑体" w:eastAsia="黑体"/>
                                <w:b/>
                                <w:sz w:val="21"/>
                              </w:rPr>
                              <w:t>九大基</w:t>
                            </w:r>
                            <w:r>
                              <w:rPr>
                                <w:rFonts w:hint="eastAsia" w:ascii="黑体" w:eastAsia="黑体"/>
                                <w:b/>
                                <w:spacing w:val="-10"/>
                                <w:sz w:val="21"/>
                              </w:rPr>
                              <w:t>地</w:t>
                            </w:r>
                          </w:p>
                          <w:p w14:paraId="7215D193">
                            <w:pPr>
                              <w:spacing w:before="0" w:line="298" w:lineRule="auto"/>
                              <w:ind w:left="586" w:right="0" w:firstLine="0"/>
                              <w:jc w:val="left"/>
                              <w:rPr>
                                <w:rFonts w:hint="eastAsia" w:ascii="黑体" w:eastAsia="黑体"/>
                                <w:b/>
                                <w:sz w:val="21"/>
                              </w:rPr>
                            </w:pPr>
                            <w:r>
                              <w:rPr>
                                <w:rFonts w:hint="eastAsia" w:ascii="黑体" w:eastAsia="黑体"/>
                                <w:b/>
                                <w:spacing w:val="-6"/>
                                <w:sz w:val="21"/>
                              </w:rPr>
                              <w:t>九大基地：</w:t>
                            </w:r>
                          </w:p>
                          <w:p w14:paraId="17A4AE47">
                            <w:pPr>
                              <w:spacing w:before="0" w:line="298" w:lineRule="auto"/>
                              <w:ind w:left="103" w:right="102" w:firstLine="482"/>
                              <w:jc w:val="left"/>
                              <w:rPr>
                                <w:rFonts w:ascii="宋体" w:eastAsia="宋体"/>
                                <w:sz w:val="21"/>
                              </w:rPr>
                            </w:pPr>
                            <w:r>
                              <w:rPr>
                                <w:rFonts w:ascii="宋体" w:eastAsia="宋体"/>
                                <w:spacing w:val="-2"/>
                                <w:sz w:val="21"/>
                              </w:rPr>
                              <w:t>国家煤电、风电、光电和煤炭生产外运基地，西北重要的综合交通物流基地和煤化工示范基地，新疆重要的煤电冶基地、新型先进制造业基地和绿色食品生产加工基地。</w:t>
                            </w:r>
                          </w:p>
                        </w:txbxContent>
                      </wps:txbx>
                      <wps:bodyPr lIns="0" tIns="0" rIns="0" bIns="0" upright="1"/>
                    </wps:wsp>
                  </a:graphicData>
                </a:graphic>
              </wp:inline>
            </w:drawing>
          </mc:Choice>
          <mc:Fallback>
            <w:pict>
              <v:shape id="docshape11" o:spid="_x0000_s1026" o:spt="202" type="#_x0000_t202" style="height:81.75pt;width:423pt;" filled="f" stroked="t" coordsize="21600,21600" o:gfxdata="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TzW+7TAAAABQEAAA8AAAAAAAAAAQAgAAAAIgAAAGRycy9kb3du&#10;cmV2LnhtbFBLAQIUABQAAAAIAIdO4kDbFe1aBAIAADEEAAAOAAAAAAAAAAEAIAAAACIBAABkcnMv&#10;ZTJvRG9jLnhtbFBLBQYAAAAABgAGAFkBAACYBQAAAAA=&#10;">
                <v:fill on="f" focussize="0,0"/>
                <v:stroke weight="0.48pt" color="#000000" joinstyle="miter"/>
                <v:imagedata o:title=""/>
                <o:lock v:ext="edit" aspectratio="f"/>
                <v:textbox inset="0mm,0mm,0mm,0mm">
                  <w:txbxContent>
                    <w:p w14:paraId="6659F775">
                      <w:pPr>
                        <w:spacing w:before="98"/>
                        <w:ind w:left="2763" w:right="2764" w:firstLine="0"/>
                        <w:jc w:val="center"/>
                        <w:rPr>
                          <w:rFonts w:hint="eastAsia" w:ascii="黑体" w:eastAsia="黑体"/>
                          <w:b/>
                          <w:sz w:val="21"/>
                        </w:rPr>
                      </w:pPr>
                      <w:r>
                        <w:rPr>
                          <w:rFonts w:hint="eastAsia" w:ascii="黑体" w:eastAsia="黑体"/>
                          <w:b/>
                          <w:spacing w:val="-17"/>
                          <w:sz w:val="21"/>
                        </w:rPr>
                        <w:t xml:space="preserve">专栏 </w:t>
                      </w:r>
                      <w:r>
                        <w:rPr>
                          <w:rFonts w:hint="eastAsia" w:ascii="黑体" w:eastAsia="黑体"/>
                          <w:b/>
                          <w:sz w:val="21"/>
                        </w:rPr>
                        <w:t>2-2</w:t>
                      </w:r>
                      <w:r>
                        <w:rPr>
                          <w:rFonts w:hint="eastAsia" w:ascii="黑体" w:eastAsia="黑体"/>
                          <w:b/>
                          <w:spacing w:val="42"/>
                          <w:w w:val="150"/>
                          <w:sz w:val="21"/>
                        </w:rPr>
                        <w:t xml:space="preserve"> </w:t>
                      </w:r>
                      <w:r>
                        <w:rPr>
                          <w:rFonts w:hint="eastAsia" w:ascii="黑体" w:eastAsia="黑体"/>
                          <w:b/>
                          <w:sz w:val="21"/>
                        </w:rPr>
                        <w:t>九大基</w:t>
                      </w:r>
                      <w:r>
                        <w:rPr>
                          <w:rFonts w:hint="eastAsia" w:ascii="黑体" w:eastAsia="黑体"/>
                          <w:b/>
                          <w:spacing w:val="-10"/>
                          <w:sz w:val="21"/>
                        </w:rPr>
                        <w:t>地</w:t>
                      </w:r>
                    </w:p>
                    <w:p w14:paraId="7215D193">
                      <w:pPr>
                        <w:spacing w:before="0" w:line="298" w:lineRule="auto"/>
                        <w:ind w:left="586" w:right="0" w:firstLine="0"/>
                        <w:jc w:val="left"/>
                        <w:rPr>
                          <w:rFonts w:hint="eastAsia" w:ascii="黑体" w:eastAsia="黑体"/>
                          <w:b/>
                          <w:sz w:val="21"/>
                        </w:rPr>
                      </w:pPr>
                      <w:r>
                        <w:rPr>
                          <w:rFonts w:hint="eastAsia" w:ascii="黑体" w:eastAsia="黑体"/>
                          <w:b/>
                          <w:spacing w:val="-6"/>
                          <w:sz w:val="21"/>
                        </w:rPr>
                        <w:t>九大基地：</w:t>
                      </w:r>
                    </w:p>
                    <w:p w14:paraId="17A4AE47">
                      <w:pPr>
                        <w:spacing w:before="0" w:line="298" w:lineRule="auto"/>
                        <w:ind w:left="103" w:right="102" w:firstLine="482"/>
                        <w:jc w:val="left"/>
                        <w:rPr>
                          <w:rFonts w:ascii="宋体" w:eastAsia="宋体"/>
                          <w:sz w:val="21"/>
                        </w:rPr>
                      </w:pPr>
                      <w:r>
                        <w:rPr>
                          <w:rFonts w:ascii="宋体" w:eastAsia="宋体"/>
                          <w:spacing w:val="-2"/>
                          <w:sz w:val="21"/>
                        </w:rPr>
                        <w:t>国家煤电、风电、光电和煤炭生产外运基地，西北重要的综合交通物流基地和煤化工示范基地，新疆重要的煤电冶基地、新型先进制造业基地和绿色食品生产加工基地。</w:t>
                      </w:r>
                    </w:p>
                  </w:txbxContent>
                </v:textbox>
                <w10:wrap type="none"/>
                <w10:anchorlock/>
              </v:shape>
            </w:pict>
          </mc:Fallback>
        </mc:AlternateContent>
      </w:r>
    </w:p>
    <w:p w14:paraId="076A0B85">
      <w:pPr>
        <w:spacing w:after="0"/>
        <w:rPr>
          <w:lang w:val="en-US" w:eastAsia="zh-CN"/>
        </w:rPr>
      </w:pPr>
    </w:p>
    <w:p w14:paraId="754FB996">
      <w:pPr>
        <w:spacing w:before="70" w:line="278" w:lineRule="auto"/>
        <w:ind w:left="221" w:right="544" w:firstLine="0"/>
        <w:jc w:val="left"/>
        <w:rPr>
          <w:sz w:val="21"/>
        </w:rPr>
      </w:pPr>
      <w:r>
        <w:rPr>
          <w:spacing w:val="-10"/>
          <w:sz w:val="21"/>
        </w:rPr>
        <w:t xml:space="preserve">注：产值以 </w:t>
      </w:r>
      <w:r>
        <w:rPr>
          <w:spacing w:val="-4"/>
          <w:sz w:val="21"/>
        </w:rPr>
        <w:t>2010</w:t>
      </w:r>
      <w:r>
        <w:rPr>
          <w:spacing w:val="-13"/>
          <w:sz w:val="21"/>
        </w:rPr>
        <w:t xml:space="preserve"> 年价格</w:t>
      </w:r>
      <w:r>
        <w:rPr>
          <w:spacing w:val="-4"/>
          <w:sz w:val="21"/>
        </w:rPr>
        <w:t>计算，增速以不变价计算。预期性指标是体现政府的发展导向并努力</w:t>
      </w:r>
      <w:r>
        <w:rPr>
          <w:spacing w:val="-2"/>
          <w:sz w:val="21"/>
        </w:rPr>
        <w:t>争取实现的指标，约束性指标是体现政府公共职责和工作要求并确保实现的指标。</w:t>
      </w:r>
    </w:p>
    <w:p w14:paraId="541A97AB">
      <w:pPr>
        <w:tabs>
          <w:tab w:val="left" w:pos="412"/>
        </w:tabs>
        <w:spacing w:after="0"/>
        <w:rPr>
          <w:lang w:val="en-US" w:eastAsia="zh-CN"/>
        </w:rPr>
        <w:sectPr>
          <w:footerReference r:id="rId13" w:type="default"/>
          <w:footerReference r:id="rId14" w:type="even"/>
          <w:pgSz w:w="11910" w:h="16840"/>
          <w:pgMar w:top="1540" w:right="1260" w:bottom="1180" w:left="1480" w:header="0" w:footer="993" w:gutter="0"/>
          <w:pgNumType w:fmt="decimal"/>
          <w:cols w:space="720" w:num="1"/>
        </w:sectPr>
      </w:pPr>
    </w:p>
    <w:p w14:paraId="02E0090C">
      <w:pPr>
        <w:pStyle w:val="5"/>
        <w:spacing w:before="3"/>
        <w:ind w:left="0"/>
        <w:rPr>
          <w:sz w:val="10"/>
        </w:rPr>
      </w:pPr>
      <w:bookmarkStart w:id="28" w:name="第一节  强化园区分工协作，加快产业集约集聚"/>
      <w:bookmarkEnd w:id="28"/>
      <w:bookmarkStart w:id="29" w:name="_bookmark7"/>
      <w:bookmarkEnd w:id="29"/>
    </w:p>
    <w:p w14:paraId="3FFDE4D3">
      <w:pPr>
        <w:pStyle w:val="2"/>
        <w:tabs>
          <w:tab w:val="left" w:pos="1348"/>
        </w:tabs>
        <w:ind w:right="0"/>
        <w:jc w:val="center"/>
      </w:pPr>
      <w:bookmarkStart w:id="30" w:name="_Toc1033297024"/>
      <w:bookmarkStart w:id="31" w:name="_Toc1565651412"/>
      <w:bookmarkStart w:id="32" w:name="_Toc19147"/>
      <w:bookmarkStart w:id="33" w:name="_Toc1189667027"/>
      <w:r>
        <w:t>第三</w:t>
      </w:r>
      <w:r>
        <w:rPr>
          <w:spacing w:val="-10"/>
        </w:rPr>
        <w:t>章</w:t>
      </w:r>
      <w:r>
        <w:tab/>
      </w:r>
      <w:bookmarkStart w:id="34" w:name="_bookmark8"/>
      <w:bookmarkEnd w:id="34"/>
      <w:bookmarkStart w:id="35" w:name="第三章  优化经济发展格局，推进产业协调发展"/>
      <w:bookmarkEnd w:id="35"/>
      <w:r>
        <w:t>优化经济发展格局，推进产业协调发</w:t>
      </w:r>
      <w:r>
        <w:rPr>
          <w:spacing w:val="-10"/>
        </w:rPr>
        <w:t>展</w:t>
      </w:r>
      <w:bookmarkEnd w:id="30"/>
      <w:bookmarkEnd w:id="31"/>
      <w:bookmarkEnd w:id="32"/>
      <w:bookmarkEnd w:id="33"/>
    </w:p>
    <w:p w14:paraId="62106900">
      <w:pPr>
        <w:pStyle w:val="5"/>
        <w:spacing w:before="5"/>
        <w:ind w:left="0"/>
        <w:rPr>
          <w:rFonts w:ascii="黑体"/>
          <w:sz w:val="33"/>
        </w:rPr>
      </w:pPr>
    </w:p>
    <w:p w14:paraId="493DD891">
      <w:pPr>
        <w:pStyle w:val="5"/>
        <w:spacing w:line="363" w:lineRule="auto"/>
        <w:ind w:left="0" w:right="0" w:firstLine="536" w:firstLineChars="200"/>
        <w:jc w:val="both"/>
      </w:pPr>
      <w:r>
        <w:rPr>
          <w:spacing w:val="-6"/>
        </w:rPr>
        <w:t>根据地区南北差异和产业差异特点，按照“比较优势、特色突出”的原则，确定产业分工，优化产业布局，发挥哈密市的辐射带动作用，</w:t>
      </w:r>
      <w:r>
        <w:rPr>
          <w:spacing w:val="-2"/>
        </w:rPr>
        <w:t>促进哈密市与巴里坤县和伊吾县之间的协调配合，形成地区合理的经济发展新格局。</w:t>
      </w:r>
    </w:p>
    <w:p w14:paraId="562C7489">
      <w:pPr>
        <w:pStyle w:val="5"/>
        <w:spacing w:line="363" w:lineRule="auto"/>
        <w:ind w:left="0" w:right="0" w:firstLine="536" w:firstLineChars="200"/>
        <w:jc w:val="both"/>
        <w:rPr>
          <w:spacing w:val="-6"/>
        </w:rPr>
      </w:pPr>
      <w:r>
        <w:rPr>
          <w:spacing w:val="-6"/>
        </w:rPr>
        <w:t>结合地区自然地域空间分布特点，以区域目前的人口和产业分布为基础进一步优化，哈密地区的区域经济格局形成沿G30 国道、S302省道、S303 省道为发展带的“一主、三副、两带、五片区”空间格局。以哈密市为核心，发挥人口和产业综合集聚优势；以巴里坤、伊吾和三道岭为副中心，作为次一级人口和产业集聚中心，形成以能源工业、旅游业、畜牧业为主的区域经济增长点；优化发展“中部绿洲产业综合发展带”和“东天山生态农业与旅游发展带”，形成以现代农牧业，二、三产业综合发展的经济区域；集聚发展哈密市大南湖、沙尔湖，巴里坤县三塘湖、西部矿区，伊吾县淖毛湖五大工矿区，形成荒漠矿业发展格局。</w:t>
      </w:r>
    </w:p>
    <w:p w14:paraId="5BDC02AC">
      <w:pPr>
        <w:pStyle w:val="3"/>
        <w:spacing w:before="113"/>
        <w:ind w:left="0" w:right="0"/>
        <w:rPr>
          <w:i w:val="0"/>
          <w:iCs w:val="0"/>
        </w:rPr>
      </w:pPr>
      <w:bookmarkStart w:id="36" w:name="_Toc24615"/>
      <w:bookmarkStart w:id="37" w:name="_Toc1214210983"/>
      <w:bookmarkStart w:id="38" w:name="_Toc1902850378"/>
      <w:bookmarkStart w:id="39" w:name="_Toc490697181"/>
      <w:r>
        <w:rPr>
          <w:i w:val="0"/>
          <w:iCs w:val="0"/>
        </w:rPr>
        <w:t>第一</w:t>
      </w:r>
      <w:r>
        <w:rPr>
          <w:i w:val="0"/>
          <w:iCs w:val="0"/>
          <w:spacing w:val="24"/>
        </w:rPr>
        <w:t>节 强</w:t>
      </w:r>
      <w:r>
        <w:rPr>
          <w:i w:val="0"/>
          <w:iCs w:val="0"/>
        </w:rPr>
        <w:t>化园区分工协作，加快产业集约集</w:t>
      </w:r>
      <w:r>
        <w:rPr>
          <w:i w:val="0"/>
          <w:iCs w:val="0"/>
          <w:spacing w:val="-10"/>
        </w:rPr>
        <w:t>聚</w:t>
      </w:r>
      <w:bookmarkEnd w:id="36"/>
      <w:bookmarkEnd w:id="37"/>
      <w:bookmarkEnd w:id="38"/>
      <w:bookmarkEnd w:id="39"/>
    </w:p>
    <w:p w14:paraId="1433E639">
      <w:pPr>
        <w:pStyle w:val="5"/>
        <w:spacing w:before="11"/>
        <w:ind w:left="0"/>
        <w:jc w:val="both"/>
        <w:rPr>
          <w:rFonts w:ascii="楷体_GB2312"/>
          <w:b/>
          <w:i/>
          <w:sz w:val="31"/>
        </w:rPr>
      </w:pPr>
    </w:p>
    <w:p w14:paraId="457FC4E5">
      <w:pPr>
        <w:pStyle w:val="5"/>
        <w:spacing w:before="0" w:line="363" w:lineRule="auto"/>
        <w:ind w:left="0" w:right="0" w:firstLine="536" w:firstLineChars="200"/>
        <w:jc w:val="both"/>
        <w:rPr>
          <w:spacing w:val="-6"/>
        </w:rPr>
      </w:pPr>
      <w:r>
        <w:rPr>
          <w:spacing w:val="-6"/>
        </w:rPr>
        <w:t>围绕重点优势产业，加快产业布局调整，按照“矿业进基地、加工入园区”的原则，发展特色产业、引进核心企业、打造产业链条、培育产业集群，积极引导优势产业入园，增强园区的产业集聚效应，实现园区产业的专业化、配套化、特色化、规模化、集约化发展。</w:t>
      </w:r>
    </w:p>
    <w:p w14:paraId="102ED943">
      <w:pPr>
        <w:pStyle w:val="5"/>
        <w:spacing w:before="0" w:line="363" w:lineRule="auto"/>
        <w:ind w:left="0" w:right="0" w:firstLine="536" w:firstLineChars="200"/>
        <w:jc w:val="both"/>
        <w:rPr>
          <w:spacing w:val="-6"/>
        </w:rPr>
      </w:pPr>
      <w:r>
        <w:rPr>
          <w:spacing w:val="-6"/>
        </w:rPr>
        <w:t>围绕煤炭、煤电、煤化工项目建设，不断延伸产业链，提高产品深加工能力和“三废”利用水平，着力打造循环经济园区。“十二五”期间，积极争取将哈密工业园区建设成为国家级工业园区，将巴里坤三塘湖工业园区和伊吾淖毛湖工业园区建设成为自治区级工业园区。</w:t>
      </w:r>
    </w:p>
    <w:p w14:paraId="09562969">
      <w:pPr>
        <w:spacing w:line="360" w:lineRule="auto"/>
        <w:ind w:left="918"/>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一、哈密工业园</w:t>
      </w:r>
      <w:r>
        <w:rPr>
          <w:rFonts w:hint="eastAsia" w:ascii="仿宋_GB2312" w:eastAsia="仿宋_GB2312"/>
          <w:b/>
          <w:bCs/>
          <w:i w:val="0"/>
          <w:iCs w:val="0"/>
          <w:spacing w:val="-10"/>
          <w:sz w:val="28"/>
          <w:szCs w:val="28"/>
        </w:rPr>
        <w:t>区</w:t>
      </w:r>
    </w:p>
    <w:p w14:paraId="07572371">
      <w:pPr>
        <w:pStyle w:val="5"/>
        <w:spacing w:before="0" w:line="360" w:lineRule="auto"/>
        <w:ind w:left="0" w:firstLine="559"/>
        <w:jc w:val="both"/>
      </w:pPr>
      <w:r>
        <w:rPr>
          <w:spacing w:val="-2"/>
        </w:rPr>
        <w:t>（一）广东工业加工区。进一步加大建设投入，不断完善供电、</w:t>
      </w:r>
      <w:r>
        <w:rPr>
          <w:spacing w:val="-6"/>
        </w:rPr>
        <w:t>供水、道路等规划建设。重点发展轻工、装备制造业（电子器件组装、</w:t>
      </w:r>
      <w:r>
        <w:rPr>
          <w:spacing w:val="-2"/>
        </w:rPr>
        <w:t>风光电设备制造、矿山机械制造、煤炭机械设备制造、高低压配电设备组装</w:t>
      </w:r>
      <w:r>
        <w:rPr>
          <w:spacing w:val="-142"/>
        </w:rPr>
        <w:t>）</w:t>
      </w:r>
      <w:r>
        <w:rPr>
          <w:spacing w:val="-2"/>
        </w:rPr>
        <w:t>、高新技术产业、农副产品精深加工（有机食品加工、乳制品</w:t>
      </w:r>
      <w:r>
        <w:t>加工、大枣系列加工、葡萄和哈密瓜储存加工）</w:t>
      </w:r>
      <w:r>
        <w:rPr>
          <w:spacing w:val="-5"/>
        </w:rPr>
        <w:t xml:space="preserve">等产业链。到 </w:t>
      </w:r>
      <w:r>
        <w:t>2015</w:t>
      </w:r>
      <w:r>
        <w:rPr>
          <w:spacing w:val="-8"/>
        </w:rPr>
        <w:t xml:space="preserve">年，电子产品及其组装件 </w:t>
      </w:r>
      <w:r>
        <w:rPr>
          <w:spacing w:val="-2"/>
        </w:rPr>
        <w:t>250</w:t>
      </w:r>
      <w:r>
        <w:rPr>
          <w:spacing w:val="-16"/>
        </w:rPr>
        <w:t xml:space="preserve"> 万件，多晶硅生产能力 </w:t>
      </w:r>
      <w:r>
        <w:rPr>
          <w:spacing w:val="-2"/>
        </w:rPr>
        <w:t>1</w:t>
      </w:r>
      <w:r>
        <w:rPr>
          <w:spacing w:val="-14"/>
        </w:rPr>
        <w:t xml:space="preserve"> 万吨，风机装</w:t>
      </w:r>
      <w:r>
        <w:rPr>
          <w:spacing w:val="-11"/>
        </w:rPr>
        <w:t xml:space="preserve">备制造能力达到 </w:t>
      </w:r>
      <w:r>
        <w:rPr>
          <w:spacing w:val="-2"/>
        </w:rPr>
        <w:t>600</w:t>
      </w:r>
      <w:r>
        <w:rPr>
          <w:spacing w:val="-16"/>
        </w:rPr>
        <w:t xml:space="preserve"> 万千瓦，肉丛蓉切片 </w:t>
      </w:r>
      <w:r>
        <w:rPr>
          <w:spacing w:val="-2"/>
        </w:rPr>
        <w:t>700</w:t>
      </w:r>
      <w:r>
        <w:rPr>
          <w:spacing w:val="-27"/>
        </w:rPr>
        <w:t xml:space="preserve"> 吨。</w:t>
      </w:r>
    </w:p>
    <w:p w14:paraId="2057D10E">
      <w:pPr>
        <w:pStyle w:val="5"/>
        <w:spacing w:before="0" w:line="360" w:lineRule="auto"/>
        <w:ind w:left="0" w:firstLine="559"/>
        <w:jc w:val="both"/>
      </w:pPr>
      <w:r>
        <w:rPr>
          <w:spacing w:val="-2"/>
        </w:rPr>
        <w:t>（二）重工业加工区。按照总体规划，分步实施，滚动发展的原则，加大基础设施建设的投入，进一步完善供水、供电、道路等基础设施建设。重点发展黑色及有色金属加工冶炼等金属材料制造业、非</w:t>
      </w:r>
      <w:r>
        <w:rPr>
          <w:spacing w:val="-4"/>
        </w:rPr>
        <w:t xml:space="preserve">金属资源深加工、建材、仓储、物流等。到 </w:t>
      </w:r>
      <w:r>
        <w:t>2015</w:t>
      </w:r>
      <w:r>
        <w:rPr>
          <w:spacing w:val="-25"/>
        </w:rPr>
        <w:t xml:space="preserve"> 年，球团 </w:t>
      </w:r>
      <w:r>
        <w:t>350</w:t>
      </w:r>
      <w:r>
        <w:rPr>
          <w:spacing w:val="-18"/>
        </w:rPr>
        <w:t xml:space="preserve"> 万吨、</w:t>
      </w:r>
      <w:r>
        <w:rPr>
          <w:spacing w:val="-17"/>
        </w:rPr>
        <w:t xml:space="preserve">铁合金 </w:t>
      </w:r>
      <w:r>
        <w:t>170</w:t>
      </w:r>
      <w:r>
        <w:rPr>
          <w:spacing w:val="-14"/>
        </w:rPr>
        <w:t xml:space="preserve"> 万吨、金属铜及其制品 </w:t>
      </w:r>
      <w:r>
        <w:t>5</w:t>
      </w:r>
      <w:r>
        <w:rPr>
          <w:spacing w:val="-18"/>
        </w:rPr>
        <w:t xml:space="preserve"> 万吨，工业硅 </w:t>
      </w:r>
      <w:r>
        <w:t>20</w:t>
      </w:r>
      <w:r>
        <w:rPr>
          <w:spacing w:val="-21"/>
        </w:rPr>
        <w:t xml:space="preserve"> 万吨金属镁 </w:t>
      </w:r>
      <w:r>
        <w:rPr>
          <w:spacing w:val="-5"/>
        </w:rPr>
        <w:t>15</w:t>
      </w:r>
      <w:r>
        <w:rPr>
          <w:spacing w:val="-14"/>
        </w:rPr>
        <w:t xml:space="preserve">万吨，玻璃 </w:t>
      </w:r>
      <w:r>
        <w:rPr>
          <w:spacing w:val="-2"/>
        </w:rPr>
        <w:t>600</w:t>
      </w:r>
      <w:r>
        <w:rPr>
          <w:spacing w:val="-20"/>
        </w:rPr>
        <w:t xml:space="preserve"> 万重箱，水泥 </w:t>
      </w:r>
      <w:r>
        <w:rPr>
          <w:spacing w:val="-2"/>
        </w:rPr>
        <w:t>600</w:t>
      </w:r>
      <w:r>
        <w:rPr>
          <w:spacing w:val="-21"/>
        </w:rPr>
        <w:t xml:space="preserve"> 万吨。</w:t>
      </w:r>
    </w:p>
    <w:p w14:paraId="4E9CE293">
      <w:pPr>
        <w:pStyle w:val="5"/>
        <w:spacing w:before="0" w:line="360" w:lineRule="auto"/>
        <w:ind w:left="0" w:firstLine="559"/>
        <w:jc w:val="both"/>
      </w:pPr>
      <w:r>
        <w:rPr>
          <w:spacing w:val="-2"/>
        </w:rPr>
        <w:t>（三）骆驼圈子加工区。加快加工区规划建设，强化基础设施建</w:t>
      </w:r>
      <w:r>
        <w:rPr>
          <w:spacing w:val="-5"/>
        </w:rPr>
        <w:t xml:space="preserve">设，重点发展有色及黑色金属选冶产业、石材加工业等。到 </w:t>
      </w:r>
      <w:r>
        <w:rPr>
          <w:spacing w:val="-2"/>
        </w:rPr>
        <w:t>2015</w:t>
      </w:r>
      <w:r>
        <w:rPr>
          <w:spacing w:val="-25"/>
        </w:rPr>
        <w:t xml:space="preserve"> 年，</w:t>
      </w:r>
      <w:r>
        <w:rPr>
          <w:spacing w:val="-22"/>
        </w:rPr>
        <w:t xml:space="preserve">金属镍 </w:t>
      </w:r>
      <w:r>
        <w:rPr>
          <w:spacing w:val="-6"/>
        </w:rPr>
        <w:t>3</w:t>
      </w:r>
      <w:r>
        <w:rPr>
          <w:spacing w:val="-24"/>
        </w:rPr>
        <w:t xml:space="preserve"> 万吨、高冰镍 </w:t>
      </w:r>
      <w:r>
        <w:rPr>
          <w:spacing w:val="-6"/>
        </w:rPr>
        <w:t>3</w:t>
      </w:r>
      <w:r>
        <w:rPr>
          <w:spacing w:val="-24"/>
        </w:rPr>
        <w:t xml:space="preserve"> 万吨、镍冶炼 </w:t>
      </w:r>
      <w:r>
        <w:rPr>
          <w:spacing w:val="-6"/>
        </w:rPr>
        <w:t>1.5</w:t>
      </w:r>
      <w:r>
        <w:rPr>
          <w:spacing w:val="-21"/>
        </w:rPr>
        <w:t xml:space="preserve"> 万吨、金属铜冶炼 </w:t>
      </w:r>
      <w:r>
        <w:rPr>
          <w:spacing w:val="-6"/>
        </w:rPr>
        <w:t>3</w:t>
      </w:r>
      <w:r>
        <w:rPr>
          <w:spacing w:val="-24"/>
        </w:rPr>
        <w:t xml:space="preserve"> 万吨、</w:t>
      </w:r>
      <w:r>
        <w:rPr>
          <w:spacing w:val="-19"/>
        </w:rPr>
        <w:t xml:space="preserve">铜制品 </w:t>
      </w:r>
      <w:r>
        <w:rPr>
          <w:spacing w:val="-2"/>
        </w:rPr>
        <w:t>5</w:t>
      </w:r>
      <w:r>
        <w:rPr>
          <w:spacing w:val="-20"/>
        </w:rPr>
        <w:t xml:space="preserve"> 万吨、铁精粉 </w:t>
      </w:r>
      <w:r>
        <w:rPr>
          <w:spacing w:val="-2"/>
        </w:rPr>
        <w:t>100</w:t>
      </w:r>
      <w:r>
        <w:rPr>
          <w:spacing w:val="-17"/>
        </w:rPr>
        <w:t xml:space="preserve"> 万吨、石板材加工 </w:t>
      </w:r>
      <w:r>
        <w:rPr>
          <w:spacing w:val="-2"/>
        </w:rPr>
        <w:t>200</w:t>
      </w:r>
      <w:r>
        <w:rPr>
          <w:spacing w:val="-14"/>
        </w:rPr>
        <w:t xml:space="preserve"> 万平方米等。</w:t>
      </w:r>
    </w:p>
    <w:p w14:paraId="0F5865A9">
      <w:pPr>
        <w:pStyle w:val="5"/>
        <w:spacing w:before="0" w:line="360" w:lineRule="auto"/>
        <w:ind w:left="0" w:firstLine="552" w:firstLineChars="200"/>
        <w:jc w:val="left"/>
      </w:pPr>
      <w:r>
        <w:rPr>
          <w:spacing w:val="-2"/>
        </w:rPr>
        <w:t>（四）纺织工业加工区。引进国际先进技术，重点发展精梳纱和</w:t>
      </w:r>
      <w:r>
        <w:rPr>
          <w:spacing w:val="-3"/>
        </w:rPr>
        <w:t>机织、针织产品，进一步提高产品档次，增强市场竞争力，形成以棉</w:t>
      </w:r>
      <w:r>
        <w:rPr>
          <w:spacing w:val="-9"/>
        </w:rPr>
        <w:t xml:space="preserve">纺为主、下游产品加工相结合的综合型工业加工区。到 </w:t>
      </w:r>
      <w:r>
        <w:rPr>
          <w:spacing w:val="-6"/>
        </w:rPr>
        <w:t>2015</w:t>
      </w:r>
      <w:r>
        <w:rPr>
          <w:spacing w:val="-21"/>
        </w:rPr>
        <w:t xml:space="preserve"> 年，棉纺</w:t>
      </w:r>
      <w:r>
        <w:rPr>
          <w:spacing w:val="-16"/>
        </w:rPr>
        <w:t xml:space="preserve">生产规模 </w:t>
      </w:r>
      <w:r>
        <w:rPr>
          <w:spacing w:val="-2"/>
        </w:rPr>
        <w:t>30</w:t>
      </w:r>
      <w:r>
        <w:rPr>
          <w:spacing w:val="-22"/>
        </w:rPr>
        <w:t xml:space="preserve"> 万锭。</w:t>
      </w:r>
    </w:p>
    <w:p w14:paraId="304B41B8">
      <w:pPr>
        <w:pStyle w:val="5"/>
        <w:spacing w:before="0" w:line="360" w:lineRule="auto"/>
        <w:ind w:left="0" w:right="0" w:firstLine="640" w:firstLineChars="200"/>
        <w:jc w:val="both"/>
        <w:rPr>
          <w:spacing w:val="20"/>
        </w:rPr>
      </w:pPr>
      <w:r>
        <w:rPr>
          <w:spacing w:val="20"/>
        </w:rPr>
        <w:t>（五）三道岭加工区。依托新疆潞安煤化工（集团）有限公司现有基础，重点发展煤电、建材、煤机装备制造等。</w:t>
      </w:r>
    </w:p>
    <w:p w14:paraId="464516AB">
      <w:pPr>
        <w:pStyle w:val="5"/>
        <w:spacing w:line="360" w:lineRule="auto"/>
        <w:ind w:left="0" w:right="0" w:firstLine="559"/>
        <w:jc w:val="both"/>
        <w:rPr>
          <w:spacing w:val="20"/>
        </w:rPr>
      </w:pPr>
      <w:r>
        <w:rPr>
          <w:spacing w:val="20"/>
        </w:rPr>
        <w:t>加快推进城区产业向园区转移。重点实施哈密市城区的乌铁局哈密桥梁厂、新疆化工集团哈密碱业有限公司、乌苏啤酒厂、天山水泥厂、新钢雅满苏矿业公司球团厂、晶华浮法玻璃有限公司、金山石材有限公司等企业的搬迁和退城入园。</w:t>
      </w:r>
    </w:p>
    <w:p w14:paraId="62B3391A">
      <w:pPr>
        <w:pStyle w:val="5"/>
        <w:spacing w:after="0" w:line="360" w:lineRule="auto"/>
        <w:ind w:firstLine="559"/>
        <w:jc w:val="both"/>
        <w:sectPr>
          <w:pgSz w:w="11910" w:h="16840"/>
          <w:pgMar w:top="1500" w:right="1260" w:bottom="1180" w:left="1480" w:header="0" w:footer="993" w:gutter="0"/>
          <w:pgNumType w:fmt="decimal"/>
          <w:cols w:space="720" w:num="1"/>
        </w:sectPr>
      </w:pPr>
    </w:p>
    <w:p w14:paraId="01FC8988">
      <w:pPr>
        <w:spacing w:line="360" w:lineRule="auto"/>
        <w:ind w:left="0" w:firstLine="642" w:firstLineChars="200"/>
        <w:jc w:val="both"/>
        <w:outlineLvl w:val="9"/>
        <w:rPr>
          <w:rFonts w:hint="eastAsia" w:ascii="仿宋_GB2312" w:eastAsia="仿宋_GB2312"/>
          <w:b/>
          <w:bCs/>
          <w:i w:val="0"/>
          <w:iCs w:val="0"/>
          <w:spacing w:val="20"/>
          <w:sz w:val="28"/>
          <w:szCs w:val="28"/>
        </w:rPr>
      </w:pPr>
      <w:r>
        <w:rPr>
          <w:rFonts w:hint="eastAsia" w:ascii="仿宋_GB2312" w:eastAsia="仿宋_GB2312"/>
          <w:b/>
          <w:bCs/>
          <w:i w:val="0"/>
          <w:iCs w:val="0"/>
          <w:spacing w:val="20"/>
          <w:sz w:val="28"/>
          <w:szCs w:val="28"/>
        </w:rPr>
        <w:t>二、巴里坤盐湖化工工业园区</w:t>
      </w:r>
    </w:p>
    <w:p w14:paraId="16B5B52C">
      <w:pPr>
        <w:pStyle w:val="5"/>
        <w:spacing w:line="360" w:lineRule="auto"/>
        <w:ind w:left="0" w:firstLine="559"/>
        <w:jc w:val="both"/>
        <w:rPr>
          <w:spacing w:val="20"/>
        </w:rPr>
      </w:pPr>
      <w:r>
        <w:rPr>
          <w:spacing w:val="20"/>
        </w:rPr>
        <w:t>提升园区的基础设施建设水平，加强资源保护和环境的治理。重点发展精致硫化碱、煤焦化、精细化工三大主导产业，形成具有较强市场竞争力的盐化工产业。到 2015 年，精致硫化碱产能规模 24 万吨，精细化工 3 万吨。</w:t>
      </w:r>
    </w:p>
    <w:p w14:paraId="070A362A">
      <w:pPr>
        <w:spacing w:before="0" w:line="360" w:lineRule="auto"/>
        <w:ind w:left="0" w:firstLine="642" w:firstLineChars="200"/>
        <w:jc w:val="both"/>
        <w:outlineLvl w:val="9"/>
        <w:rPr>
          <w:rFonts w:hint="eastAsia" w:ascii="仿宋_GB2312" w:eastAsia="仿宋_GB2312"/>
          <w:b/>
          <w:bCs/>
          <w:i w:val="0"/>
          <w:iCs w:val="0"/>
          <w:spacing w:val="20"/>
          <w:sz w:val="28"/>
          <w:szCs w:val="28"/>
        </w:rPr>
      </w:pPr>
      <w:r>
        <w:rPr>
          <w:rFonts w:hint="eastAsia" w:ascii="仿宋_GB2312" w:eastAsia="仿宋_GB2312"/>
          <w:b/>
          <w:bCs/>
          <w:i w:val="0"/>
          <w:iCs w:val="0"/>
          <w:spacing w:val="20"/>
          <w:sz w:val="28"/>
          <w:szCs w:val="28"/>
        </w:rPr>
        <w:t>三、巴里坤三塘湖工业园区</w:t>
      </w:r>
    </w:p>
    <w:p w14:paraId="6036EE30">
      <w:pPr>
        <w:pStyle w:val="5"/>
        <w:spacing w:before="0" w:line="360" w:lineRule="auto"/>
        <w:ind w:left="0" w:right="0" w:firstLine="559"/>
        <w:jc w:val="both"/>
        <w:rPr>
          <w:spacing w:val="20"/>
        </w:rPr>
      </w:pPr>
      <w:r>
        <w:rPr>
          <w:spacing w:val="20"/>
        </w:rPr>
        <w:t>依托已建成的三塘湖-淖毛湖公路，加快实施规划中的将军庙-三塘湖-淖毛湖-甘肃龙岗的铁路建设和莫钦乌拉山水系水利工程建设，及早谋划推进山北特高压输变电线路项目，重点发展煤化工、煤炭外运和矿产品加工等产业。</w:t>
      </w:r>
    </w:p>
    <w:p w14:paraId="3EB331F3">
      <w:pPr>
        <w:pStyle w:val="5"/>
        <w:spacing w:before="0" w:line="360" w:lineRule="auto"/>
        <w:ind w:left="0" w:firstLine="559"/>
        <w:jc w:val="both"/>
        <w:rPr>
          <w:spacing w:val="20"/>
        </w:rPr>
      </w:pPr>
      <w:r>
        <w:rPr>
          <w:spacing w:val="20"/>
        </w:rPr>
        <w:t>（一）三塘湖加工区。重点加大莫钦乌拉山七道河沟及地下水勘查力度，加快水利基础设施建设，保障发展用水需求。到 2015 年，煤制气 8 亿标方，原煤 0.2 亿吨，铁精粉 150 万吨，石油天然气化工产品 2 万吨。</w:t>
      </w:r>
    </w:p>
    <w:p w14:paraId="6DD83E7E">
      <w:pPr>
        <w:pStyle w:val="5"/>
        <w:spacing w:after="0" w:line="360" w:lineRule="auto"/>
        <w:ind w:left="0" w:firstLine="640" w:firstLineChars="200"/>
        <w:jc w:val="both"/>
        <w:rPr>
          <w:spacing w:val="20"/>
        </w:rPr>
      </w:pPr>
      <w:r>
        <w:rPr>
          <w:spacing w:val="20"/>
        </w:rPr>
        <w:t>（二）三塘湖—淖毛湖油气开采区。围绕该区域石油和天然气资源的勘探开发，积极做好配套服务，重点研究下游产品的综合开发和利用，引进有实力的企业进行就地加工，重点发展溶剂油、石油针状焦及燃料油等产品。到 2015 年原油产量达到 50 万吨。</w:t>
      </w:r>
    </w:p>
    <w:p w14:paraId="52746922">
      <w:pPr>
        <w:pStyle w:val="5"/>
        <w:spacing w:after="0" w:line="360" w:lineRule="auto"/>
        <w:ind w:left="0" w:firstLine="640" w:firstLineChars="200"/>
        <w:jc w:val="both"/>
        <w:rPr>
          <w:spacing w:val="20"/>
        </w:rPr>
      </w:pPr>
    </w:p>
    <w:p w14:paraId="7A7ABD62">
      <w:pPr>
        <w:spacing w:after="0" w:line="360" w:lineRule="auto"/>
      </w:pPr>
      <w:r>
        <w:pict>
          <v:group id="docshapegroup12" o:spid="_x0000_s1031" o:spt="203" style="position:absolute;left:0pt;margin-left:86.25pt;margin-top:1.2pt;height:332.8pt;width:423.35pt;mso-position-horizontal-relative:page;mso-wrap-distance-bottom:0pt;mso-wrap-distance-top:0pt;z-index:-251650048;mso-width-relative:page;mso-height-relative:page;" coordorigin="1726,2249" coordsize="8467,6656">
            <o:lock v:ext="edit" aspectratio="f"/>
            <v:shape id="docshape13" o:spid="_x0000_s1032" style="position:absolute;left:1725;top:2249;height:6656;width:8467;" fillcolor="#000000" filled="t" stroked="f" coordorigin="1726,2249" coordsize="8467,6656" path="m10193,8905l1726,8905,1726,2249,10193,2249,10193,2257,1741,2257,1733,2264,1741,2264,1741,8890,1733,8890,1741,8898,10193,8898,10193,8905xm1741,2264l1733,2264,1741,2257,1741,2264xm10178,2264l1741,2264,1741,2257,10178,2257,10178,2264xm10178,8898l10178,2257,10185,2264,10193,2264,10193,8890,10185,8890,10178,8898xm10193,2264l10185,2264,10178,2257,10193,2257,10193,2264xm1741,8898l1733,8890,1741,8890,1741,8898xm10178,8898l1741,8898,1741,8890,10178,8890,10178,8898xm10193,8898l10178,8898,10185,8890,10193,8890,10193,8898xe">
              <v:path arrowok="t"/>
              <v:fill on="t" color2="#FFFFFF" focussize="0,0"/>
              <v:stroke on="f"/>
              <v:imagedata o:title=""/>
              <o:lock v:ext="edit" aspectratio="f"/>
            </v:shape>
            <v:shape id="docshape14" o:spid="_x0000_s1033" o:spt="202" type="#_x0000_t202" style="position:absolute;left:1725;top:2249;height:6656;width:8467;" filled="f" stroked="f" coordsize="21600,21600">
              <v:path/>
              <v:fill on="f" focussize="0,0"/>
              <v:stroke on="f"/>
              <v:imagedata o:title=""/>
              <o:lock v:ext="edit" aspectratio="f"/>
              <v:textbox inset="0mm,0mm,0mm,0mm">
                <w:txbxContent>
                  <w:p w14:paraId="58B6EE31">
                    <w:pPr>
                      <w:spacing w:before="164"/>
                      <w:ind w:left="1826" w:right="1828" w:firstLine="0"/>
                      <w:jc w:val="center"/>
                      <w:rPr>
                        <w:rFonts w:hint="eastAsia" w:ascii="黑体" w:hAnsi="黑体" w:eastAsia="黑体"/>
                        <w:b/>
                        <w:sz w:val="21"/>
                      </w:rPr>
                    </w:pPr>
                    <w:r>
                      <w:rPr>
                        <w:rFonts w:hint="eastAsia" w:ascii="黑体" w:hAnsi="黑体" w:eastAsia="黑体"/>
                        <w:b/>
                        <w:spacing w:val="-9"/>
                        <w:sz w:val="21"/>
                      </w:rPr>
                      <w:t xml:space="preserve">专栏 </w:t>
                    </w:r>
                    <w:r>
                      <w:rPr>
                        <w:rFonts w:hint="eastAsia" w:ascii="黑体" w:hAnsi="黑体" w:eastAsia="黑体"/>
                        <w:b/>
                        <w:spacing w:val="-2"/>
                        <w:sz w:val="21"/>
                      </w:rPr>
                      <w:t>3-1：哈密工业园区各分区“十二五”建设重</w:t>
                    </w:r>
                    <w:r>
                      <w:rPr>
                        <w:rFonts w:hint="eastAsia" w:ascii="黑体" w:hAnsi="黑体" w:eastAsia="黑体"/>
                        <w:b/>
                        <w:spacing w:val="-10"/>
                        <w:sz w:val="21"/>
                      </w:rPr>
                      <w:t>点</w:t>
                    </w:r>
                  </w:p>
                  <w:p w14:paraId="60D8F889">
                    <w:pPr>
                      <w:spacing w:before="91" w:line="298" w:lineRule="auto"/>
                      <w:ind w:left="159" w:right="158" w:firstLine="357"/>
                      <w:jc w:val="left"/>
                      <w:rPr>
                        <w:rFonts w:ascii="宋体" w:hAnsi="宋体" w:eastAsia="宋体"/>
                        <w:sz w:val="21"/>
                      </w:rPr>
                    </w:pPr>
                    <w:r>
                      <w:rPr>
                        <w:rFonts w:hint="eastAsia" w:ascii="黑体" w:hAnsi="黑体" w:eastAsia="黑体"/>
                        <w:b/>
                        <w:spacing w:val="-2"/>
                        <w:sz w:val="21"/>
                      </w:rPr>
                      <w:t>广东工业加工区：</w:t>
                    </w:r>
                    <w:r>
                      <w:rPr>
                        <w:rFonts w:ascii="宋体" w:hAnsi="宋体" w:eastAsia="宋体"/>
                        <w:spacing w:val="-2"/>
                        <w:sz w:val="21"/>
                      </w:rPr>
                      <w:t>优化园区规划建设，重点发展轻工</w:t>
                    </w:r>
                    <w:r>
                      <w:rPr>
                        <w:rFonts w:hint="eastAsia" w:ascii="宋体" w:hAnsi="宋体" w:eastAsia="宋体"/>
                        <w:spacing w:val="-2"/>
                        <w:sz w:val="21"/>
                        <w:lang w:eastAsia="zh-CN"/>
                      </w:rPr>
                      <w:t>业</w:t>
                    </w:r>
                    <w:r>
                      <w:rPr>
                        <w:rFonts w:ascii="宋体" w:hAnsi="宋体" w:eastAsia="宋体"/>
                        <w:spacing w:val="-2"/>
                        <w:sz w:val="21"/>
                      </w:rPr>
                      <w:t>、装备制造业、农副产品精深加工业、高新技术产业、综合物流业等低耗水低耗能产业。“十二五”期间工业产值年均增</w:t>
                    </w:r>
                    <w:r>
                      <w:rPr>
                        <w:rFonts w:ascii="宋体" w:hAnsi="宋体" w:eastAsia="宋体"/>
                        <w:sz w:val="21"/>
                      </w:rPr>
                      <w:t>长</w:t>
                    </w:r>
                    <w:r>
                      <w:rPr>
                        <w:rFonts w:ascii="宋体" w:hAnsi="宋体" w:eastAsia="宋体"/>
                        <w:spacing w:val="-36"/>
                        <w:sz w:val="21"/>
                      </w:rPr>
                      <w:t xml:space="preserve"> </w:t>
                    </w:r>
                    <w:r>
                      <w:rPr>
                        <w:rFonts w:ascii="宋体" w:hAnsi="宋体" w:eastAsia="宋体"/>
                        <w:sz w:val="21"/>
                      </w:rPr>
                      <w:t>40%以上。</w:t>
                    </w:r>
                  </w:p>
                  <w:p w14:paraId="70DC6F4D">
                    <w:pPr>
                      <w:spacing w:before="0" w:line="298" w:lineRule="auto"/>
                      <w:ind w:left="159" w:right="160" w:firstLine="420"/>
                      <w:jc w:val="left"/>
                      <w:rPr>
                        <w:rFonts w:ascii="宋体" w:hAnsi="宋体" w:eastAsia="宋体"/>
                        <w:sz w:val="21"/>
                      </w:rPr>
                    </w:pPr>
                    <w:r>
                      <w:rPr>
                        <w:rFonts w:hint="eastAsia" w:ascii="黑体" w:hAnsi="黑体" w:eastAsia="黑体"/>
                        <w:b/>
                        <w:spacing w:val="-2"/>
                        <w:sz w:val="21"/>
                      </w:rPr>
                      <w:t>重工业加工区：</w:t>
                    </w:r>
                    <w:r>
                      <w:rPr>
                        <w:rFonts w:ascii="宋体" w:hAnsi="宋体" w:eastAsia="宋体"/>
                        <w:spacing w:val="-2"/>
                        <w:sz w:val="21"/>
                      </w:rPr>
                      <w:t>重点发展煤电、黑色及有色金属加工冶炼等金属材料制造业、非金属</w:t>
                    </w:r>
                    <w:r>
                      <w:rPr>
                        <w:rFonts w:ascii="宋体" w:hAnsi="宋体" w:eastAsia="宋体"/>
                        <w:sz w:val="21"/>
                      </w:rPr>
                      <w:t>资源深加工、建材、仓储、物流等产业。</w:t>
                    </w:r>
                    <w:r>
                      <w:rPr>
                        <w:rFonts w:ascii="宋体" w:hAnsi="宋体" w:eastAsia="宋体"/>
                        <w:spacing w:val="-3"/>
                        <w:sz w:val="21"/>
                      </w:rPr>
                      <w:t xml:space="preserve">“十二五”期间工业产值年均增长 </w:t>
                    </w:r>
                    <w:r>
                      <w:rPr>
                        <w:rFonts w:ascii="宋体" w:hAnsi="宋体" w:eastAsia="宋体"/>
                        <w:sz w:val="21"/>
                      </w:rPr>
                      <w:t>75%以上。</w:t>
                    </w:r>
                  </w:p>
                  <w:p w14:paraId="00E63251">
                    <w:pPr>
                      <w:spacing w:before="0" w:line="298" w:lineRule="auto"/>
                      <w:ind w:left="159" w:right="110" w:firstLine="420"/>
                      <w:jc w:val="left"/>
                      <w:rPr>
                        <w:rFonts w:ascii="宋体" w:hAnsi="宋体" w:eastAsia="宋体"/>
                        <w:sz w:val="21"/>
                      </w:rPr>
                    </w:pPr>
                    <w:r>
                      <w:rPr>
                        <w:rFonts w:hint="eastAsia" w:ascii="黑体" w:hAnsi="黑体" w:eastAsia="黑体"/>
                        <w:b/>
                        <w:spacing w:val="-2"/>
                        <w:sz w:val="21"/>
                      </w:rPr>
                      <w:t>骆驼圈子加工区：</w:t>
                    </w:r>
                    <w:r>
                      <w:rPr>
                        <w:rFonts w:ascii="宋体" w:hAnsi="宋体" w:eastAsia="宋体"/>
                        <w:spacing w:val="-2"/>
                        <w:sz w:val="21"/>
                      </w:rPr>
                      <w:t>加快加工区规划建设，重点发展煤电、有色及黑色金属选冶产业、</w:t>
                    </w:r>
                    <w:r>
                      <w:rPr>
                        <w:rFonts w:ascii="宋体" w:hAnsi="宋体" w:eastAsia="宋体"/>
                        <w:sz w:val="21"/>
                      </w:rPr>
                      <w:t>石材加工业等产业，“十二五”期</w:t>
                    </w:r>
                    <w:r>
                      <w:rPr>
                        <w:rFonts w:ascii="宋体" w:hAnsi="宋体" w:eastAsia="宋体"/>
                        <w:spacing w:val="-4"/>
                        <w:sz w:val="21"/>
                      </w:rPr>
                      <w:t xml:space="preserve">间工业产值年均增长 </w:t>
                    </w:r>
                    <w:r>
                      <w:rPr>
                        <w:rFonts w:ascii="宋体" w:hAnsi="宋体" w:eastAsia="宋体"/>
                        <w:sz w:val="21"/>
                      </w:rPr>
                      <w:t>40%以上。</w:t>
                    </w:r>
                  </w:p>
                  <w:p w14:paraId="5FC2DB6A">
                    <w:pPr>
                      <w:spacing w:before="0" w:line="298" w:lineRule="auto"/>
                      <w:ind w:left="159" w:right="158" w:firstLine="420"/>
                      <w:jc w:val="left"/>
                      <w:rPr>
                        <w:rFonts w:ascii="宋体" w:eastAsia="宋体"/>
                        <w:sz w:val="21"/>
                      </w:rPr>
                    </w:pPr>
                    <w:r>
                      <w:rPr>
                        <w:rFonts w:hint="eastAsia" w:ascii="黑体" w:eastAsia="黑体"/>
                        <w:b/>
                        <w:spacing w:val="-2"/>
                        <w:sz w:val="21"/>
                      </w:rPr>
                      <w:t>纺织工业加工区：</w:t>
                    </w:r>
                    <w:r>
                      <w:rPr>
                        <w:rFonts w:ascii="宋体" w:eastAsia="宋体"/>
                        <w:spacing w:val="-2"/>
                        <w:sz w:val="21"/>
                      </w:rPr>
                      <w:t>重点发展精梳纱和机织、针织产品，通过技术引进与自主创新，形成以棉纺为主、下游产品加工相结合的综合型工业加工区。</w:t>
                    </w:r>
                  </w:p>
                  <w:p w14:paraId="6951A26B">
                    <w:pPr>
                      <w:spacing w:before="0" w:line="298" w:lineRule="auto"/>
                      <w:ind w:left="159" w:right="157" w:firstLine="420"/>
                      <w:jc w:val="left"/>
                      <w:rPr>
                        <w:rFonts w:ascii="宋体" w:hAnsi="宋体" w:eastAsia="宋体"/>
                        <w:sz w:val="21"/>
                      </w:rPr>
                    </w:pPr>
                    <w:r>
                      <w:rPr>
                        <w:rFonts w:hint="eastAsia" w:ascii="黑体" w:hAnsi="黑体" w:eastAsia="黑体"/>
                        <w:b/>
                        <w:spacing w:val="-2"/>
                        <w:sz w:val="21"/>
                      </w:rPr>
                      <w:t>巴里坤盐湖化工工业园区：</w:t>
                    </w:r>
                    <w:r>
                      <w:rPr>
                        <w:rFonts w:ascii="宋体" w:hAnsi="宋体" w:eastAsia="宋体"/>
                        <w:spacing w:val="-2"/>
                        <w:sz w:val="21"/>
                      </w:rPr>
                      <w:t>加快对原有污染严重企业的搬迁治理及基础设施建设，发</w:t>
                    </w:r>
                    <w:r>
                      <w:rPr>
                        <w:rFonts w:ascii="宋体" w:hAnsi="宋体" w:eastAsia="宋体"/>
                        <w:spacing w:val="-4"/>
                        <w:sz w:val="21"/>
                      </w:rPr>
                      <w:t>展以硫化碱、煤焦化、精细化工工业为主导</w:t>
                    </w:r>
                    <w:r>
                      <w:rPr>
                        <w:rFonts w:ascii="宋体" w:hAnsi="宋体" w:eastAsia="宋体"/>
                        <w:spacing w:val="-16"/>
                        <w:sz w:val="21"/>
                      </w:rPr>
                      <w:t xml:space="preserve">。“十二五”期间加工区工业产值年均增长 </w:t>
                    </w:r>
                    <w:r>
                      <w:rPr>
                        <w:rFonts w:ascii="宋体" w:hAnsi="宋体" w:eastAsia="宋体"/>
                        <w:spacing w:val="-4"/>
                        <w:sz w:val="21"/>
                      </w:rPr>
                      <w:t>40%以上。</w:t>
                    </w:r>
                  </w:p>
                  <w:p w14:paraId="34D79693">
                    <w:pPr>
                      <w:spacing w:before="0" w:line="298" w:lineRule="auto"/>
                      <w:ind w:left="159" w:right="158" w:firstLine="420"/>
                      <w:jc w:val="left"/>
                      <w:rPr>
                        <w:rFonts w:ascii="宋体" w:eastAsia="宋体"/>
                        <w:sz w:val="21"/>
                      </w:rPr>
                    </w:pPr>
                    <w:r>
                      <w:rPr>
                        <w:rFonts w:hint="eastAsia" w:ascii="黑体" w:eastAsia="黑体"/>
                        <w:b/>
                        <w:spacing w:val="-2"/>
                        <w:sz w:val="21"/>
                      </w:rPr>
                      <w:t>巴里坤三塘湖工业园区</w:t>
                    </w:r>
                    <w:r>
                      <w:rPr>
                        <w:rFonts w:hint="eastAsia" w:ascii="宋体" w:eastAsia="宋体"/>
                        <w:b/>
                        <w:spacing w:val="-2"/>
                        <w:sz w:val="21"/>
                      </w:rPr>
                      <w:t>：</w:t>
                    </w:r>
                    <w:r>
                      <w:rPr>
                        <w:rFonts w:ascii="宋体" w:eastAsia="宋体"/>
                        <w:spacing w:val="-2"/>
                        <w:sz w:val="21"/>
                      </w:rPr>
                      <w:t>加快园区的前期基础设施建设，加大招商引资力度，围绕丰富的能源资源和矿产资源，发展成为综合能源生产基地和矿产资源的开采加工基地。</w:t>
                    </w:r>
                  </w:p>
                  <w:p w14:paraId="3E81B383">
                    <w:pPr>
                      <w:spacing w:before="0" w:line="298" w:lineRule="auto"/>
                      <w:ind w:left="159" w:right="52" w:firstLine="420"/>
                      <w:jc w:val="left"/>
                      <w:rPr>
                        <w:rFonts w:ascii="宋体" w:hAnsi="宋体" w:eastAsia="宋体"/>
                        <w:sz w:val="21"/>
                      </w:rPr>
                    </w:pPr>
                    <w:r>
                      <w:rPr>
                        <w:rFonts w:hint="eastAsia" w:ascii="黑体" w:hAnsi="黑体" w:eastAsia="黑体"/>
                        <w:b/>
                        <w:spacing w:val="-2"/>
                        <w:sz w:val="21"/>
                      </w:rPr>
                      <w:t>伊吾淖毛湖工业园区：</w:t>
                    </w:r>
                    <w:r>
                      <w:rPr>
                        <w:rFonts w:ascii="宋体" w:hAnsi="宋体" w:eastAsia="宋体"/>
                        <w:spacing w:val="-2"/>
                        <w:sz w:val="21"/>
                      </w:rPr>
                      <w:t>加大对园区基础设施建设力度，优化配置水资源，重点发展煤</w:t>
                    </w:r>
                    <w:r>
                      <w:rPr>
                        <w:rFonts w:ascii="宋体" w:hAnsi="宋体" w:eastAsia="宋体"/>
                        <w:spacing w:val="-4"/>
                        <w:sz w:val="21"/>
                      </w:rPr>
                      <w:t>化工、煤电、煤炭外运和黑色及有色金属冶炼、农牧产品加工、石油化工、新能源等产业，</w:t>
                    </w:r>
                    <w:r>
                      <w:rPr>
                        <w:rFonts w:ascii="宋体" w:hAnsi="宋体" w:eastAsia="宋体"/>
                        <w:sz w:val="21"/>
                      </w:rPr>
                      <w:t>加快对煤层气的开发</w:t>
                    </w:r>
                    <w:r>
                      <w:rPr>
                        <w:rFonts w:ascii="宋体" w:hAnsi="宋体" w:eastAsia="宋体"/>
                        <w:spacing w:val="-52"/>
                        <w:sz w:val="21"/>
                      </w:rPr>
                      <w:t>。“</w:t>
                    </w:r>
                    <w:r>
                      <w:rPr>
                        <w:rFonts w:ascii="宋体" w:hAnsi="宋体" w:eastAsia="宋体"/>
                        <w:sz w:val="21"/>
                      </w:rPr>
                      <w:t>十二五”期间</w:t>
                    </w:r>
                    <w:r>
                      <w:rPr>
                        <w:rFonts w:ascii="宋体" w:hAnsi="宋体" w:eastAsia="宋体"/>
                        <w:spacing w:val="-4"/>
                        <w:sz w:val="21"/>
                      </w:rPr>
                      <w:t xml:space="preserve">，加工区工业产值年均增长 </w:t>
                    </w:r>
                    <w:r>
                      <w:rPr>
                        <w:rFonts w:ascii="宋体" w:hAnsi="宋体" w:eastAsia="宋体"/>
                        <w:sz w:val="21"/>
                      </w:rPr>
                      <w:t>40%以上。</w:t>
                    </w:r>
                  </w:p>
                </w:txbxContent>
              </v:textbox>
            </v:shape>
            <w10:wrap type="topAndBottom"/>
          </v:group>
        </w:pict>
      </w:r>
    </w:p>
    <w:p w14:paraId="7493E845">
      <w:pPr>
        <w:spacing w:before="0" w:line="380" w:lineRule="auto"/>
        <w:ind w:left="0" w:firstLine="698" w:firstLineChars="200"/>
        <w:jc w:val="both"/>
        <w:outlineLvl w:val="9"/>
        <w:rPr>
          <w:rFonts w:hint="eastAsia" w:ascii="仿宋_GB2312" w:eastAsia="仿宋_GB2312"/>
          <w:b/>
          <w:bCs/>
          <w:i w:val="0"/>
          <w:iCs w:val="0"/>
          <w:spacing w:val="34"/>
          <w:sz w:val="28"/>
          <w:szCs w:val="28"/>
        </w:rPr>
      </w:pPr>
      <w:r>
        <w:rPr>
          <w:rFonts w:hint="eastAsia" w:ascii="仿宋_GB2312" w:eastAsia="仿宋_GB2312"/>
          <w:b/>
          <w:bCs/>
          <w:i w:val="0"/>
          <w:iCs w:val="0"/>
          <w:spacing w:val="34"/>
          <w:sz w:val="28"/>
          <w:szCs w:val="28"/>
        </w:rPr>
        <w:t>四、伊吾淖毛湖工业园区</w:t>
      </w:r>
    </w:p>
    <w:p w14:paraId="26B925DE">
      <w:pPr>
        <w:pStyle w:val="5"/>
        <w:spacing w:after="0" w:line="380" w:lineRule="auto"/>
        <w:ind w:left="0" w:firstLine="696" w:firstLineChars="200"/>
        <w:jc w:val="both"/>
        <w:rPr>
          <w:rFonts w:hint="eastAsia"/>
          <w:spacing w:val="34"/>
        </w:rPr>
        <w:sectPr>
          <w:pgSz w:w="11910" w:h="16840"/>
          <w:pgMar w:top="1540" w:right="1260" w:bottom="1180" w:left="1480" w:header="0" w:footer="993" w:gutter="0"/>
          <w:pgNumType w:fmt="decimal"/>
          <w:cols w:space="720" w:num="1"/>
        </w:sectPr>
      </w:pPr>
      <w:r>
        <w:rPr>
          <w:spacing w:val="34"/>
        </w:rPr>
        <w:t>进一步完善基础设施建设，优化配置水资源。重点发展煤化工、煤电、煤炭外运和黑色及有色金属冶炼、农牧产品加工、石油化工、新能源，积极探索对煤层气的开发，形成具有一定规模的综合性工业加工区。重点支持新疆广汇新能源有限公司煤制甲醇、二甲醚（一期）项目，鸿业化工粗酚精制、中油加氢项目建设。到 2015 年，甲醇 120万吨、二甲醚 80 万吨、粗酚精制 2 万吨、中油加氢 15 万吨，铁精粉50 万吨</w:t>
      </w:r>
      <w:r>
        <w:rPr>
          <w:rFonts w:hint="eastAsia"/>
          <w:spacing w:val="34"/>
          <w:lang w:eastAsia="zh-CN"/>
        </w:rPr>
        <w:t>。</w:t>
      </w:r>
    </w:p>
    <w:p w14:paraId="400D32F0">
      <w:pPr>
        <w:pStyle w:val="5"/>
        <w:spacing w:before="10"/>
        <w:ind w:left="0"/>
        <w:rPr>
          <w:sz w:val="9"/>
        </w:rPr>
      </w:pPr>
    </w:p>
    <w:p w14:paraId="2B6209B7">
      <w:pPr>
        <w:pStyle w:val="5"/>
        <w:ind w:left="108"/>
        <w:rPr>
          <w:sz w:val="20"/>
        </w:rPr>
      </w:pPr>
      <w:r>
        <w:rPr>
          <w:sz w:val="20"/>
        </w:rPr>
        <w:pict>
          <v:shape id="docshape15" o:spid="_x0000_s1034" o:spt="202" type="#_x0000_t202" style="height:238.25pt;width:436pt;" filled="f" stroked="t" coordsize="21600,21600">
            <v:path/>
            <v:fill on="f" focussize="0,0"/>
            <v:stroke weight="0.48pt" color="#000000"/>
            <v:imagedata o:title=""/>
            <o:lock v:ext="edit"/>
            <v:textbox inset="0mm,0mm,0mm,0mm">
              <w:txbxContent>
                <w:p w14:paraId="055B05F0">
                  <w:pPr>
                    <w:pStyle w:val="5"/>
                    <w:spacing w:before="5"/>
                    <w:ind w:left="0"/>
                    <w:rPr>
                      <w:sz w:val="22"/>
                    </w:rPr>
                  </w:pPr>
                </w:p>
                <w:p w14:paraId="7B18905D">
                  <w:pPr>
                    <w:spacing w:before="121" w:afterLines="100" w:line="298" w:lineRule="auto"/>
                    <w:ind w:left="522" w:right="0" w:firstLine="0"/>
                    <w:jc w:val="center"/>
                    <w:rPr>
                      <w:rFonts w:hint="eastAsia" w:ascii="黑体" w:hAnsi="黑体" w:eastAsia="黑体"/>
                      <w:b/>
                      <w:sz w:val="21"/>
                    </w:rPr>
                  </w:pPr>
                  <w:r>
                    <w:rPr>
                      <w:rFonts w:hint="eastAsia" w:ascii="黑体" w:hAnsi="黑体" w:eastAsia="黑体"/>
                      <w:b/>
                      <w:spacing w:val="-9"/>
                      <w:sz w:val="21"/>
                    </w:rPr>
                    <w:t xml:space="preserve">专栏 </w:t>
                  </w:r>
                  <w:r>
                    <w:rPr>
                      <w:rFonts w:hint="eastAsia" w:ascii="黑体" w:hAnsi="黑体" w:eastAsia="黑体"/>
                      <w:b/>
                      <w:sz w:val="21"/>
                    </w:rPr>
                    <w:t>3-2</w:t>
                  </w:r>
                  <w:r>
                    <w:rPr>
                      <w:rFonts w:hint="eastAsia" w:ascii="黑体" w:hAnsi="黑体" w:eastAsia="黑体"/>
                      <w:b/>
                      <w:spacing w:val="-1"/>
                      <w:sz w:val="21"/>
                    </w:rPr>
                    <w:t xml:space="preserve"> 哈密地区各大矿区“十二五”重点开发区域</w:t>
                  </w:r>
                </w:p>
                <w:p w14:paraId="3BF3ABF0">
                  <w:pPr>
                    <w:spacing w:before="0" w:line="298" w:lineRule="auto"/>
                    <w:ind w:left="0" w:right="0" w:firstLine="406" w:firstLineChars="200"/>
                    <w:jc w:val="both"/>
                    <w:rPr>
                      <w:rFonts w:ascii="宋体" w:eastAsia="宋体"/>
                      <w:sz w:val="21"/>
                    </w:rPr>
                  </w:pPr>
                  <w:r>
                    <w:rPr>
                      <w:rFonts w:hint="eastAsia" w:ascii="黑体" w:eastAsia="黑体"/>
                      <w:b/>
                      <w:spacing w:val="-4"/>
                      <w:sz w:val="21"/>
                    </w:rPr>
                    <w:t>黑色金属主要矿区：</w:t>
                  </w:r>
                  <w:r>
                    <w:rPr>
                      <w:rFonts w:ascii="宋体" w:eastAsia="宋体"/>
                      <w:spacing w:val="-6"/>
                      <w:sz w:val="21"/>
                    </w:rPr>
                    <w:t xml:space="preserve">哈密市磁海矿区，采矿 </w:t>
                  </w:r>
                  <w:r>
                    <w:rPr>
                      <w:rFonts w:ascii="Times New Roman" w:eastAsia="Times New Roman"/>
                      <w:spacing w:val="-4"/>
                      <w:sz w:val="21"/>
                    </w:rPr>
                    <w:t>300</w:t>
                  </w:r>
                  <w:r>
                    <w:rPr>
                      <w:rFonts w:ascii="Times New Roman" w:eastAsia="Times New Roman"/>
                      <w:spacing w:val="-9"/>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8"/>
                      <w:sz w:val="21"/>
                    </w:rPr>
                    <w:t xml:space="preserve">年，选矿 </w:t>
                  </w:r>
                  <w:r>
                    <w:rPr>
                      <w:rFonts w:ascii="Times New Roman" w:eastAsia="Times New Roman"/>
                      <w:spacing w:val="-4"/>
                      <w:sz w:val="21"/>
                    </w:rPr>
                    <w:t>200</w:t>
                  </w:r>
                  <w:r>
                    <w:rPr>
                      <w:rFonts w:ascii="Times New Roman" w:eastAsia="Times New Roman"/>
                      <w:spacing w:val="-7"/>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7"/>
                      <w:sz w:val="21"/>
                    </w:rPr>
                    <w:t xml:space="preserve">年，铁精粉 </w:t>
                  </w:r>
                  <w:r>
                    <w:rPr>
                      <w:rFonts w:ascii="Times New Roman" w:eastAsia="Times New Roman"/>
                      <w:spacing w:val="-5"/>
                      <w:sz w:val="21"/>
                    </w:rPr>
                    <w:t>100</w:t>
                  </w:r>
                  <w:r>
                    <w:rPr>
                      <w:rFonts w:ascii="宋体" w:eastAsia="宋体"/>
                      <w:spacing w:val="-2"/>
                      <w:sz w:val="21"/>
                    </w:rPr>
                    <w:t>万吨</w:t>
                  </w:r>
                  <w:r>
                    <w:rPr>
                      <w:rFonts w:ascii="Times New Roman" w:eastAsia="Times New Roman"/>
                      <w:spacing w:val="-2"/>
                      <w:sz w:val="21"/>
                    </w:rPr>
                    <w:t>/</w:t>
                  </w:r>
                  <w:r>
                    <w:rPr>
                      <w:rFonts w:ascii="宋体" w:eastAsia="宋体"/>
                      <w:spacing w:val="-2"/>
                      <w:sz w:val="21"/>
                    </w:rPr>
                    <w:t>年；</w:t>
                  </w:r>
                  <w:r>
                    <w:rPr>
                      <w:rFonts w:ascii="Times New Roman" w:eastAsia="Times New Roman"/>
                      <w:spacing w:val="-2"/>
                      <w:sz w:val="21"/>
                    </w:rPr>
                    <w:t>M1033-M1053-M1035-M1037-</w:t>
                  </w:r>
                  <w:r>
                    <w:rPr>
                      <w:rFonts w:ascii="宋体" w:eastAsia="宋体"/>
                      <w:spacing w:val="-2"/>
                      <w:sz w:val="21"/>
                    </w:rPr>
                    <w:t xml:space="preserve">玉山矿区，采矿 </w:t>
                  </w:r>
                  <w:r>
                    <w:rPr>
                      <w:rFonts w:ascii="Times New Roman" w:eastAsia="Times New Roman"/>
                      <w:spacing w:val="-2"/>
                      <w:sz w:val="21"/>
                    </w:rPr>
                    <w:t>240</w:t>
                  </w:r>
                  <w:r>
                    <w:rPr>
                      <w:rFonts w:ascii="Times New Roman" w:eastAsia="Times New Roman"/>
                      <w:spacing w:val="-3"/>
                      <w:sz w:val="21"/>
                    </w:rPr>
                    <w:t xml:space="preserve"> </w:t>
                  </w:r>
                  <w:r>
                    <w:rPr>
                      <w:rFonts w:ascii="宋体" w:eastAsia="宋体"/>
                      <w:spacing w:val="-2"/>
                      <w:sz w:val="21"/>
                    </w:rPr>
                    <w:t>万吨</w:t>
                  </w:r>
                  <w:r>
                    <w:rPr>
                      <w:rFonts w:ascii="Times New Roman" w:eastAsia="Times New Roman"/>
                      <w:spacing w:val="-2"/>
                      <w:sz w:val="21"/>
                    </w:rPr>
                    <w:t>/</w:t>
                  </w:r>
                  <w:r>
                    <w:rPr>
                      <w:rFonts w:ascii="宋体" w:eastAsia="宋体"/>
                      <w:spacing w:val="-5"/>
                      <w:sz w:val="21"/>
                    </w:rPr>
                    <w:t xml:space="preserve">年，铁精粉 </w:t>
                  </w:r>
                  <w:r>
                    <w:rPr>
                      <w:rFonts w:ascii="Times New Roman" w:eastAsia="Times New Roman"/>
                      <w:spacing w:val="-2"/>
                      <w:sz w:val="21"/>
                    </w:rPr>
                    <w:t>80</w:t>
                  </w:r>
                  <w:r>
                    <w:rPr>
                      <w:rFonts w:ascii="Times New Roman" w:eastAsia="Times New Roman"/>
                      <w:spacing w:val="8"/>
                      <w:sz w:val="21"/>
                    </w:rPr>
                    <w:t xml:space="preserve"> </w:t>
                  </w:r>
                  <w:r>
                    <w:rPr>
                      <w:rFonts w:ascii="宋体" w:eastAsia="宋体"/>
                      <w:spacing w:val="-2"/>
                      <w:sz w:val="21"/>
                    </w:rPr>
                    <w:t>万吨</w:t>
                  </w:r>
                  <w:r>
                    <w:rPr>
                      <w:rFonts w:ascii="Times New Roman" w:eastAsia="Times New Roman"/>
                      <w:spacing w:val="-2"/>
                      <w:sz w:val="21"/>
                    </w:rPr>
                    <w:t>/</w:t>
                  </w:r>
                  <w:r>
                    <w:rPr>
                      <w:rFonts w:ascii="宋体" w:eastAsia="宋体"/>
                      <w:spacing w:val="-5"/>
                      <w:sz w:val="21"/>
                    </w:rPr>
                    <w:t>年；天</w:t>
                  </w:r>
                  <w:r>
                    <w:rPr>
                      <w:rFonts w:ascii="宋体" w:eastAsia="宋体"/>
                      <w:spacing w:val="-4"/>
                      <w:sz w:val="21"/>
                    </w:rPr>
                    <w:t>湖</w:t>
                  </w:r>
                  <w:r>
                    <w:rPr>
                      <w:rFonts w:ascii="Times New Roman" w:eastAsia="Times New Roman"/>
                      <w:spacing w:val="-4"/>
                      <w:sz w:val="21"/>
                    </w:rPr>
                    <w:t>-</w:t>
                  </w:r>
                  <w:r>
                    <w:rPr>
                      <w:rFonts w:ascii="宋体" w:eastAsia="宋体"/>
                      <w:spacing w:val="-4"/>
                      <w:sz w:val="21"/>
                    </w:rPr>
                    <w:t>尾亚</w:t>
                  </w:r>
                  <w:r>
                    <w:rPr>
                      <w:rFonts w:ascii="Times New Roman" w:eastAsia="Times New Roman"/>
                      <w:spacing w:val="-4"/>
                      <w:sz w:val="21"/>
                    </w:rPr>
                    <w:t>-</w:t>
                  </w:r>
                  <w:r>
                    <w:rPr>
                      <w:rFonts w:ascii="宋体" w:eastAsia="宋体"/>
                      <w:spacing w:val="-5"/>
                      <w:sz w:val="21"/>
                    </w:rPr>
                    <w:t xml:space="preserve">双峰山矿区，采矿 </w:t>
                  </w:r>
                  <w:r>
                    <w:rPr>
                      <w:rFonts w:ascii="Times New Roman" w:eastAsia="Times New Roman"/>
                      <w:spacing w:val="-4"/>
                      <w:sz w:val="21"/>
                    </w:rPr>
                    <w:t>120</w:t>
                  </w:r>
                  <w:r>
                    <w:rPr>
                      <w:rFonts w:ascii="Times New Roman" w:eastAsia="Times New Roman"/>
                      <w:spacing w:val="-11"/>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5"/>
                      <w:sz w:val="21"/>
                    </w:rPr>
                    <w:t xml:space="preserve">年，铁精粉 </w:t>
                  </w:r>
                  <w:r>
                    <w:rPr>
                      <w:rFonts w:ascii="Times New Roman" w:eastAsia="Times New Roman"/>
                      <w:spacing w:val="-4"/>
                      <w:sz w:val="21"/>
                    </w:rPr>
                    <w:t>60</w:t>
                  </w:r>
                  <w:r>
                    <w:rPr>
                      <w:rFonts w:ascii="Times New Roman" w:eastAsia="Times New Roman"/>
                      <w:spacing w:val="-8"/>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4"/>
                      <w:sz w:val="21"/>
                    </w:rPr>
                    <w:t>年；白山泉</w:t>
                  </w:r>
                  <w:r>
                    <w:rPr>
                      <w:rFonts w:ascii="Times New Roman" w:eastAsia="Times New Roman"/>
                      <w:spacing w:val="-4"/>
                      <w:sz w:val="21"/>
                    </w:rPr>
                    <w:t>-</w:t>
                  </w:r>
                  <w:r>
                    <w:rPr>
                      <w:rFonts w:ascii="宋体" w:eastAsia="宋体"/>
                      <w:spacing w:val="-4"/>
                      <w:sz w:val="21"/>
                    </w:rPr>
                    <w:t>白水井</w:t>
                  </w:r>
                  <w:r>
                    <w:rPr>
                      <w:rFonts w:ascii="Times New Roman" w:eastAsia="Times New Roman"/>
                      <w:spacing w:val="-4"/>
                      <w:sz w:val="21"/>
                    </w:rPr>
                    <w:t>-</w:t>
                  </w:r>
                  <w:r>
                    <w:rPr>
                      <w:rFonts w:ascii="宋体" w:eastAsia="宋体"/>
                      <w:spacing w:val="-4"/>
                      <w:sz w:val="21"/>
                    </w:rPr>
                    <w:t>坡子泉</w:t>
                  </w:r>
                  <w:r>
                    <w:rPr>
                      <w:rFonts w:ascii="Times New Roman" w:eastAsia="Times New Roman"/>
                      <w:spacing w:val="-4"/>
                      <w:sz w:val="21"/>
                    </w:rPr>
                    <w:t>-</w:t>
                  </w:r>
                  <w:r>
                    <w:rPr>
                      <w:rFonts w:ascii="宋体" w:eastAsia="宋体"/>
                      <w:spacing w:val="-6"/>
                      <w:sz w:val="21"/>
                    </w:rPr>
                    <w:t>双井子矿</w:t>
                  </w:r>
                  <w:r>
                    <w:rPr>
                      <w:rFonts w:ascii="宋体" w:eastAsia="宋体"/>
                      <w:spacing w:val="-9"/>
                      <w:sz w:val="21"/>
                    </w:rPr>
                    <w:t xml:space="preserve">区，采矿 </w:t>
                  </w:r>
                  <w:r>
                    <w:rPr>
                      <w:rFonts w:ascii="Times New Roman" w:eastAsia="Times New Roman"/>
                      <w:spacing w:val="-4"/>
                      <w:sz w:val="21"/>
                    </w:rPr>
                    <w:t>300</w:t>
                  </w:r>
                  <w:r>
                    <w:rPr>
                      <w:rFonts w:ascii="Times New Roman" w:eastAsia="Times New Roman"/>
                      <w:spacing w:val="-9"/>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7"/>
                      <w:sz w:val="21"/>
                    </w:rPr>
                    <w:t xml:space="preserve">年，铁精粉 </w:t>
                  </w:r>
                  <w:r>
                    <w:rPr>
                      <w:rFonts w:ascii="Times New Roman" w:eastAsia="Times New Roman"/>
                      <w:spacing w:val="-4"/>
                      <w:sz w:val="21"/>
                    </w:rPr>
                    <w:t>100</w:t>
                  </w:r>
                  <w:r>
                    <w:rPr>
                      <w:rFonts w:ascii="Times New Roman" w:eastAsia="Times New Roman"/>
                      <w:spacing w:val="-7"/>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4"/>
                      <w:sz w:val="21"/>
                    </w:rPr>
                    <w:t>年；伊吾县宝山</w:t>
                  </w:r>
                  <w:r>
                    <w:rPr>
                      <w:rFonts w:ascii="Times New Roman" w:eastAsia="Times New Roman"/>
                      <w:spacing w:val="-4"/>
                      <w:sz w:val="21"/>
                    </w:rPr>
                    <w:t>-</w:t>
                  </w:r>
                  <w:r>
                    <w:rPr>
                      <w:rFonts w:ascii="宋体" w:eastAsia="宋体"/>
                      <w:spacing w:val="-6"/>
                      <w:sz w:val="21"/>
                    </w:rPr>
                    <w:t xml:space="preserve">琼河坝矿区，采矿 </w:t>
                  </w:r>
                  <w:r>
                    <w:rPr>
                      <w:rFonts w:ascii="Times New Roman" w:eastAsia="Times New Roman"/>
                      <w:spacing w:val="-4"/>
                      <w:sz w:val="21"/>
                    </w:rPr>
                    <w:t>50</w:t>
                  </w:r>
                  <w:r>
                    <w:rPr>
                      <w:rFonts w:ascii="Times New Roman" w:eastAsia="Times New Roman"/>
                      <w:spacing w:val="-7"/>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6"/>
                      <w:sz w:val="21"/>
                    </w:rPr>
                    <w:t>年，铁精</w:t>
                  </w:r>
                  <w:r>
                    <w:rPr>
                      <w:rFonts w:ascii="宋体" w:eastAsia="宋体"/>
                      <w:spacing w:val="-16"/>
                      <w:sz w:val="21"/>
                    </w:rPr>
                    <w:t xml:space="preserve">粉 </w:t>
                  </w:r>
                  <w:r>
                    <w:rPr>
                      <w:rFonts w:ascii="Times New Roman" w:eastAsia="Times New Roman"/>
                      <w:spacing w:val="-4"/>
                      <w:sz w:val="21"/>
                    </w:rPr>
                    <w:t>25</w:t>
                  </w:r>
                  <w:r>
                    <w:rPr>
                      <w:rFonts w:ascii="Times New Roman" w:eastAsia="Times New Roman"/>
                      <w:spacing w:val="-5"/>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4"/>
                      <w:sz w:val="21"/>
                    </w:rPr>
                    <w:t>年；库木塔格</w:t>
                  </w:r>
                  <w:r>
                    <w:rPr>
                      <w:rFonts w:ascii="Times New Roman" w:eastAsia="Times New Roman"/>
                      <w:spacing w:val="-4"/>
                      <w:sz w:val="21"/>
                    </w:rPr>
                    <w:t>-</w:t>
                  </w:r>
                  <w:r>
                    <w:rPr>
                      <w:rFonts w:ascii="宋体" w:eastAsia="宋体"/>
                      <w:spacing w:val="-4"/>
                      <w:sz w:val="21"/>
                    </w:rPr>
                    <w:t>沙垄</w:t>
                  </w:r>
                  <w:r>
                    <w:rPr>
                      <w:rFonts w:ascii="Times New Roman" w:eastAsia="Times New Roman"/>
                      <w:spacing w:val="-4"/>
                      <w:sz w:val="21"/>
                    </w:rPr>
                    <w:t>-</w:t>
                  </w:r>
                  <w:r>
                    <w:rPr>
                      <w:rFonts w:ascii="宋体" w:eastAsia="宋体"/>
                      <w:spacing w:val="-5"/>
                      <w:sz w:val="21"/>
                    </w:rPr>
                    <w:t xml:space="preserve">阿拉塔格矿区，采矿 </w:t>
                  </w:r>
                  <w:r>
                    <w:rPr>
                      <w:rFonts w:ascii="Times New Roman" w:eastAsia="Times New Roman"/>
                      <w:spacing w:val="-4"/>
                      <w:sz w:val="21"/>
                    </w:rPr>
                    <w:t>100</w:t>
                  </w:r>
                  <w:r>
                    <w:rPr>
                      <w:rFonts w:ascii="Times New Roman" w:eastAsia="Times New Roman"/>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7"/>
                      <w:sz w:val="21"/>
                    </w:rPr>
                    <w:t xml:space="preserve">年，铁精粉 </w:t>
                  </w:r>
                  <w:r>
                    <w:rPr>
                      <w:rFonts w:ascii="Times New Roman" w:eastAsia="Times New Roman"/>
                      <w:spacing w:val="-4"/>
                      <w:sz w:val="21"/>
                    </w:rPr>
                    <w:t>50</w:t>
                  </w:r>
                  <w:r>
                    <w:rPr>
                      <w:rFonts w:ascii="Times New Roman" w:eastAsia="Times New Roman"/>
                      <w:spacing w:val="1"/>
                      <w:sz w:val="21"/>
                    </w:rPr>
                    <w:t xml:space="preserve"> </w:t>
                  </w:r>
                  <w:r>
                    <w:rPr>
                      <w:rFonts w:ascii="宋体" w:eastAsia="宋体"/>
                      <w:spacing w:val="-4"/>
                      <w:sz w:val="21"/>
                    </w:rPr>
                    <w:t>万吨</w:t>
                  </w:r>
                  <w:r>
                    <w:rPr>
                      <w:rFonts w:ascii="Times New Roman" w:eastAsia="Times New Roman"/>
                      <w:spacing w:val="-4"/>
                      <w:sz w:val="21"/>
                    </w:rPr>
                    <w:t>/</w:t>
                  </w:r>
                  <w:r>
                    <w:rPr>
                      <w:rFonts w:ascii="宋体" w:eastAsia="宋体"/>
                      <w:spacing w:val="-7"/>
                      <w:sz w:val="21"/>
                    </w:rPr>
                    <w:t>年。</w:t>
                  </w:r>
                </w:p>
                <w:p w14:paraId="5DB446F6">
                  <w:pPr>
                    <w:spacing w:before="0" w:line="298" w:lineRule="auto"/>
                    <w:ind w:left="0" w:right="0" w:firstLine="482"/>
                    <w:jc w:val="both"/>
                    <w:rPr>
                      <w:rFonts w:ascii="宋体" w:eastAsia="宋体"/>
                      <w:sz w:val="21"/>
                    </w:rPr>
                  </w:pPr>
                  <w:r>
                    <w:rPr>
                      <w:rFonts w:hint="eastAsia" w:ascii="黑体" w:eastAsia="黑体"/>
                      <w:b/>
                      <w:spacing w:val="-2"/>
                      <w:sz w:val="21"/>
                    </w:rPr>
                    <w:t>有色金属主要矿区：</w:t>
                  </w:r>
                  <w:r>
                    <w:rPr>
                      <w:rFonts w:ascii="宋体" w:eastAsia="宋体"/>
                      <w:spacing w:val="-2"/>
                      <w:sz w:val="21"/>
                    </w:rPr>
                    <w:t>黄山</w:t>
                  </w:r>
                  <w:r>
                    <w:rPr>
                      <w:rFonts w:ascii="Times New Roman" w:eastAsia="Times New Roman"/>
                      <w:spacing w:val="-2"/>
                      <w:sz w:val="21"/>
                    </w:rPr>
                    <w:t>-</w:t>
                  </w:r>
                  <w:r>
                    <w:rPr>
                      <w:rFonts w:ascii="宋体" w:eastAsia="宋体"/>
                      <w:spacing w:val="-2"/>
                      <w:sz w:val="21"/>
                    </w:rPr>
                    <w:t>黄山东</w:t>
                  </w:r>
                  <w:r>
                    <w:rPr>
                      <w:rFonts w:ascii="Times New Roman" w:eastAsia="Times New Roman"/>
                      <w:spacing w:val="-2"/>
                      <w:sz w:val="21"/>
                    </w:rPr>
                    <w:t>-</w:t>
                  </w:r>
                  <w:r>
                    <w:rPr>
                      <w:rFonts w:ascii="宋体" w:eastAsia="宋体"/>
                      <w:spacing w:val="-2"/>
                      <w:sz w:val="21"/>
                    </w:rPr>
                    <w:t>香山铜镍矿区；图拉尔根</w:t>
                  </w:r>
                  <w:r>
                    <w:rPr>
                      <w:rFonts w:ascii="Times New Roman" w:eastAsia="Times New Roman"/>
                      <w:spacing w:val="-2"/>
                      <w:sz w:val="21"/>
                    </w:rPr>
                    <w:t>-</w:t>
                  </w:r>
                  <w:r>
                    <w:rPr>
                      <w:rFonts w:ascii="宋体" w:eastAsia="宋体"/>
                      <w:spacing w:val="-2"/>
                      <w:sz w:val="21"/>
                    </w:rPr>
                    <w:t>镜儿泉铜镍矿区；沙泉子镍矿区；哈密土屋</w:t>
                  </w:r>
                  <w:r>
                    <w:rPr>
                      <w:rFonts w:ascii="Times New Roman" w:eastAsia="Times New Roman"/>
                      <w:spacing w:val="-2"/>
                      <w:sz w:val="21"/>
                    </w:rPr>
                    <w:t>-</w:t>
                  </w:r>
                  <w:r>
                    <w:rPr>
                      <w:rFonts w:ascii="宋体" w:eastAsia="宋体"/>
                      <w:spacing w:val="-2"/>
                      <w:sz w:val="21"/>
                    </w:rPr>
                    <w:t>延东</w:t>
                  </w:r>
                  <w:r>
                    <w:rPr>
                      <w:rFonts w:ascii="Times New Roman" w:eastAsia="Times New Roman"/>
                      <w:spacing w:val="-2"/>
                      <w:sz w:val="21"/>
                    </w:rPr>
                    <w:t>-</w:t>
                  </w:r>
                  <w:r>
                    <w:rPr>
                      <w:rFonts w:ascii="宋体" w:eastAsia="宋体"/>
                      <w:spacing w:val="-2"/>
                      <w:sz w:val="21"/>
                    </w:rPr>
                    <w:t>沙尔湖铜金属成矿带；沙泉子北铜矿</w:t>
                  </w:r>
                  <w:r>
                    <w:rPr>
                      <w:rFonts w:ascii="Times New Roman" w:eastAsia="Times New Roman"/>
                      <w:spacing w:val="-2"/>
                      <w:sz w:val="21"/>
                    </w:rPr>
                    <w:t>-</w:t>
                  </w:r>
                  <w:r>
                    <w:rPr>
                      <w:rFonts w:ascii="宋体" w:eastAsia="宋体"/>
                      <w:spacing w:val="-2"/>
                      <w:sz w:val="21"/>
                    </w:rPr>
                    <w:t>白干湖</w:t>
                  </w:r>
                  <w:r>
                    <w:rPr>
                      <w:rFonts w:ascii="Times New Roman" w:eastAsia="Times New Roman"/>
                      <w:spacing w:val="-2"/>
                      <w:sz w:val="21"/>
                    </w:rPr>
                    <w:t>-</w:t>
                  </w:r>
                  <w:r>
                    <w:rPr>
                      <w:rFonts w:ascii="宋体" w:eastAsia="宋体"/>
                      <w:spacing w:val="-2"/>
                      <w:sz w:val="21"/>
                    </w:rPr>
                    <w:t>白水井区域；三岔口铜矿区域；伊吾桑德乌兰铜金属成矿带；镜儿泉</w:t>
                  </w:r>
                  <w:r>
                    <w:rPr>
                      <w:rFonts w:ascii="Times New Roman" w:eastAsia="Times New Roman"/>
                      <w:spacing w:val="-2"/>
                      <w:sz w:val="21"/>
                    </w:rPr>
                    <w:t>-</w:t>
                  </w:r>
                  <w:r>
                    <w:rPr>
                      <w:rFonts w:ascii="宋体" w:eastAsia="宋体"/>
                      <w:spacing w:val="-2"/>
                      <w:sz w:val="21"/>
                    </w:rPr>
                    <w:t>白山区域及大南湖</w:t>
                  </w:r>
                  <w:r>
                    <w:rPr>
                      <w:rFonts w:ascii="Times New Roman" w:eastAsia="Times New Roman"/>
                      <w:spacing w:val="-2"/>
                      <w:sz w:val="21"/>
                    </w:rPr>
                    <w:t>-</w:t>
                  </w:r>
                  <w:r>
                    <w:rPr>
                      <w:rFonts w:ascii="宋体" w:eastAsia="宋体"/>
                      <w:spacing w:val="-2"/>
                      <w:sz w:val="21"/>
                    </w:rPr>
                    <w:t>南坡子泉</w:t>
                  </w:r>
                  <w:r>
                    <w:rPr>
                      <w:rFonts w:ascii="Times New Roman" w:eastAsia="Times New Roman"/>
                      <w:spacing w:val="-2"/>
                      <w:sz w:val="21"/>
                    </w:rPr>
                    <w:t>-</w:t>
                  </w:r>
                  <w:r>
                    <w:rPr>
                      <w:rFonts w:ascii="宋体" w:eastAsia="宋体"/>
                      <w:spacing w:val="-2"/>
                      <w:sz w:val="21"/>
                    </w:rPr>
                    <w:t>沁城区域。</w:t>
                  </w:r>
                </w:p>
                <w:p w14:paraId="3B9BDC72">
                  <w:pPr>
                    <w:spacing w:before="0" w:line="298" w:lineRule="auto"/>
                    <w:ind w:left="0" w:right="0" w:firstLine="410"/>
                    <w:jc w:val="both"/>
                    <w:rPr>
                      <w:rFonts w:ascii="宋体" w:eastAsia="宋体"/>
                      <w:sz w:val="21"/>
                    </w:rPr>
                  </w:pPr>
                  <w:r>
                    <w:rPr>
                      <w:rFonts w:hint="eastAsia" w:ascii="黑体" w:eastAsia="黑体"/>
                      <w:b/>
                      <w:spacing w:val="-2"/>
                      <w:sz w:val="21"/>
                    </w:rPr>
                    <w:t>非金属矿产资源矿区：</w:t>
                  </w:r>
                  <w:r>
                    <w:rPr>
                      <w:rFonts w:ascii="宋体" w:eastAsia="宋体"/>
                      <w:spacing w:val="-2"/>
                      <w:sz w:val="21"/>
                    </w:rPr>
                    <w:t>星星峡、阿拉塔格、彩霞山、下马崖一带的石材，尾亚白山玻璃用脉石英矿、天湖玻璃用石英岩、红土峡冶金用脉石英矿。</w:t>
                  </w:r>
                </w:p>
              </w:txbxContent>
            </v:textbox>
            <w10:wrap type="none"/>
            <w10:anchorlock/>
          </v:shape>
        </w:pict>
      </w:r>
    </w:p>
    <w:p w14:paraId="18659463">
      <w:pPr>
        <w:pStyle w:val="5"/>
        <w:spacing w:before="12"/>
        <w:ind w:left="0"/>
        <w:rPr>
          <w:sz w:val="14"/>
        </w:rPr>
      </w:pPr>
    </w:p>
    <w:p w14:paraId="03CED701">
      <w:pPr>
        <w:pStyle w:val="3"/>
        <w:spacing w:before="62"/>
        <w:ind w:left="0" w:right="0"/>
        <w:jc w:val="center"/>
        <w:rPr>
          <w:i w:val="0"/>
          <w:iCs w:val="0"/>
        </w:rPr>
      </w:pPr>
      <w:bookmarkStart w:id="40" w:name="第二节  优化物流和旅游产业布局，提升区域集散辐射功能"/>
      <w:bookmarkEnd w:id="40"/>
      <w:bookmarkStart w:id="41" w:name="_bookmark9"/>
      <w:bookmarkEnd w:id="41"/>
      <w:bookmarkStart w:id="42" w:name="_Toc272592053"/>
      <w:bookmarkStart w:id="43" w:name="_Toc683210923"/>
      <w:bookmarkStart w:id="44" w:name="_Toc1292207721"/>
      <w:bookmarkStart w:id="45" w:name="_Toc8302"/>
      <w:r>
        <w:rPr>
          <w:i w:val="0"/>
          <w:iCs w:val="0"/>
        </w:rPr>
        <w:t>第二</w:t>
      </w:r>
      <w:r>
        <w:rPr>
          <w:i w:val="0"/>
          <w:iCs w:val="0"/>
          <w:spacing w:val="19"/>
        </w:rPr>
        <w:t>节 优</w:t>
      </w:r>
      <w:r>
        <w:rPr>
          <w:i w:val="0"/>
          <w:iCs w:val="0"/>
        </w:rPr>
        <w:t>化物流和旅游产业布局，提升区域集散辐射</w:t>
      </w:r>
      <w:r>
        <w:rPr>
          <w:i w:val="0"/>
          <w:iCs w:val="0"/>
          <w:spacing w:val="-5"/>
        </w:rPr>
        <w:t>功能</w:t>
      </w:r>
      <w:bookmarkEnd w:id="42"/>
      <w:bookmarkEnd w:id="43"/>
      <w:bookmarkEnd w:id="44"/>
      <w:bookmarkEnd w:id="45"/>
    </w:p>
    <w:p w14:paraId="238B7A1D">
      <w:pPr>
        <w:pStyle w:val="5"/>
        <w:spacing w:before="11"/>
        <w:ind w:left="0"/>
        <w:rPr>
          <w:rFonts w:ascii="楷体_GB2312"/>
          <w:b/>
          <w:i/>
          <w:sz w:val="31"/>
        </w:rPr>
      </w:pPr>
    </w:p>
    <w:p w14:paraId="12928D0B">
      <w:pPr>
        <w:pStyle w:val="5"/>
        <w:spacing w:before="0" w:line="363" w:lineRule="auto"/>
        <w:ind w:left="0" w:right="0" w:firstLine="448" w:firstLineChars="200"/>
        <w:jc w:val="both"/>
        <w:rPr>
          <w:spacing w:val="-28"/>
        </w:rPr>
      </w:pPr>
      <w:r>
        <w:rPr>
          <w:spacing w:val="-28"/>
        </w:rPr>
        <w:t>“十二五”期间，按照“依据规模等级、全面延伸覆盖”的原则，合理布局和构建物流、旅游等服务业网络体系，积极推进特色物流园区和精品旅游景区建设。</w:t>
      </w:r>
    </w:p>
    <w:p w14:paraId="1B77190E">
      <w:pPr>
        <w:pStyle w:val="5"/>
        <w:spacing w:before="0" w:line="363" w:lineRule="auto"/>
        <w:ind w:left="0" w:right="0" w:firstLine="536" w:firstLineChars="200"/>
        <w:jc w:val="both"/>
        <w:rPr>
          <w:spacing w:val="-6"/>
        </w:rPr>
      </w:pPr>
      <w:r>
        <w:rPr>
          <w:spacing w:val="-6"/>
        </w:rPr>
        <w:t>以现有城镇格局为基础，加速完善交通运输管理体系，提高公路、铁路和航空运输的客货运能力，加强旅游业的辐射带动力，提升哈密地区对外辐射功能，把哈密地区建成我国重要的“东联西出，西来东去，东西双向”的次区域开放平台和物流、人流集散地。</w:t>
      </w:r>
    </w:p>
    <w:p w14:paraId="4D0F84E7">
      <w:pPr>
        <w:pStyle w:val="5"/>
        <w:spacing w:before="0" w:line="363" w:lineRule="auto"/>
        <w:ind w:left="0" w:right="0" w:firstLine="536" w:firstLineChars="200"/>
        <w:jc w:val="both"/>
        <w:rPr>
          <w:spacing w:val="-6"/>
        </w:rPr>
      </w:pPr>
      <w:r>
        <w:rPr>
          <w:spacing w:val="-6"/>
        </w:rPr>
        <w:t>以哈密市为地区内一级节点，以巴里坤县和伊吾县为二级节点，依托哈密铁路枢纽及南北环线，积极推进公铁联运物流园区、工业物流园区、煤炭物流园区、特色农副产品物流园区建设，形成辐射周边区域的物流中心，促进以网络为基础的新型商业的发展。</w:t>
      </w:r>
    </w:p>
    <w:p w14:paraId="1158B7F6">
      <w:pPr>
        <w:pStyle w:val="5"/>
        <w:spacing w:before="0" w:line="363" w:lineRule="auto"/>
        <w:ind w:left="0" w:right="0" w:firstLine="516" w:firstLineChars="200"/>
        <w:jc w:val="both"/>
      </w:pPr>
      <w:r>
        <w:rPr>
          <w:spacing w:val="-11"/>
        </w:rPr>
        <w:t>以东天山为主线，以哈密市为中心，以伊吾和巴里坤县城为依托，根据旅游资源分布状况、交通格局变化趋势、城镇基础设施配套能力及产业经济发展支撑能力，形成“一轴，三个集散区，两大线路，六个特色片区”的旅</w:t>
      </w:r>
      <w:r>
        <w:rPr>
          <w:spacing w:val="-2"/>
        </w:rPr>
        <w:t>游产业空间格局。</w:t>
      </w:r>
    </w:p>
    <w:p w14:paraId="215E8E69">
      <w:pPr>
        <w:spacing w:after="0" w:line="333" w:lineRule="auto"/>
        <w:sectPr>
          <w:pgSz w:w="11910" w:h="16840"/>
          <w:pgMar w:top="1920" w:right="1260" w:bottom="1180" w:left="1480" w:header="0" w:footer="993" w:gutter="0"/>
          <w:pgNumType w:fmt="decimal"/>
          <w:cols w:space="720" w:num="1"/>
        </w:sectPr>
      </w:pPr>
    </w:p>
    <w:p w14:paraId="7A0C208B">
      <w:pPr>
        <w:pStyle w:val="5"/>
        <w:ind w:left="220"/>
        <w:rPr>
          <w:sz w:val="20"/>
        </w:rPr>
      </w:pPr>
      <w:r>
        <w:rPr>
          <w:sz w:val="20"/>
        </w:rPr>
        <w:pict>
          <v:group id="docshapegroup16" o:spid="_x0000_s1035" o:spt="203" style="height:171.3pt;width:432.35pt;" coordsize="8647,3426">
            <o:lock v:ext="edit"/>
            <v:shape id="docshape17" o:spid="_x0000_s1036" style="position:absolute;left:0;top:0;height:3426;width:8647;" fillcolor="#000000" filled="t" stroked="f" coordsize="8647,3426" path="m8647,3426l0,3426,0,0,8647,0,8647,8,15,8,8,15,15,15,15,3411,8,3411,15,3419,8647,3419,8647,3426xm15,15l8,15,15,8,15,15xm8632,15l15,15,15,8,8632,8,8632,15xm8632,3419l8632,8,8640,15,8647,15,8647,3411,8640,3411,8632,3419xm8647,15l8640,15,8632,8,8647,8,8647,15xm15,3419l8,3411,15,3411,15,3419xm8632,3419l15,3419,15,3411,8632,3411,8632,3419xm8647,3419l8632,3419,8640,3411,8647,3411,8647,3419xe">
              <v:path arrowok="t"/>
              <v:fill on="t" focussize="0,0"/>
              <v:stroke on="f"/>
              <v:imagedata o:title=""/>
              <o:lock v:ext="edit"/>
            </v:shape>
            <v:shape id="docshape18" o:spid="_x0000_s1037" o:spt="202" type="#_x0000_t202" style="position:absolute;left:0;top:0;height:3426;width:8647;" filled="f" stroked="f" coordsize="21600,21600">
              <v:path/>
              <v:fill on="f" focussize="0,0"/>
              <v:stroke on="f" joinstyle="miter"/>
              <v:imagedata o:title=""/>
              <o:lock v:ext="edit"/>
              <v:textbox inset="0mm,0mm,0mm,0mm">
                <w:txbxContent>
                  <w:p w14:paraId="05F18601">
                    <w:pPr>
                      <w:spacing w:before="5" w:line="240" w:lineRule="auto"/>
                      <w:rPr>
                        <w:sz w:val="15"/>
                      </w:rPr>
                    </w:pPr>
                  </w:p>
                  <w:p w14:paraId="09C15B00">
                    <w:pPr>
                      <w:spacing w:before="0" w:beforeLines="0" w:afterLines="0" w:line="298" w:lineRule="auto"/>
                      <w:ind w:left="573" w:right="2296" w:firstLine="2245"/>
                      <w:jc w:val="left"/>
                      <w:rPr>
                        <w:rFonts w:ascii="宋体" w:eastAsia="宋体"/>
                        <w:sz w:val="21"/>
                      </w:rPr>
                    </w:pPr>
                    <w:r>
                      <w:rPr>
                        <w:rFonts w:hint="eastAsia" w:ascii="黑体" w:eastAsia="黑体"/>
                        <w:b/>
                        <w:spacing w:val="-9"/>
                        <w:sz w:val="21"/>
                      </w:rPr>
                      <w:t xml:space="preserve">专栏 </w:t>
                    </w:r>
                    <w:r>
                      <w:rPr>
                        <w:rFonts w:hint="eastAsia" w:ascii="黑体" w:eastAsia="黑体"/>
                        <w:b/>
                        <w:sz w:val="21"/>
                      </w:rPr>
                      <w:t>3-3 哈密地区旅游产业空间格局</w:t>
                    </w:r>
                    <w:r>
                      <w:rPr>
                        <w:rFonts w:hint="eastAsia" w:ascii="黑体" w:eastAsia="黑体"/>
                        <w:b/>
                        <w:spacing w:val="-2"/>
                        <w:sz w:val="21"/>
                      </w:rPr>
                      <w:t>一轴：</w:t>
                    </w:r>
                    <w:r>
                      <w:rPr>
                        <w:rFonts w:ascii="宋体" w:eastAsia="宋体"/>
                        <w:spacing w:val="-2"/>
                        <w:sz w:val="21"/>
                      </w:rPr>
                      <w:t>以天山公路为轴，建立旅游核心轴带</w:t>
                    </w:r>
                  </w:p>
                  <w:p w14:paraId="36DAF59C">
                    <w:pPr>
                      <w:spacing w:before="3" w:line="298" w:lineRule="auto"/>
                      <w:ind w:left="159" w:right="159" w:firstLine="412"/>
                      <w:jc w:val="left"/>
                      <w:rPr>
                        <w:rFonts w:ascii="宋体" w:eastAsia="宋体"/>
                        <w:sz w:val="21"/>
                      </w:rPr>
                    </w:pPr>
                    <w:r>
                      <w:rPr>
                        <w:rFonts w:hint="eastAsia" w:ascii="黑体" w:eastAsia="黑体"/>
                        <w:b/>
                        <w:spacing w:val="-4"/>
                        <w:sz w:val="21"/>
                      </w:rPr>
                      <w:t>三个集散区：</w:t>
                    </w:r>
                    <w:r>
                      <w:rPr>
                        <w:rFonts w:ascii="宋体" w:eastAsia="宋体"/>
                        <w:spacing w:val="-4"/>
                        <w:sz w:val="21"/>
                      </w:rPr>
                      <w:t>哈密市城区历史与绿洲文化旅游区、巴里坤县草原文化旅游区、伊吾县自</w:t>
                    </w:r>
                    <w:r>
                      <w:rPr>
                        <w:rFonts w:ascii="宋体" w:eastAsia="宋体"/>
                        <w:spacing w:val="-2"/>
                        <w:sz w:val="21"/>
                      </w:rPr>
                      <w:t>然风情旅游区</w:t>
                    </w:r>
                  </w:p>
                  <w:p w14:paraId="64F270DE">
                    <w:pPr>
                      <w:spacing w:before="0" w:line="298" w:lineRule="auto"/>
                      <w:ind w:left="159" w:right="159" w:firstLine="412"/>
                      <w:jc w:val="left"/>
                      <w:rPr>
                        <w:rFonts w:ascii="宋体" w:eastAsia="宋体"/>
                        <w:sz w:val="21"/>
                      </w:rPr>
                    </w:pPr>
                    <w:r>
                      <w:rPr>
                        <w:rFonts w:hint="eastAsia" w:ascii="黑体" w:eastAsia="黑体"/>
                        <w:b/>
                        <w:spacing w:val="-2"/>
                        <w:sz w:val="21"/>
                      </w:rPr>
                      <w:t>两大线路：</w:t>
                    </w:r>
                    <w:r>
                      <w:rPr>
                        <w:rFonts w:ascii="宋体" w:eastAsia="宋体"/>
                        <w:spacing w:val="-2"/>
                        <w:sz w:val="21"/>
                      </w:rPr>
                      <w:t>北部环线，伊吾河谷-淖毛湖-三塘湖-大河唐城-巴里坤县城-鸣沙山-喀尔克山；南部环线，哈密城-二堡-白杨沟遗址-五堡-拉布确克古城-三道岭遗址</w:t>
                    </w:r>
                  </w:p>
                  <w:p w14:paraId="50F8EF0B">
                    <w:pPr>
                      <w:spacing w:before="0" w:line="298" w:lineRule="auto"/>
                      <w:ind w:left="159" w:right="159" w:firstLine="412"/>
                      <w:jc w:val="left"/>
                      <w:rPr>
                        <w:rFonts w:ascii="宋体" w:eastAsia="宋体"/>
                        <w:sz w:val="21"/>
                      </w:rPr>
                    </w:pPr>
                    <w:r>
                      <w:rPr>
                        <w:rFonts w:hint="eastAsia" w:ascii="黑体" w:eastAsia="黑体"/>
                        <w:b/>
                        <w:spacing w:val="-4"/>
                        <w:sz w:val="21"/>
                      </w:rPr>
                      <w:t>六大特色片区：</w:t>
                    </w:r>
                    <w:r>
                      <w:rPr>
                        <w:rFonts w:ascii="宋体" w:eastAsia="宋体"/>
                        <w:spacing w:val="-4"/>
                        <w:sz w:val="21"/>
                      </w:rPr>
                      <w:t>星星峡文化区、哈密荒漠探险区、沙漠绿洲文化区、伊吾河谷休闲度假</w:t>
                    </w:r>
                    <w:r>
                      <w:rPr>
                        <w:rFonts w:ascii="宋体" w:eastAsia="宋体"/>
                        <w:spacing w:val="-2"/>
                        <w:sz w:val="21"/>
                      </w:rPr>
                      <w:t>区、三塘湖-淖毛湖奇石文化区、丝路新北道文化区</w:t>
                    </w:r>
                  </w:p>
                </w:txbxContent>
              </v:textbox>
            </v:shape>
            <w10:wrap type="none"/>
            <w10:anchorlock/>
          </v:group>
        </w:pict>
      </w:r>
    </w:p>
    <w:p w14:paraId="08FF637C">
      <w:pPr>
        <w:pStyle w:val="5"/>
        <w:spacing w:before="10"/>
        <w:ind w:left="0"/>
        <w:rPr>
          <w:sz w:val="15"/>
        </w:rPr>
      </w:pPr>
    </w:p>
    <w:p w14:paraId="7E6CAA5D">
      <w:pPr>
        <w:pStyle w:val="3"/>
        <w:spacing w:before="61"/>
        <w:ind w:left="0" w:right="0"/>
        <w:rPr>
          <w:i w:val="0"/>
          <w:iCs w:val="0"/>
        </w:rPr>
      </w:pPr>
      <w:bookmarkStart w:id="46" w:name="_bookmark10"/>
      <w:bookmarkEnd w:id="46"/>
      <w:bookmarkStart w:id="47" w:name="第三节  优化“南园北牧”格局，促进农牧业协调发展"/>
      <w:bookmarkEnd w:id="47"/>
      <w:bookmarkStart w:id="48" w:name="_Toc1136206434"/>
      <w:bookmarkStart w:id="49" w:name="_Toc31475"/>
      <w:bookmarkStart w:id="50" w:name="_Toc1390197535"/>
      <w:bookmarkStart w:id="51" w:name="_Toc311839011"/>
      <w:r>
        <w:rPr>
          <w:i w:val="0"/>
          <w:iCs w:val="0"/>
        </w:rPr>
        <w:t>第三</w:t>
      </w:r>
      <w:r>
        <w:rPr>
          <w:i w:val="0"/>
          <w:iCs w:val="0"/>
          <w:spacing w:val="21"/>
        </w:rPr>
        <w:t>节 优</w:t>
      </w:r>
      <w:r>
        <w:rPr>
          <w:i w:val="0"/>
          <w:iCs w:val="0"/>
        </w:rPr>
        <w:t>化“南园北牧”格局，促进农牧业协调发</w:t>
      </w:r>
      <w:r>
        <w:rPr>
          <w:i w:val="0"/>
          <w:iCs w:val="0"/>
          <w:spacing w:val="-10"/>
        </w:rPr>
        <w:t>展</w:t>
      </w:r>
      <w:bookmarkEnd w:id="48"/>
      <w:bookmarkEnd w:id="49"/>
      <w:bookmarkEnd w:id="50"/>
      <w:bookmarkEnd w:id="51"/>
    </w:p>
    <w:p w14:paraId="2A512175">
      <w:pPr>
        <w:pStyle w:val="5"/>
        <w:spacing w:before="1"/>
        <w:ind w:left="0"/>
        <w:rPr>
          <w:rFonts w:ascii="楷体_GB2312"/>
          <w:b/>
          <w:i/>
          <w:sz w:val="33"/>
        </w:rPr>
      </w:pPr>
    </w:p>
    <w:p w14:paraId="7ACAB71F">
      <w:pPr>
        <w:pStyle w:val="5"/>
        <w:spacing w:line="363" w:lineRule="auto"/>
        <w:ind w:left="0" w:right="0" w:firstLine="552" w:firstLineChars="200"/>
        <w:jc w:val="both"/>
      </w:pPr>
      <w:r>
        <w:rPr>
          <w:spacing w:val="-2"/>
        </w:rPr>
        <w:t>继续发展“南园北牧”特色农业，按照“收缩转移、集约发展”的原则，进一步优化“南园北牧”特色农业格局。坚持“调粮、退棉、增经、扩草”产业结构调整方针，压缩总种植规模，对生态环境、水资源等破坏严重的低产田、盐碱地等逐年进行退耕，加快发展以大枣为主的特色林果业和设施农业，扩大蔬菜和人工饲草料面</w:t>
      </w:r>
      <w:r>
        <w:rPr>
          <w:spacing w:val="-12"/>
        </w:rPr>
        <w:t xml:space="preserve">积，确保农业高产高效。“十二五”末完成退耕 </w:t>
      </w:r>
      <w:r>
        <w:rPr>
          <w:spacing w:val="-6"/>
        </w:rPr>
        <w:t>20</w:t>
      </w:r>
      <w:r>
        <w:rPr>
          <w:spacing w:val="-11"/>
        </w:rPr>
        <w:t xml:space="preserve"> 万亩。突出发展现</w:t>
      </w:r>
      <w:r>
        <w:rPr>
          <w:spacing w:val="-2"/>
        </w:rPr>
        <w:t>代养殖业，全面提高畜牧业整体效益。围绕优势产品打造优势产业，建设一批规模化、标准化的农产品生产基地和国家、自治区现代农业示范园区、红枣标准化园区、现代畜牧业示范园区。</w:t>
      </w:r>
    </w:p>
    <w:p w14:paraId="7F379C56">
      <w:pPr>
        <w:pStyle w:val="5"/>
        <w:spacing w:before="0" w:line="363" w:lineRule="auto"/>
        <w:ind w:left="0" w:right="0" w:firstLine="552" w:firstLineChars="200"/>
        <w:jc w:val="both"/>
        <w:rPr>
          <w:spacing w:val="-2"/>
        </w:rPr>
      </w:pPr>
      <w:r>
        <w:rPr>
          <w:spacing w:val="-2"/>
        </w:rPr>
        <w:t>山南大力发展以大枣为主的林果业、牛羊育肥业和设施农业生产基地。到 2015 年建成哈密市恒顺公司、西戈壁开发区、大泉湾乡等 3个万亩日光温室蔬菜基地；红枣产业由扩大建园规模转为提高成园标准，加强枣园技术服务与管理，优化品种结构，提高商品产量，挂果面积达到 30 万亩。山北重点发展奶业、舍饲养殖育肥业、晚熟哈密瓜等特色产业，扩大大陆蔬菜和马铃薯种植面积，形成 20 万亩优质饲草料基地，建成 2 个 30 万头生猪基地，2 个 10 万头牛羊育肥基地和 8个千头优质奶牛生产基地，达到现代化标准。“十二五”末，哈密地区第一产业区域经济分工更加明确，农牧业协调发展，区域空间格局更加优化。</w:t>
      </w:r>
    </w:p>
    <w:p w14:paraId="094F134E">
      <w:pPr>
        <w:spacing w:after="0" w:line="348" w:lineRule="auto"/>
        <w:jc w:val="both"/>
        <w:sectPr>
          <w:pgSz w:w="11910" w:h="16840"/>
          <w:pgMar w:top="1420" w:right="1260" w:bottom="1180" w:left="1480" w:header="0" w:footer="993" w:gutter="0"/>
          <w:pgNumType w:fmt="decimal"/>
          <w:cols w:space="720" w:num="1"/>
        </w:sectPr>
      </w:pPr>
    </w:p>
    <w:p w14:paraId="25ED728E">
      <w:pPr>
        <w:pStyle w:val="2"/>
        <w:tabs>
          <w:tab w:val="left" w:pos="1199"/>
        </w:tabs>
        <w:spacing w:before="140"/>
        <w:ind w:right="0"/>
      </w:pPr>
      <w:bookmarkStart w:id="52" w:name="第四章  推进新型工业化进程，构建现代产业体系"/>
      <w:bookmarkEnd w:id="52"/>
      <w:bookmarkStart w:id="53" w:name="_bookmark11"/>
      <w:bookmarkEnd w:id="53"/>
      <w:bookmarkStart w:id="54" w:name="_Toc114624420"/>
      <w:bookmarkStart w:id="55" w:name="_Toc812495630"/>
      <w:bookmarkStart w:id="56" w:name="_Toc1028"/>
      <w:bookmarkStart w:id="57" w:name="_Toc1197911239"/>
      <w:r>
        <w:t>第四</w:t>
      </w:r>
      <w:r>
        <w:rPr>
          <w:spacing w:val="-10"/>
        </w:rPr>
        <w:t>章</w:t>
      </w:r>
      <w:r>
        <w:tab/>
      </w:r>
      <w:r>
        <w:t>推进新型工业化进程，构建现代产业体</w:t>
      </w:r>
      <w:r>
        <w:rPr>
          <w:spacing w:val="-10"/>
        </w:rPr>
        <w:t>系</w:t>
      </w:r>
      <w:bookmarkEnd w:id="54"/>
      <w:bookmarkEnd w:id="55"/>
      <w:bookmarkEnd w:id="56"/>
      <w:bookmarkEnd w:id="57"/>
    </w:p>
    <w:p w14:paraId="2E47B8CB">
      <w:pPr>
        <w:pStyle w:val="5"/>
        <w:spacing w:before="11"/>
        <w:ind w:left="0"/>
        <w:rPr>
          <w:rFonts w:ascii="黑体"/>
          <w:sz w:val="30"/>
        </w:rPr>
      </w:pPr>
    </w:p>
    <w:p w14:paraId="1406B810">
      <w:pPr>
        <w:pStyle w:val="5"/>
        <w:spacing w:before="0" w:line="363" w:lineRule="auto"/>
        <w:ind w:left="0" w:right="0" w:firstLine="536" w:firstLineChars="200"/>
        <w:jc w:val="both"/>
      </w:pPr>
      <w:r>
        <w:rPr>
          <w:spacing w:val="-6"/>
        </w:rPr>
        <w:t>坚定不移地</w:t>
      </w:r>
      <w:r>
        <w:rPr>
          <w:rFonts w:hint="eastAsia"/>
          <w:spacing w:val="-6"/>
          <w:lang w:eastAsia="zh-CN"/>
        </w:rPr>
        <w:t>深化</w:t>
      </w:r>
      <w:r>
        <w:rPr>
          <w:spacing w:val="-6"/>
        </w:rPr>
        <w:t>“工业强区”</w:t>
      </w:r>
      <w:r>
        <w:rPr>
          <w:rFonts w:hint="eastAsia"/>
          <w:spacing w:val="-6"/>
          <w:lang w:eastAsia="zh-CN"/>
        </w:rPr>
        <w:t>实践</w:t>
      </w:r>
      <w:r>
        <w:rPr>
          <w:spacing w:val="-6"/>
        </w:rPr>
        <w:t>，坚持“实力优先、效益优先、</w:t>
      </w:r>
      <w:r>
        <w:rPr>
          <w:spacing w:val="-2"/>
        </w:rPr>
        <w:t>精深加工优先、资源节约优先、低耗水项目优先”原则，按照“高起点、高水平、高效益”要求，大力推进“产业高端化、发展高质化、装备现代化、管理精细化”进程。以信息化和高新技术提升改造传统产业，不断拉长产业链，提高附加值，努力实现优势资源转化效率最</w:t>
      </w:r>
      <w:r>
        <w:rPr>
          <w:spacing w:val="-6"/>
        </w:rPr>
        <w:t>大化。加速推进煤电冶、煤化工、风光电、煤炭生产外运“四大基地”</w:t>
      </w:r>
      <w:r>
        <w:rPr>
          <w:spacing w:val="-2"/>
        </w:rPr>
        <w:t>建设，着力构建符合哈密实际的现代产业体系，突出抓好“九大产业</w:t>
      </w:r>
      <w:r>
        <w:rPr>
          <w:spacing w:val="-106"/>
        </w:rPr>
        <w:t>链”</w:t>
      </w:r>
      <w:r>
        <w:rPr>
          <w:spacing w:val="-3"/>
        </w:rPr>
        <w:t>（</w:t>
      </w:r>
      <w:r>
        <w:rPr>
          <w:spacing w:val="-18"/>
        </w:rPr>
        <w:t>煤电冶、煤化工、风光电及配套装备制造、矿山和电力机械设备、</w:t>
      </w:r>
      <w:r>
        <w:rPr>
          <w:spacing w:val="-2"/>
        </w:rPr>
        <w:t>石油天然气下游产品开发、建筑材料开发、盐化工精深加工、特色农产品和食品加工、生物和医药</w:t>
      </w:r>
      <w:r>
        <w:rPr>
          <w:spacing w:val="-94"/>
        </w:rPr>
        <w:t>）</w:t>
      </w:r>
      <w:r>
        <w:rPr>
          <w:spacing w:val="-13"/>
        </w:rPr>
        <w:t>，以重点项目建设为突破口，突出骨干</w:t>
      </w:r>
      <w:r>
        <w:rPr>
          <w:spacing w:val="-2"/>
        </w:rPr>
        <w:t>行业企业的中坚作用，以煤为基、以煤兴产、以煤兴业，做大做强煤炭、黑色有色金属、石油石化等优势主导产业，加快推进新型工业化</w:t>
      </w:r>
      <w:r>
        <w:rPr>
          <w:spacing w:val="-4"/>
        </w:rPr>
        <w:t>进程。</w:t>
      </w:r>
    </w:p>
    <w:p w14:paraId="65E9A402">
      <w:pPr>
        <w:pStyle w:val="3"/>
        <w:spacing w:before="184"/>
        <w:ind w:left="0" w:right="0"/>
        <w:rPr>
          <w:i w:val="0"/>
          <w:iCs w:val="0"/>
        </w:rPr>
      </w:pPr>
      <w:bookmarkStart w:id="58" w:name="_bookmark12"/>
      <w:bookmarkEnd w:id="58"/>
      <w:bookmarkStart w:id="59" w:name="第一节  重点发展能源产业，建设国家级新型综合能源基地"/>
      <w:bookmarkEnd w:id="59"/>
      <w:bookmarkStart w:id="60" w:name="_Toc638656115"/>
      <w:bookmarkStart w:id="61" w:name="_Toc7908"/>
      <w:bookmarkStart w:id="62" w:name="_Toc1728327067"/>
      <w:bookmarkStart w:id="63" w:name="_Toc705017016"/>
      <w:r>
        <w:rPr>
          <w:i w:val="0"/>
          <w:iCs w:val="0"/>
        </w:rPr>
        <w:t>第一</w:t>
      </w:r>
      <w:r>
        <w:rPr>
          <w:i w:val="0"/>
          <w:iCs w:val="0"/>
          <w:spacing w:val="18"/>
        </w:rPr>
        <w:t>节 重</w:t>
      </w:r>
      <w:r>
        <w:rPr>
          <w:i w:val="0"/>
          <w:iCs w:val="0"/>
        </w:rPr>
        <w:t>点发展能源产业，建设国家级新型综合能源基</w:t>
      </w:r>
      <w:r>
        <w:rPr>
          <w:i w:val="0"/>
          <w:iCs w:val="0"/>
          <w:spacing w:val="-10"/>
        </w:rPr>
        <w:t>地</w:t>
      </w:r>
      <w:bookmarkEnd w:id="60"/>
      <w:bookmarkEnd w:id="61"/>
      <w:bookmarkEnd w:id="62"/>
      <w:bookmarkEnd w:id="63"/>
    </w:p>
    <w:p w14:paraId="50F4D1DA">
      <w:pPr>
        <w:pStyle w:val="5"/>
        <w:spacing w:before="7"/>
        <w:ind w:left="0"/>
        <w:rPr>
          <w:rFonts w:ascii="楷体_GB2312"/>
          <w:b/>
          <w:i/>
          <w:sz w:val="34"/>
        </w:rPr>
      </w:pPr>
    </w:p>
    <w:p w14:paraId="0A5B738A">
      <w:pPr>
        <w:spacing w:before="0" w:line="360" w:lineRule="auto"/>
        <w:ind w:left="0" w:right="0" w:firstLine="546" w:firstLineChars="200"/>
        <w:jc w:val="left"/>
        <w:rPr>
          <w:b/>
          <w:i w:val="0"/>
          <w:iCs/>
          <w:sz w:val="28"/>
        </w:rPr>
      </w:pPr>
      <w:r>
        <w:rPr>
          <w:b/>
          <w:i w:val="0"/>
          <w:iCs/>
          <w:spacing w:val="-4"/>
          <w:sz w:val="28"/>
        </w:rPr>
        <w:t>一、煤炭</w:t>
      </w:r>
      <w:r>
        <w:rPr>
          <w:b/>
          <w:i w:val="0"/>
          <w:iCs/>
          <w:spacing w:val="-7"/>
          <w:sz w:val="28"/>
        </w:rPr>
        <w:t>产业</w:t>
      </w:r>
    </w:p>
    <w:p w14:paraId="11546F36">
      <w:pPr>
        <w:pStyle w:val="5"/>
        <w:spacing w:before="0" w:line="363" w:lineRule="auto"/>
        <w:ind w:left="0" w:right="0" w:firstLine="652" w:firstLineChars="200"/>
        <w:jc w:val="both"/>
        <w:rPr>
          <w:spacing w:val="23"/>
        </w:rPr>
      </w:pPr>
      <w:r>
        <w:rPr>
          <w:spacing w:val="23"/>
        </w:rPr>
        <w:t>以建设国际、国内先进水平的大型现代化矿井为目标，引进世界先进技术，坚持自主科技创新，提高煤炭产业层次，加快发展煤炭生产、煤电转换及煤电冶高载能产业，提高煤炭资源的转化率和效益，在延伸煤炭产业链方面实现新突破，切实做到依托煤业、延伸煤业、超越煤业，带动哈密产业发展多元化，到 2015 年，力争本地转化率达到 50%以上。优化煤炭产业分工，哈密市重点承接“疆电东送”基地建设，加快发展煤炭生产、煤电转换及煤电冶高载能产业；巴里坤县重点发展煤炭生产外运和煤电产业，并在水资源平衡的前提下，加快发展煤化工产业；伊吾县重点发展煤电转换和煤化工产业，积极做</w:t>
      </w:r>
    </w:p>
    <w:p w14:paraId="5E674E86">
      <w:pPr>
        <w:spacing w:after="0" w:line="362" w:lineRule="auto"/>
        <w:jc w:val="both"/>
        <w:rPr>
          <w:sz w:val="28"/>
          <w:szCs w:val="28"/>
        </w:rPr>
        <w:sectPr>
          <w:pgSz w:w="11910" w:h="16840"/>
          <w:pgMar w:top="1520" w:right="1260" w:bottom="1180" w:left="1480" w:header="0" w:footer="993" w:gutter="0"/>
          <w:pgNumType w:fmt="decimal"/>
          <w:cols w:space="720" w:num="1"/>
        </w:sectPr>
      </w:pPr>
    </w:p>
    <w:p w14:paraId="53959EF2">
      <w:pPr>
        <w:pStyle w:val="5"/>
        <w:spacing w:before="35" w:line="362" w:lineRule="auto"/>
        <w:ind w:right="539"/>
        <w:jc w:val="both"/>
      </w:pPr>
      <w:r>
        <w:rPr>
          <w:spacing w:val="-2"/>
        </w:rPr>
        <w:t>好煤炭外运。</w:t>
      </w:r>
    </w:p>
    <w:p w14:paraId="7A3FBE95">
      <w:pPr>
        <w:spacing w:before="139" w:afterLines="50"/>
        <w:ind w:left="1083" w:right="1264" w:firstLine="0"/>
        <w:jc w:val="center"/>
        <w:rPr>
          <w:rFonts w:hint="eastAsia" w:ascii="黑体" w:eastAsia="黑体"/>
          <w:b/>
          <w:sz w:val="21"/>
        </w:rPr>
      </w:pPr>
      <w:r>
        <w:pict>
          <v:shape id="docshape19" o:spid="_x0000_s1038" style="position:absolute;left:0pt;margin-left:85.45pt;margin-top:2.4pt;height:558.3pt;width:426.05pt;mso-position-horizontal-relative:page;z-index:-251653120;mso-width-relative:page;mso-height-relative:page;" filled="f" stroked="t" coordorigin="1709,1680" coordsize="8521,11615" path="m1709,1685l10230,1685m1709,13295l10230,13295m1714,1680l1714,13290m10225,1680l10225,13290e">
            <v:path arrowok="t"/>
            <v:fill on="f" focussize="0,0"/>
            <v:stroke weight="0.48pt" color="#000000"/>
            <v:imagedata o:title=""/>
            <o:lock v:ext="edit" aspectratio="f"/>
          </v:shape>
        </w:pict>
      </w:r>
      <w:r>
        <w:rPr>
          <w:rFonts w:hint="eastAsia" w:ascii="黑体" w:eastAsia="黑体"/>
          <w:b/>
          <w:spacing w:val="-18"/>
          <w:sz w:val="21"/>
        </w:rPr>
        <w:t xml:space="preserve">专栏 </w:t>
      </w:r>
      <w:r>
        <w:rPr>
          <w:rFonts w:hint="eastAsia" w:ascii="黑体" w:eastAsia="黑体"/>
          <w:b/>
          <w:sz w:val="21"/>
        </w:rPr>
        <w:t>4-1</w:t>
      </w:r>
      <w:r>
        <w:rPr>
          <w:rFonts w:hint="eastAsia" w:ascii="黑体" w:eastAsia="黑体"/>
          <w:b/>
          <w:spacing w:val="-8"/>
          <w:sz w:val="21"/>
        </w:rPr>
        <w:t xml:space="preserve"> 煤</w:t>
      </w:r>
      <w:r>
        <w:rPr>
          <w:rFonts w:hint="eastAsia" w:ascii="黑体" w:eastAsia="黑体"/>
          <w:b/>
          <w:sz w:val="21"/>
        </w:rPr>
        <w:t>炭、煤电、煤化工行业重大项</w:t>
      </w:r>
      <w:r>
        <w:rPr>
          <w:rFonts w:hint="eastAsia" w:ascii="黑体" w:eastAsia="黑体"/>
          <w:b/>
          <w:spacing w:val="-10"/>
          <w:sz w:val="21"/>
        </w:rPr>
        <w:t>目</w:t>
      </w:r>
    </w:p>
    <w:p w14:paraId="23EA04ED">
      <w:pPr>
        <w:spacing w:before="0" w:line="322" w:lineRule="auto"/>
        <w:ind w:left="341" w:right="527" w:firstLine="412"/>
        <w:jc w:val="both"/>
        <w:rPr>
          <w:rFonts w:ascii="宋体" w:eastAsia="宋体"/>
          <w:spacing w:val="-6"/>
          <w:sz w:val="21"/>
        </w:rPr>
      </w:pPr>
      <w:r>
        <w:rPr>
          <w:rFonts w:hint="eastAsia" w:ascii="黑体" w:eastAsia="黑体"/>
          <w:b/>
          <w:spacing w:val="-2"/>
          <w:sz w:val="21"/>
        </w:rPr>
        <w:t>煤炭矿区：</w:t>
      </w:r>
      <w:r>
        <w:rPr>
          <w:rFonts w:ascii="宋体" w:eastAsia="宋体"/>
          <w:spacing w:val="-6"/>
          <w:sz w:val="21"/>
        </w:rPr>
        <w:t>大南湖矿区东区产能 0.2 亿吨/年、西区产能 0.32 亿吨；三道岭矿区产能</w:t>
      </w:r>
    </w:p>
    <w:p w14:paraId="68011E1F">
      <w:pPr>
        <w:spacing w:before="0" w:line="322" w:lineRule="auto"/>
        <w:ind w:left="396" w:leftChars="180" w:right="527" w:firstLine="0" w:firstLineChars="0"/>
        <w:jc w:val="both"/>
        <w:rPr>
          <w:rFonts w:ascii="宋体" w:eastAsia="宋体"/>
          <w:spacing w:val="-6"/>
          <w:sz w:val="21"/>
        </w:rPr>
      </w:pPr>
      <w:r>
        <w:rPr>
          <w:rFonts w:ascii="宋体" w:eastAsia="宋体"/>
          <w:spacing w:val="-6"/>
          <w:sz w:val="21"/>
        </w:rPr>
        <w:t>0.16 亿吨/年；沙尔湖矿区规划产能 0.16 亿吨/年；巴里坤西部矿区产能 0.15 亿吨/年；三塘湖矿区产能 0.2 亿吨/年；淖毛湖矿区产能达 0.3 亿吨/年。</w:t>
      </w:r>
    </w:p>
    <w:p w14:paraId="189E9CB7">
      <w:pPr>
        <w:spacing w:before="0" w:line="322" w:lineRule="auto"/>
        <w:ind w:left="341" w:right="527" w:firstLine="412"/>
        <w:jc w:val="both"/>
        <w:rPr>
          <w:rFonts w:ascii="宋体" w:eastAsia="宋体"/>
          <w:spacing w:val="-6"/>
          <w:sz w:val="21"/>
        </w:rPr>
      </w:pPr>
      <w:r>
        <w:rPr>
          <w:rFonts w:hint="eastAsia" w:ascii="黑体" w:eastAsia="黑体"/>
          <w:b/>
          <w:spacing w:val="-4"/>
          <w:sz w:val="21"/>
        </w:rPr>
        <w:t>煤矿：</w:t>
      </w:r>
      <w:r>
        <w:rPr>
          <w:rFonts w:ascii="宋体" w:eastAsia="宋体"/>
          <w:spacing w:val="-6"/>
          <w:sz w:val="21"/>
        </w:rPr>
        <w:t>大南湖矿区东区：中煤能源哈密煤业有限公司大南湖 1000 万吨/年煤矿、重庆能</w:t>
      </w:r>
    </w:p>
    <w:p w14:paraId="091582F8">
      <w:pPr>
        <w:spacing w:before="0" w:line="322" w:lineRule="auto"/>
        <w:ind w:left="418" w:leftChars="190" w:right="527" w:firstLine="0" w:firstLineChars="0"/>
        <w:jc w:val="both"/>
        <w:rPr>
          <w:rFonts w:ascii="宋体" w:eastAsia="宋体"/>
          <w:spacing w:val="-6"/>
          <w:sz w:val="21"/>
        </w:rPr>
      </w:pPr>
      <w:r>
        <w:rPr>
          <w:rFonts w:ascii="宋体" w:eastAsia="宋体"/>
          <w:spacing w:val="-6"/>
          <w:sz w:val="21"/>
        </w:rPr>
        <w:t>源新疆煤电有限公司大南湖 1000 万吨/年煤矿；大南湖矿区西区：国网能源哈密煤电化开发有限公司大南湖矿区一号矿井 1000 万吨/年煤矿、国网能源哈密煤电化开发有限公司大南湖北露天 2000 万吨/年煤矿、国投哈密能源开发有限公司大南湖 1200 万吨/年煤矿；三道岭矿区：潞安新疆煤化工（集团）有限公司沙墩子 500 万吨/年煤矿；沙尔湖矿区：华能新疆能源开发有限公司 3000 万吨/年煤矿、潞安新疆煤化工（集团）有限公司 5000 万吨/年煤矿、葛洲坝新疆投资开发有限公司 5000 万吨/年煤矿；巴里坤西部矿区：哈密和翔工贸有限公司别斯库都克 300 万吨/年煤矿、平煤集团巴里坤矿区煤矿项目 1500 万吨/年煤矿；淖毛湖矿区：新疆广汇新能源公司白石湖 800 万吨/年煤矿、新疆哈密英格玛煤电投资有限责任公司英格玛 1 号矿井 300 万吨/年煤矿、新疆哈密英格玛煤电投资有限责任公司英格玛 2 号矿井500 万吨/年煤矿、新疆疆纳矿业有限公司兴盛萨依苏 300 万吨／年煤矿。</w:t>
      </w:r>
    </w:p>
    <w:p w14:paraId="19244A86">
      <w:pPr>
        <w:spacing w:before="0" w:line="322" w:lineRule="auto"/>
        <w:ind w:left="418" w:leftChars="190" w:right="527" w:firstLine="398" w:firstLineChars="200"/>
        <w:jc w:val="both"/>
        <w:rPr>
          <w:rFonts w:ascii="宋体" w:hAnsi="仿宋_GB2312" w:eastAsia="宋体"/>
          <w:spacing w:val="-6"/>
          <w:sz w:val="21"/>
        </w:rPr>
      </w:pPr>
      <w:r>
        <w:rPr>
          <w:rFonts w:hint="eastAsia" w:ascii="黑体" w:hAnsi="黑体" w:eastAsia="黑体"/>
          <w:b/>
          <w:spacing w:val="-6"/>
          <w:sz w:val="21"/>
        </w:rPr>
        <w:t>煤电：</w:t>
      </w:r>
      <w:r>
        <w:rPr>
          <w:rFonts w:ascii="宋体" w:hAnsi="仿宋_GB2312" w:eastAsia="宋体"/>
          <w:spacing w:val="-6"/>
          <w:sz w:val="21"/>
        </w:rPr>
        <w:t>国投哈密能源开发有限责任公司 2×66 万千瓦电源项目、国电哈密能源开发有限公司 2×100 万千瓦电源项目、国网能源哈密煤电有限公司大南湖电厂 2×100 万千瓦电源项目、华能新疆能源公司哈密公司 2×66 万千瓦煤电一体化项目、潞安新疆煤化工（集团）有限公司 2×100 万千瓦煤电项目、重庆能源新疆煤电有限公司 2×66 万千瓦电源项目、华电新疆发电有限公司哈密分公司伊吾淖毛湖 2×100 万千瓦电源项目、大唐新疆能源开发有限公司巴里坤 2×100 万千瓦电源项目、中电投新疆哈密能源有限公司巴里坤 2×100 万千瓦电源项目、华电哈密电厂（与中煤哈密能源公司合作）2×100 万千瓦电源项目、河南煤化哈密电厂 2×100 万千瓦电源项目、中平能化集团巴里坤 2×100 万千瓦电源项目。华电新疆发电有限公司哈密分公司四期 2×35 万千瓦热电联产项目、中煤能源哈密有限公司 2×33 万千瓦低热值煤电项目。</w:t>
      </w:r>
    </w:p>
    <w:p w14:paraId="4834EBD7">
      <w:pPr>
        <w:spacing w:before="0" w:line="322" w:lineRule="auto"/>
        <w:ind w:left="341" w:right="527" w:firstLine="412"/>
        <w:jc w:val="both"/>
        <w:rPr>
          <w:rFonts w:ascii="宋体" w:eastAsia="宋体"/>
          <w:sz w:val="21"/>
        </w:rPr>
      </w:pPr>
      <w:r>
        <w:rPr>
          <w:rFonts w:hint="eastAsia" w:ascii="黑体" w:eastAsia="黑体"/>
          <w:b/>
          <w:spacing w:val="-6"/>
          <w:sz w:val="21"/>
        </w:rPr>
        <w:t>煤化工：</w:t>
      </w:r>
      <w:r>
        <w:rPr>
          <w:rFonts w:ascii="宋体" w:eastAsia="宋体"/>
          <w:spacing w:val="-6"/>
          <w:sz w:val="21"/>
        </w:rPr>
        <w:t>新疆广汇新能源有限公司煤化工项目、新疆鸿业化工投资有限公司 2</w:t>
      </w:r>
      <w:r>
        <w:rPr>
          <w:rFonts w:ascii="宋体" w:eastAsia="宋体"/>
          <w:spacing w:val="-8"/>
          <w:sz w:val="21"/>
        </w:rPr>
        <w:t xml:space="preserve"> 万吨粗酚</w:t>
      </w:r>
      <w:r>
        <w:rPr>
          <w:rFonts w:ascii="宋体" w:eastAsia="宋体"/>
          <w:spacing w:val="-2"/>
          <w:sz w:val="21"/>
        </w:rPr>
        <w:t>精制、15</w:t>
      </w:r>
      <w:r>
        <w:rPr>
          <w:rFonts w:ascii="宋体" w:eastAsia="宋体"/>
          <w:spacing w:val="-12"/>
          <w:sz w:val="21"/>
        </w:rPr>
        <w:t xml:space="preserve"> 万</w:t>
      </w:r>
      <w:r>
        <w:rPr>
          <w:rFonts w:ascii="宋体" w:eastAsia="宋体"/>
          <w:spacing w:val="-2"/>
          <w:sz w:val="21"/>
        </w:rPr>
        <w:t>吨中油加氢，清华紫</w:t>
      </w:r>
      <w:r>
        <w:rPr>
          <w:rFonts w:ascii="宋体" w:eastAsia="宋体"/>
          <w:spacing w:val="-10"/>
          <w:sz w:val="21"/>
        </w:rPr>
        <w:t xml:space="preserve">光 </w:t>
      </w:r>
      <w:r>
        <w:rPr>
          <w:rFonts w:ascii="宋体" w:eastAsia="宋体"/>
          <w:spacing w:val="-2"/>
          <w:sz w:val="21"/>
        </w:rPr>
        <w:t>8</w:t>
      </w:r>
      <w:r>
        <w:rPr>
          <w:rFonts w:ascii="宋体" w:eastAsia="宋体"/>
          <w:spacing w:val="-12"/>
          <w:sz w:val="21"/>
        </w:rPr>
        <w:t xml:space="preserve"> 亿</w:t>
      </w:r>
      <w:r>
        <w:rPr>
          <w:rFonts w:ascii="宋体" w:eastAsia="宋体"/>
          <w:spacing w:val="-2"/>
          <w:sz w:val="21"/>
        </w:rPr>
        <w:t>标方煤制天然气项目、煤－烯烃项目、煤基多联产</w:t>
      </w:r>
      <w:r>
        <w:rPr>
          <w:rFonts w:ascii="宋体" w:eastAsia="宋体"/>
          <w:sz w:val="21"/>
        </w:rPr>
        <w:t>和煤层气项目，中国平煤神马</w:t>
      </w:r>
      <w:r>
        <w:rPr>
          <w:rFonts w:ascii="宋体" w:eastAsia="宋体"/>
          <w:spacing w:val="-4"/>
          <w:sz w:val="21"/>
        </w:rPr>
        <w:t xml:space="preserve">集团 </w:t>
      </w:r>
      <w:r>
        <w:rPr>
          <w:rFonts w:ascii="宋体" w:eastAsia="宋体"/>
          <w:sz w:val="21"/>
        </w:rPr>
        <w:t>100</w:t>
      </w:r>
      <w:r>
        <w:rPr>
          <w:rFonts w:ascii="宋体" w:eastAsia="宋体"/>
          <w:spacing w:val="-6"/>
          <w:sz w:val="21"/>
        </w:rPr>
        <w:t xml:space="preserve"> 万</w:t>
      </w:r>
      <w:r>
        <w:rPr>
          <w:rFonts w:ascii="宋体" w:eastAsia="宋体"/>
          <w:sz w:val="21"/>
        </w:rPr>
        <w:t>吨/年煤焦油深加工综合利用项目，昊华</w:t>
      </w:r>
      <w:r>
        <w:rPr>
          <w:rFonts w:ascii="宋体" w:eastAsia="宋体"/>
          <w:spacing w:val="-5"/>
          <w:sz w:val="21"/>
        </w:rPr>
        <w:t xml:space="preserve">骏化 </w:t>
      </w:r>
      <w:r>
        <w:rPr>
          <w:rFonts w:ascii="宋体" w:eastAsia="宋体"/>
          <w:sz w:val="21"/>
        </w:rPr>
        <w:t>20万吨三聚氰胺、80</w:t>
      </w:r>
      <w:r>
        <w:rPr>
          <w:rFonts w:ascii="宋体" w:eastAsia="宋体"/>
          <w:spacing w:val="-5"/>
          <w:sz w:val="21"/>
        </w:rPr>
        <w:t xml:space="preserve"> 万吨合成氨、</w:t>
      </w:r>
      <w:r>
        <w:rPr>
          <w:rFonts w:ascii="宋体" w:eastAsia="宋体"/>
          <w:sz w:val="21"/>
        </w:rPr>
        <w:t>100</w:t>
      </w:r>
      <w:r>
        <w:rPr>
          <w:rFonts w:ascii="宋体" w:eastAsia="宋体"/>
          <w:spacing w:val="-5"/>
          <w:sz w:val="21"/>
        </w:rPr>
        <w:t xml:space="preserve"> 万吨尿素项目。</w:t>
      </w:r>
    </w:p>
    <w:p w14:paraId="0E96409D">
      <w:pPr>
        <w:spacing w:after="0" w:line="357" w:lineRule="auto"/>
        <w:jc w:val="both"/>
        <w:rPr>
          <w:rFonts w:ascii="宋体" w:eastAsia="宋体"/>
          <w:sz w:val="21"/>
        </w:rPr>
        <w:sectPr>
          <w:pgSz w:w="11910" w:h="16840"/>
          <w:pgMar w:top="1540" w:right="1260" w:bottom="1180" w:left="1480" w:header="0" w:footer="993" w:gutter="0"/>
          <w:pgNumType w:fmt="decimal"/>
          <w:cols w:space="720" w:num="1"/>
        </w:sectPr>
      </w:pPr>
    </w:p>
    <w:p w14:paraId="7C571BF4">
      <w:pPr>
        <w:pStyle w:val="5"/>
        <w:spacing w:before="0" w:line="363" w:lineRule="auto"/>
        <w:ind w:left="0" w:right="0" w:firstLine="552" w:firstLineChars="200"/>
        <w:jc w:val="both"/>
      </w:pPr>
      <w:r>
        <w:rPr>
          <w:spacing w:val="-2"/>
        </w:rPr>
        <w:t>围绕“疆电东送”</w:t>
      </w:r>
      <w:r>
        <w:rPr>
          <w:rFonts w:hint="eastAsia"/>
          <w:spacing w:val="-2"/>
          <w:lang w:eastAsia="zh-CN"/>
        </w:rPr>
        <w:t>工程</w:t>
      </w:r>
      <w:r>
        <w:rPr>
          <w:spacing w:val="-2"/>
        </w:rPr>
        <w:t>的实施，初步形成煤电基地。重点抓好大型煤电项目建设，确保早日建成投产。积极采用世界先进技术，重点发展一批在国内、国际具有领先水平大参数（</w:t>
      </w:r>
      <w:r>
        <w:rPr>
          <w:spacing w:val="-13"/>
        </w:rPr>
        <w:t xml:space="preserve">单机机组在 </w:t>
      </w:r>
      <w:r>
        <w:rPr>
          <w:spacing w:val="-2"/>
        </w:rPr>
        <w:t>100</w:t>
      </w:r>
      <w:r>
        <w:rPr>
          <w:spacing w:val="-20"/>
        </w:rPr>
        <w:t xml:space="preserve"> 万千瓦</w:t>
      </w:r>
      <w:r>
        <w:t>以上</w:t>
      </w:r>
      <w:r>
        <w:rPr>
          <w:spacing w:val="-140"/>
        </w:rPr>
        <w:t>）</w:t>
      </w:r>
      <w:r>
        <w:rPr>
          <w:spacing w:val="-2"/>
        </w:rPr>
        <w:t xml:space="preserve">、高效率、低耗水的超临界、超超临界空冷发电机组。到 </w:t>
      </w:r>
      <w:r>
        <w:rPr>
          <w:spacing w:val="-4"/>
        </w:rPr>
        <w:t>2015</w:t>
      </w:r>
      <w:r>
        <w:rPr>
          <w:spacing w:val="-17"/>
        </w:rPr>
        <w:t xml:space="preserve">年，力争煤电总装机容量突破 </w:t>
      </w:r>
      <w:r>
        <w:rPr>
          <w:spacing w:val="-2"/>
        </w:rPr>
        <w:t>2000</w:t>
      </w:r>
      <w:r>
        <w:rPr>
          <w:spacing w:val="-20"/>
        </w:rPr>
        <w:t xml:space="preserve"> 万千瓦，其中哈密市装机达到 </w:t>
      </w:r>
      <w:r>
        <w:rPr>
          <w:spacing w:val="-4"/>
        </w:rPr>
        <w:t>1000</w:t>
      </w:r>
      <w:r>
        <w:rPr>
          <w:spacing w:val="-13"/>
        </w:rPr>
        <w:t xml:space="preserve">万千瓦以上，巴里坤县达到 </w:t>
      </w:r>
      <w:r>
        <w:t>600-800</w:t>
      </w:r>
      <w:r>
        <w:rPr>
          <w:spacing w:val="-17"/>
        </w:rPr>
        <w:t xml:space="preserve"> 万千瓦左右，伊吾县达到 </w:t>
      </w:r>
      <w:r>
        <w:t>200-400</w:t>
      </w:r>
      <w:r>
        <w:rPr>
          <w:spacing w:val="-6"/>
        </w:rPr>
        <w:t>万千瓦左右。结合地区煤电冶、高载能产业发展，积极争取国家政策，</w:t>
      </w:r>
      <w:r>
        <w:rPr>
          <w:spacing w:val="-2"/>
        </w:rPr>
        <w:t xml:space="preserve">切实抓好园区配套电源项目，重点在哈密市重工业园区、骆驼圈子加工区和三道岭布局规划布局火电达到 </w:t>
      </w:r>
      <w:r>
        <w:t>200-300</w:t>
      </w:r>
      <w:r>
        <w:rPr>
          <w:spacing w:val="-5"/>
        </w:rPr>
        <w:t xml:space="preserve"> 万千瓦装机。</w:t>
      </w:r>
    </w:p>
    <w:p w14:paraId="1819EEF8">
      <w:pPr>
        <w:pStyle w:val="5"/>
        <w:spacing w:line="363" w:lineRule="auto"/>
        <w:ind w:left="0" w:right="0" w:firstLine="492" w:firstLineChars="200"/>
        <w:jc w:val="both"/>
        <w:rPr>
          <w:spacing w:val="-17"/>
        </w:rPr>
      </w:pPr>
      <w:r>
        <w:rPr>
          <w:spacing w:val="-17"/>
        </w:rPr>
        <w:t xml:space="preserve">围绕“疆煤东运” </w:t>
      </w:r>
      <w:r>
        <w:rPr>
          <w:rFonts w:hint="eastAsia"/>
          <w:spacing w:val="-17"/>
          <w:lang w:eastAsia="zh-CN"/>
        </w:rPr>
        <w:t>工程</w:t>
      </w:r>
      <w:r>
        <w:rPr>
          <w:spacing w:val="-17"/>
        </w:rPr>
        <w:t>的实施，充分利用国家给予新疆的差别化产业政策，依托和放大自身优势，加快推进国家重点煤炭生产外运基地建设，突出抓好重点煤炭产能建设项目的竣工投产，着力提高煤炭生产规模，依托哈密重化工园区、淖毛湖园区、巴里坤西部矿区和三塘湖矿区等，形成具有较强竞争力的综合煤炭工业体系。到 2015 年，煤炭产能达到 1.5 亿吨左右，其中：就地加工 1 亿吨，外运 5000 万吨。</w:t>
      </w:r>
    </w:p>
    <w:p w14:paraId="29036FFF">
      <w:pPr>
        <w:pStyle w:val="5"/>
        <w:spacing w:line="363" w:lineRule="auto"/>
        <w:ind w:left="0" w:right="0" w:firstLine="492" w:firstLineChars="200"/>
        <w:jc w:val="both"/>
        <w:rPr>
          <w:spacing w:val="-17"/>
        </w:rPr>
      </w:pPr>
      <w:r>
        <w:rPr>
          <w:spacing w:val="-17"/>
        </w:rPr>
        <w:t>稳步适度发展煤化工，不断延伸产业链。积极支持发展广汇煤制甲醇（二甲醚、烯烃）等煤化工产业，推进煤制天然气项目的开工建设，力争“十二五”末规模达到 8 亿标方，形成新的经济增长点；在水资源允许的条件下，做好相关优势资源组合的分析，支持广汇二期煤制甲醇－烯烃项目。加大对煤层气的开发利用，根据各大矿区地质勘探成果，加快制定煤层气开发利用整体规划，依托中煤、大唐等大集团大企业，坚持采煤采气一体化开发建设，促进煤层气产业的健康发展，争取“十二五”期间开展 1-2 个煤层气示范项目建设。</w:t>
      </w:r>
    </w:p>
    <w:p w14:paraId="55A0EC8A">
      <w:pPr>
        <w:spacing w:line="363" w:lineRule="auto"/>
        <w:ind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二、新能</w:t>
      </w:r>
      <w:r>
        <w:rPr>
          <w:rFonts w:hint="eastAsia" w:ascii="仿宋_GB2312" w:eastAsia="仿宋_GB2312"/>
          <w:b/>
          <w:bCs/>
          <w:i w:val="0"/>
          <w:iCs w:val="0"/>
          <w:spacing w:val="-7"/>
          <w:sz w:val="28"/>
          <w:szCs w:val="28"/>
        </w:rPr>
        <w:t>源产业</w:t>
      </w:r>
    </w:p>
    <w:p w14:paraId="4AE51083">
      <w:pPr>
        <w:pStyle w:val="5"/>
        <w:spacing w:before="0" w:line="363" w:lineRule="auto"/>
        <w:ind w:left="0" w:firstLine="492" w:firstLineChars="200"/>
        <w:jc w:val="both"/>
        <w:rPr>
          <w:spacing w:val="-17"/>
        </w:rPr>
      </w:pPr>
      <w:r>
        <w:rPr>
          <w:spacing w:val="-17"/>
        </w:rPr>
        <w:t>充分利用哈密地区丰富的风能、太阳能资源，抓住低碳经济带来</w:t>
      </w:r>
      <w:r>
        <w:rPr>
          <w:spacing w:val="-2"/>
        </w:rPr>
        <w:t>的机遇，以“市场导向、政府推动，规模发展、产业带动”为指导思想，树立“以项目促电网、以电网促外送”的发展思路，坚持火电、风电、太阳能、电</w:t>
      </w:r>
    </w:p>
    <w:p w14:paraId="0D2A1382">
      <w:pPr>
        <w:spacing w:after="0"/>
        <w:sectPr>
          <w:pgSz w:w="11910" w:h="16840"/>
          <w:pgMar w:top="1540" w:right="1260" w:bottom="1180" w:left="1480" w:header="0" w:footer="993" w:gutter="0"/>
          <w:pgNumType w:fmt="decimal"/>
          <w:cols w:space="720" w:num="1"/>
        </w:sectPr>
      </w:pPr>
    </w:p>
    <w:p w14:paraId="48BB3080">
      <w:pPr>
        <w:pStyle w:val="5"/>
        <w:spacing w:before="0" w:line="363" w:lineRule="auto"/>
        <w:ind w:left="0" w:right="0" w:firstLine="0" w:firstLineChars="0"/>
        <w:jc w:val="both"/>
      </w:pPr>
      <w:r>
        <w:rPr>
          <w:spacing w:val="-2"/>
        </w:rPr>
        <w:t>网一体规模化发展和大型绿色能源基地与装备制造一体化的发展原则，不断优化风、光、火电打捆外送发展模式，加快风、光电及其下游产业链发展的突破。以绿色能源带动煤电基地的跨越，以煤电大规模装机推动新能源的大发展，高起点规划具有区域优势的新能源产业，建设以风电和光电为主的新能源综合利用基地。</w:t>
      </w:r>
    </w:p>
    <w:p w14:paraId="5E2EADE1">
      <w:pPr>
        <w:pStyle w:val="5"/>
        <w:spacing w:before="0" w:line="363" w:lineRule="auto"/>
        <w:ind w:left="0" w:firstLine="552" w:firstLineChars="200"/>
        <w:jc w:val="both"/>
        <w:rPr>
          <w:spacing w:val="-2"/>
        </w:rPr>
      </w:pPr>
      <w:r>
        <w:rPr>
          <w:spacing w:val="-2"/>
        </w:rPr>
        <w:t>加快推进风电项目建设，编制完成三塘湖和淖毛湖风区各 150 万千瓦、十三间房风区 100 万千瓦装机规模的工程性开发方案，以及哈密市东南部风区新增 200 万千瓦工程性开发方案，并报请自治区批准实施。到 2015 年风电装机容量达到 600 万千瓦。</w:t>
      </w:r>
    </w:p>
    <w:p w14:paraId="574F8BC3">
      <w:pPr>
        <w:pStyle w:val="5"/>
        <w:spacing w:line="363" w:lineRule="auto"/>
        <w:ind w:left="0" w:firstLine="552" w:firstLineChars="200"/>
        <w:jc w:val="both"/>
        <w:rPr>
          <w:spacing w:val="-2"/>
        </w:rPr>
      </w:pPr>
      <w:r>
        <w:rPr>
          <w:spacing w:val="-2"/>
        </w:rPr>
        <w:t>高起点发展太阳能上下游产业，建成太阳能综合利用示范基地。规划建设 5000 千瓦以上并网光伏电站，主要布局在哈密市的葫芦沟、石城子，巴里坤的三塘湖，伊吾的下马崖。同时，开展对太阳能光热发电的前期研究，力争建成西北第一个示范型太阳能光热发电站。到 2015 年，力争光伏发电装机规模达到 100 万千瓦，到 2020 年装机容量达到 360 万千瓦。</w:t>
      </w:r>
    </w:p>
    <w:p w14:paraId="6C04A77F">
      <w:pPr>
        <w:pStyle w:val="5"/>
        <w:spacing w:before="8"/>
        <w:ind w:left="0"/>
        <w:rPr>
          <w:sz w:val="24"/>
        </w:rPr>
      </w:pPr>
      <w:r>
        <w:pict>
          <v:shape id="docshape20" o:spid="_x0000_s1039" o:spt="202" type="#_x0000_t202" style="position:absolute;left:0pt;margin-left:85.05pt;margin-top:17.2pt;height:196pt;width:424.85pt;mso-position-horizontal-relative:page;mso-wrap-distance-bottom:0pt;mso-wrap-distance-top:0pt;z-index:-251649024;mso-width-relative:page;mso-height-relative:page;" filled="f" stroked="t" coordsize="21600,21600">
            <v:path/>
            <v:fill on="f" focussize="0,0"/>
            <v:stroke weight="0.48pt" color="#000000" joinstyle="miter"/>
            <v:imagedata o:title=""/>
            <o:lock v:ext="edit" aspectratio="f"/>
            <v:textbox inset="0mm,0mm,0mm,0mm">
              <w:txbxContent>
                <w:p w14:paraId="790B50B4">
                  <w:pPr>
                    <w:spacing w:before="110" w:afterLines="50"/>
                    <w:ind w:left="3050" w:right="3050" w:firstLine="0"/>
                    <w:jc w:val="center"/>
                    <w:rPr>
                      <w:rFonts w:hint="eastAsia" w:ascii="黑体" w:eastAsia="黑体"/>
                      <w:b/>
                      <w:sz w:val="21"/>
                    </w:rPr>
                  </w:pPr>
                  <w:r>
                    <w:rPr>
                      <w:rFonts w:hint="eastAsia" w:ascii="黑体" w:eastAsia="黑体"/>
                      <w:b/>
                      <w:spacing w:val="-18"/>
                      <w:sz w:val="21"/>
                    </w:rPr>
                    <w:t xml:space="preserve">专栏 </w:t>
                  </w:r>
                  <w:r>
                    <w:rPr>
                      <w:rFonts w:hint="eastAsia" w:ascii="黑体" w:eastAsia="黑体"/>
                      <w:b/>
                      <w:sz w:val="21"/>
                    </w:rPr>
                    <w:t>4-2</w:t>
                  </w:r>
                  <w:r>
                    <w:rPr>
                      <w:rFonts w:hint="eastAsia" w:ascii="黑体" w:eastAsia="黑体"/>
                      <w:b/>
                      <w:spacing w:val="-6"/>
                      <w:sz w:val="21"/>
                    </w:rPr>
                    <w:t xml:space="preserve"> 新</w:t>
                  </w:r>
                  <w:r>
                    <w:rPr>
                      <w:rFonts w:hint="eastAsia" w:ascii="黑体" w:eastAsia="黑体"/>
                      <w:b/>
                      <w:sz w:val="21"/>
                    </w:rPr>
                    <w:t>能源重大项</w:t>
                  </w:r>
                  <w:r>
                    <w:rPr>
                      <w:rFonts w:hint="eastAsia" w:ascii="黑体" w:eastAsia="黑体"/>
                      <w:b/>
                      <w:spacing w:val="-10"/>
                      <w:sz w:val="21"/>
                    </w:rPr>
                    <w:t>目</w:t>
                  </w:r>
                </w:p>
                <w:p w14:paraId="4E10B631">
                  <w:pPr>
                    <w:spacing w:before="0" w:line="298" w:lineRule="auto"/>
                    <w:ind w:left="514" w:right="0" w:firstLine="0"/>
                    <w:jc w:val="left"/>
                    <w:rPr>
                      <w:rFonts w:ascii="宋体" w:eastAsia="宋体"/>
                      <w:sz w:val="21"/>
                    </w:rPr>
                  </w:pPr>
                  <w:r>
                    <w:rPr>
                      <w:rFonts w:hint="eastAsia" w:ascii="黑体" w:eastAsia="黑体"/>
                      <w:b/>
                      <w:sz w:val="21"/>
                    </w:rPr>
                    <w:t>风电：</w:t>
                  </w:r>
                  <w:r>
                    <w:rPr>
                      <w:rFonts w:ascii="宋体" w:eastAsia="宋体"/>
                      <w:sz w:val="21"/>
                    </w:rPr>
                    <w:t>哈密东南</w:t>
                  </w:r>
                  <w:r>
                    <w:rPr>
                      <w:rFonts w:ascii="宋体" w:eastAsia="宋体"/>
                      <w:spacing w:val="-10"/>
                      <w:sz w:val="21"/>
                    </w:rPr>
                    <w:t xml:space="preserve">部风区 </w:t>
                  </w:r>
                  <w:r>
                    <w:rPr>
                      <w:rFonts w:ascii="宋体" w:eastAsia="宋体"/>
                      <w:sz w:val="21"/>
                    </w:rPr>
                    <w:t>200</w:t>
                  </w:r>
                  <w:r>
                    <w:rPr>
                      <w:rFonts w:ascii="宋体" w:eastAsia="宋体"/>
                      <w:spacing w:val="-15"/>
                      <w:sz w:val="21"/>
                    </w:rPr>
                    <w:t xml:space="preserve"> 万千</w:t>
                  </w:r>
                  <w:r>
                    <w:rPr>
                      <w:rFonts w:ascii="宋体" w:eastAsia="宋体"/>
                      <w:sz w:val="21"/>
                    </w:rPr>
                    <w:t>瓦风电建设项目、巴里坤三塘湖风</w:t>
                  </w:r>
                  <w:r>
                    <w:rPr>
                      <w:rFonts w:ascii="宋体" w:eastAsia="宋体"/>
                      <w:spacing w:val="-21"/>
                      <w:sz w:val="21"/>
                    </w:rPr>
                    <w:t xml:space="preserve">区 </w:t>
                  </w:r>
                  <w:r>
                    <w:rPr>
                      <w:rFonts w:ascii="宋体" w:eastAsia="宋体"/>
                      <w:sz w:val="21"/>
                    </w:rPr>
                    <w:t>150</w:t>
                  </w:r>
                  <w:r>
                    <w:rPr>
                      <w:rFonts w:ascii="宋体" w:eastAsia="宋体"/>
                      <w:spacing w:val="-14"/>
                      <w:sz w:val="21"/>
                    </w:rPr>
                    <w:t xml:space="preserve"> 万千</w:t>
                  </w:r>
                  <w:r>
                    <w:rPr>
                      <w:rFonts w:ascii="宋体" w:eastAsia="宋体"/>
                      <w:sz w:val="21"/>
                    </w:rPr>
                    <w:t>瓦风</w:t>
                  </w:r>
                  <w:r>
                    <w:rPr>
                      <w:rFonts w:ascii="宋体" w:eastAsia="宋体"/>
                      <w:spacing w:val="-10"/>
                      <w:sz w:val="21"/>
                    </w:rPr>
                    <w:t>电</w:t>
                  </w:r>
                </w:p>
                <w:p w14:paraId="27E5DE5A">
                  <w:pPr>
                    <w:spacing w:before="0" w:line="298" w:lineRule="auto"/>
                    <w:ind w:left="103" w:right="101" w:firstLine="0"/>
                    <w:jc w:val="left"/>
                    <w:rPr>
                      <w:rFonts w:ascii="宋体" w:eastAsia="宋体"/>
                      <w:sz w:val="21"/>
                    </w:rPr>
                  </w:pPr>
                  <w:r>
                    <w:rPr>
                      <w:rFonts w:ascii="宋体" w:eastAsia="宋体"/>
                      <w:sz w:val="21"/>
                    </w:rPr>
                    <w:t>建设项目、伊吾淖毛湖</w:t>
                  </w:r>
                  <w:r>
                    <w:rPr>
                      <w:rFonts w:ascii="宋体" w:eastAsia="宋体"/>
                      <w:spacing w:val="-13"/>
                      <w:sz w:val="21"/>
                    </w:rPr>
                    <w:t xml:space="preserve">风区 </w:t>
                  </w:r>
                  <w:r>
                    <w:rPr>
                      <w:rFonts w:ascii="宋体" w:eastAsia="宋体"/>
                      <w:sz w:val="21"/>
                    </w:rPr>
                    <w:t>150</w:t>
                  </w:r>
                  <w:r>
                    <w:rPr>
                      <w:rFonts w:ascii="宋体" w:eastAsia="宋体"/>
                      <w:spacing w:val="-7"/>
                      <w:sz w:val="21"/>
                    </w:rPr>
                    <w:t xml:space="preserve"> 万千瓦风电建设项</w:t>
                  </w:r>
                  <w:r>
                    <w:rPr>
                      <w:rFonts w:ascii="宋体" w:eastAsia="宋体"/>
                      <w:sz w:val="21"/>
                    </w:rPr>
                    <w:t>目、</w:t>
                  </w:r>
                  <w:r>
                    <w:rPr>
                      <w:rFonts w:ascii="宋体" w:eastAsia="宋体"/>
                      <w:spacing w:val="-4"/>
                      <w:sz w:val="21"/>
                    </w:rPr>
                    <w:t xml:space="preserve">哈密市十三间房风区 </w:t>
                  </w:r>
                  <w:r>
                    <w:rPr>
                      <w:rFonts w:ascii="宋体" w:eastAsia="宋体"/>
                      <w:sz w:val="21"/>
                    </w:rPr>
                    <w:t>100</w:t>
                  </w:r>
                  <w:r>
                    <w:rPr>
                      <w:rFonts w:ascii="宋体" w:eastAsia="宋体"/>
                      <w:spacing w:val="-9"/>
                      <w:sz w:val="21"/>
                    </w:rPr>
                    <w:t xml:space="preserve"> 万千瓦风</w:t>
                  </w:r>
                  <w:r>
                    <w:rPr>
                      <w:rFonts w:ascii="宋体" w:eastAsia="宋体"/>
                      <w:spacing w:val="-2"/>
                      <w:sz w:val="21"/>
                    </w:rPr>
                    <w:t>电建设项目。</w:t>
                  </w:r>
                </w:p>
                <w:p w14:paraId="49EE153E">
                  <w:pPr>
                    <w:spacing w:before="0" w:line="298" w:lineRule="auto"/>
                    <w:ind w:left="514" w:right="0" w:firstLine="0"/>
                    <w:jc w:val="left"/>
                    <w:rPr>
                      <w:rFonts w:ascii="宋体" w:eastAsia="宋体"/>
                      <w:sz w:val="21"/>
                    </w:rPr>
                  </w:pPr>
                  <w:r>
                    <w:rPr>
                      <w:rFonts w:hint="eastAsia" w:ascii="黑体" w:eastAsia="黑体"/>
                      <w:b/>
                      <w:spacing w:val="-2"/>
                      <w:sz w:val="21"/>
                    </w:rPr>
                    <w:t>光电：</w:t>
                  </w:r>
                  <w:r>
                    <w:rPr>
                      <w:rFonts w:ascii="宋体" w:eastAsia="宋体"/>
                      <w:spacing w:val="-5"/>
                      <w:sz w:val="21"/>
                    </w:rPr>
                    <w:t xml:space="preserve">中电投新疆哈密能源有限公司哈密市 </w:t>
                  </w:r>
                  <w:r>
                    <w:rPr>
                      <w:rFonts w:ascii="宋体" w:eastAsia="宋体"/>
                      <w:spacing w:val="-2"/>
                      <w:sz w:val="21"/>
                    </w:rPr>
                    <w:t>20</w:t>
                  </w:r>
                  <w:r>
                    <w:rPr>
                      <w:rFonts w:ascii="宋体" w:eastAsia="宋体"/>
                      <w:spacing w:val="-9"/>
                      <w:sz w:val="21"/>
                    </w:rPr>
                    <w:t xml:space="preserve"> 兆瓦并网光伏电站特许权招标</w:t>
                  </w:r>
                  <w:r>
                    <w:rPr>
                      <w:rFonts w:ascii="宋体" w:eastAsia="宋体"/>
                      <w:spacing w:val="-2"/>
                      <w:sz w:val="21"/>
                    </w:rPr>
                    <w:t>项目</w:t>
                  </w:r>
                  <w:r>
                    <w:rPr>
                      <w:rFonts w:ascii="宋体" w:eastAsia="宋体"/>
                      <w:spacing w:val="-6"/>
                      <w:sz w:val="21"/>
                    </w:rPr>
                    <w:t>、中</w:t>
                  </w:r>
                </w:p>
                <w:p w14:paraId="7D88DD44">
                  <w:pPr>
                    <w:spacing w:before="0" w:line="298" w:lineRule="auto"/>
                    <w:ind w:left="103" w:right="0" w:firstLine="0"/>
                    <w:jc w:val="left"/>
                    <w:rPr>
                      <w:rFonts w:ascii="宋体" w:eastAsia="宋体"/>
                      <w:sz w:val="21"/>
                    </w:rPr>
                  </w:pPr>
                  <w:r>
                    <w:rPr>
                      <w:rFonts w:ascii="宋体" w:eastAsia="宋体"/>
                      <w:spacing w:val="-4"/>
                      <w:sz w:val="21"/>
                    </w:rPr>
                    <w:t xml:space="preserve">广核太阳能哈密有限公司一期 </w:t>
                  </w:r>
                  <w:r>
                    <w:rPr>
                      <w:rFonts w:ascii="宋体" w:eastAsia="宋体"/>
                      <w:sz w:val="21"/>
                    </w:rPr>
                    <w:t>20</w:t>
                  </w:r>
                  <w:r>
                    <w:rPr>
                      <w:rFonts w:ascii="宋体" w:eastAsia="宋体"/>
                      <w:spacing w:val="-9"/>
                      <w:sz w:val="21"/>
                    </w:rPr>
                    <w:t xml:space="preserve"> 兆瓦、国电电力新疆新能源开发筹建处哈密市 </w:t>
                  </w:r>
                  <w:r>
                    <w:rPr>
                      <w:rFonts w:ascii="宋体" w:eastAsia="宋体"/>
                      <w:sz w:val="21"/>
                    </w:rPr>
                    <w:t>20</w:t>
                  </w:r>
                  <w:r>
                    <w:rPr>
                      <w:rFonts w:ascii="宋体" w:eastAsia="宋体"/>
                      <w:spacing w:val="-14"/>
                      <w:sz w:val="21"/>
                    </w:rPr>
                    <w:t xml:space="preserve"> 兆瓦光</w:t>
                  </w:r>
                </w:p>
                <w:p w14:paraId="431E5692">
                  <w:pPr>
                    <w:spacing w:before="0" w:line="298" w:lineRule="auto"/>
                    <w:ind w:left="103" w:right="0" w:firstLine="0"/>
                    <w:jc w:val="left"/>
                    <w:rPr>
                      <w:rFonts w:ascii="宋体" w:eastAsia="宋体"/>
                      <w:sz w:val="21"/>
                    </w:rPr>
                  </w:pPr>
                  <w:r>
                    <w:rPr>
                      <w:rFonts w:ascii="宋体" w:eastAsia="宋体"/>
                      <w:spacing w:val="-4"/>
                      <w:sz w:val="21"/>
                    </w:rPr>
                    <w:t xml:space="preserve">伏并网发电项目、华电新疆发电有限公司哈密分公司哈密市 </w:t>
                  </w:r>
                  <w:r>
                    <w:rPr>
                      <w:rFonts w:ascii="宋体" w:eastAsia="宋体"/>
                      <w:spacing w:val="-2"/>
                      <w:sz w:val="21"/>
                    </w:rPr>
                    <w:t>20</w:t>
                  </w:r>
                  <w:r>
                    <w:rPr>
                      <w:rFonts w:ascii="宋体" w:eastAsia="宋体"/>
                      <w:spacing w:val="-10"/>
                      <w:sz w:val="21"/>
                    </w:rPr>
                    <w:t xml:space="preserve"> 兆瓦光伏并网发电项目、特</w:t>
                  </w:r>
                </w:p>
                <w:p w14:paraId="72673BC9">
                  <w:pPr>
                    <w:spacing w:before="0" w:line="298" w:lineRule="auto"/>
                    <w:ind w:left="103" w:right="0" w:firstLine="0"/>
                    <w:jc w:val="left"/>
                    <w:rPr>
                      <w:rFonts w:ascii="宋体" w:eastAsia="宋体"/>
                      <w:sz w:val="21"/>
                    </w:rPr>
                  </w:pPr>
                  <w:r>
                    <w:rPr>
                      <w:rFonts w:ascii="宋体" w:eastAsia="宋体"/>
                      <w:spacing w:val="-5"/>
                      <w:sz w:val="21"/>
                    </w:rPr>
                    <w:t xml:space="preserve">变电工新疆新能源股份有限公司哈密市 </w:t>
                  </w:r>
                  <w:r>
                    <w:rPr>
                      <w:rFonts w:ascii="宋体" w:eastAsia="宋体"/>
                      <w:spacing w:val="-2"/>
                      <w:sz w:val="21"/>
                    </w:rPr>
                    <w:t>20</w:t>
                  </w:r>
                  <w:r>
                    <w:rPr>
                      <w:rFonts w:ascii="宋体" w:eastAsia="宋体"/>
                      <w:spacing w:val="-10"/>
                      <w:sz w:val="21"/>
                    </w:rPr>
                    <w:t xml:space="preserve"> 兆瓦光伏并网发电项目、大唐新疆能源开发有限</w:t>
                  </w:r>
                </w:p>
                <w:p w14:paraId="7946E0E5">
                  <w:pPr>
                    <w:spacing w:before="0" w:line="298" w:lineRule="auto"/>
                    <w:ind w:left="103" w:right="0" w:firstLine="0"/>
                    <w:jc w:val="left"/>
                    <w:rPr>
                      <w:rFonts w:ascii="宋体" w:eastAsia="宋体"/>
                      <w:sz w:val="21"/>
                    </w:rPr>
                  </w:pPr>
                  <w:r>
                    <w:rPr>
                      <w:rFonts w:ascii="宋体" w:eastAsia="宋体"/>
                      <w:spacing w:val="-8"/>
                      <w:sz w:val="21"/>
                    </w:rPr>
                    <w:t xml:space="preserve">公司哈密市 </w:t>
                  </w:r>
                  <w:r>
                    <w:rPr>
                      <w:rFonts w:ascii="宋体" w:eastAsia="宋体"/>
                      <w:sz w:val="21"/>
                    </w:rPr>
                    <w:t>20</w:t>
                  </w:r>
                  <w:r>
                    <w:rPr>
                      <w:rFonts w:ascii="宋体" w:eastAsia="宋体"/>
                      <w:spacing w:val="-7"/>
                      <w:sz w:val="21"/>
                    </w:rPr>
                    <w:t xml:space="preserve"> 兆瓦光伏并网发电等项目和中广核太阳能哈密</w:t>
                  </w:r>
                  <w:r>
                    <w:rPr>
                      <w:rFonts w:ascii="宋体" w:eastAsia="宋体"/>
                      <w:sz w:val="21"/>
                    </w:rPr>
                    <w:t>有限</w:t>
                  </w:r>
                  <w:r>
                    <w:rPr>
                      <w:rFonts w:ascii="宋体" w:eastAsia="宋体"/>
                      <w:spacing w:val="-9"/>
                      <w:sz w:val="21"/>
                    </w:rPr>
                    <w:t xml:space="preserve">公司哈密 </w:t>
                  </w:r>
                  <w:r>
                    <w:rPr>
                      <w:rFonts w:ascii="宋体" w:eastAsia="宋体"/>
                      <w:sz w:val="21"/>
                    </w:rPr>
                    <w:t>50</w:t>
                  </w:r>
                  <w:r>
                    <w:rPr>
                      <w:rFonts w:ascii="宋体" w:eastAsia="宋体"/>
                      <w:spacing w:val="-10"/>
                      <w:sz w:val="21"/>
                    </w:rPr>
                    <w:t xml:space="preserve"> 兆瓦光热发</w:t>
                  </w:r>
                </w:p>
                <w:p w14:paraId="6E75DB4C">
                  <w:pPr>
                    <w:spacing w:before="0" w:line="298" w:lineRule="auto"/>
                    <w:ind w:left="103" w:right="0" w:firstLine="0"/>
                    <w:jc w:val="left"/>
                    <w:rPr>
                      <w:rFonts w:ascii="宋体" w:eastAsia="宋体"/>
                      <w:sz w:val="21"/>
                    </w:rPr>
                  </w:pPr>
                  <w:r>
                    <w:rPr>
                      <w:rFonts w:ascii="宋体" w:eastAsia="宋体"/>
                      <w:spacing w:val="-4"/>
                      <w:sz w:val="21"/>
                    </w:rPr>
                    <w:t xml:space="preserve">电示范项目、中国大唐集团新能源开发有限公司哈密 </w:t>
                  </w:r>
                  <w:r>
                    <w:rPr>
                      <w:rFonts w:ascii="宋体" w:eastAsia="宋体"/>
                      <w:spacing w:val="-2"/>
                      <w:sz w:val="21"/>
                    </w:rPr>
                    <w:t>50</w:t>
                  </w:r>
                  <w:r>
                    <w:rPr>
                      <w:rFonts w:ascii="宋体" w:eastAsia="宋体"/>
                      <w:spacing w:val="-10"/>
                      <w:sz w:val="21"/>
                    </w:rPr>
                    <w:t xml:space="preserve"> 兆瓦光热发电项目等。</w:t>
                  </w:r>
                </w:p>
              </w:txbxContent>
            </v:textbox>
            <w10:wrap type="topAndBottom"/>
          </v:shape>
        </w:pict>
      </w:r>
    </w:p>
    <w:p w14:paraId="6A43E8E2">
      <w:pPr>
        <w:spacing w:after="0"/>
        <w:rPr>
          <w:sz w:val="24"/>
        </w:rPr>
      </w:pPr>
    </w:p>
    <w:p w14:paraId="7180D8F1">
      <w:pPr>
        <w:spacing w:after="0"/>
        <w:rPr>
          <w:rFonts w:ascii="仿宋_GB2312" w:hAnsi="仿宋_GB2312" w:eastAsia="仿宋_GB2312" w:cs="仿宋_GB2312"/>
          <w:sz w:val="22"/>
          <w:szCs w:val="22"/>
          <w:lang w:val="en-US" w:eastAsia="zh-CN" w:bidi="ar-SA"/>
        </w:rPr>
      </w:pPr>
    </w:p>
    <w:p w14:paraId="1C4139B6">
      <w:pPr>
        <w:pStyle w:val="3"/>
        <w:spacing w:before="35"/>
        <w:ind w:left="0" w:right="0"/>
        <w:jc w:val="center"/>
        <w:rPr>
          <w:i w:val="0"/>
          <w:iCs w:val="0"/>
        </w:rPr>
      </w:pPr>
      <w:bookmarkStart w:id="64" w:name="_Toc27710"/>
      <w:bookmarkStart w:id="65" w:name="_Toc656313542"/>
      <w:bookmarkStart w:id="66" w:name="_Toc1346260067"/>
      <w:r>
        <w:rPr>
          <w:i w:val="0"/>
          <w:iCs w:val="0"/>
        </w:rPr>
        <w:t>第二</w:t>
      </w:r>
      <w:r>
        <w:rPr>
          <w:i w:val="0"/>
          <w:iCs w:val="0"/>
          <w:spacing w:val="16"/>
        </w:rPr>
        <w:t>节 大</w:t>
      </w:r>
      <w:r>
        <w:rPr>
          <w:i w:val="0"/>
          <w:iCs w:val="0"/>
        </w:rPr>
        <w:t>力发展煤电冶材工业，建设新疆重要的煤电冶材基</w:t>
      </w:r>
      <w:r>
        <w:rPr>
          <w:i w:val="0"/>
          <w:iCs w:val="0"/>
          <w:spacing w:val="-10"/>
        </w:rPr>
        <w:t>地</w:t>
      </w:r>
      <w:bookmarkEnd w:id="64"/>
      <w:bookmarkEnd w:id="65"/>
      <w:bookmarkEnd w:id="66"/>
    </w:p>
    <w:p w14:paraId="07FB6A62">
      <w:pPr>
        <w:pStyle w:val="5"/>
        <w:spacing w:before="5"/>
        <w:ind w:left="0"/>
        <w:rPr>
          <w:rFonts w:ascii="楷体_GB2312"/>
          <w:b/>
          <w:i/>
          <w:sz w:val="34"/>
        </w:rPr>
      </w:pPr>
    </w:p>
    <w:p w14:paraId="139D71F3">
      <w:pPr>
        <w:tabs>
          <w:tab w:val="left" w:pos="637"/>
        </w:tabs>
        <w:spacing w:after="0"/>
        <w:ind w:firstLine="552" w:firstLineChars="200"/>
        <w:rPr>
          <w:spacing w:val="-2"/>
          <w:sz w:val="28"/>
          <w:szCs w:val="28"/>
          <w:lang w:val="en-US" w:eastAsia="zh-CN"/>
        </w:rPr>
        <w:sectPr>
          <w:pgSz w:w="11910" w:h="16840"/>
          <w:pgMar w:top="1540" w:right="1260" w:bottom="1180" w:left="1480" w:header="0" w:footer="993" w:gutter="0"/>
          <w:pgNumType w:fmt="decimal"/>
          <w:cols w:space="720" w:num="1"/>
        </w:sectPr>
      </w:pPr>
      <w:r>
        <w:rPr>
          <w:spacing w:val="-2"/>
          <w:sz w:val="28"/>
          <w:szCs w:val="28"/>
        </w:rPr>
        <w:t>利用地区电价和资源组合优势，在加快煤电冶材产业链发展上有新突破。</w:t>
      </w:r>
    </w:p>
    <w:p w14:paraId="029053FC">
      <w:pPr>
        <w:pStyle w:val="5"/>
        <w:autoSpaceDE/>
        <w:autoSpaceDN/>
        <w:spacing w:line="363" w:lineRule="auto"/>
        <w:ind w:left="0" w:right="0" w:firstLine="0" w:firstLineChars="0"/>
        <w:jc w:val="both"/>
      </w:pPr>
      <w:bookmarkStart w:id="67" w:name="_bookmark13"/>
      <w:bookmarkEnd w:id="67"/>
      <w:bookmarkStart w:id="68" w:name="第二节  大力发展煤电冶材工业，建设新疆重要的煤电冶材基地"/>
      <w:bookmarkEnd w:id="68"/>
      <w:r>
        <w:rPr>
          <w:spacing w:val="-2"/>
        </w:rPr>
        <w:t>加大煤电冶材产业项目的引进力度，切实抓好重点项目的推进工作，将矿产资源和低附加值的矿产初级原料转化为高品质、高附</w:t>
      </w:r>
      <w:r>
        <w:rPr>
          <w:spacing w:val="-6"/>
        </w:rPr>
        <w:t>加值的产品，重点发展电解铜、电解镍、合金、特种钢、硅料等产品。</w:t>
      </w:r>
    </w:p>
    <w:p w14:paraId="7739EF89">
      <w:pPr>
        <w:spacing w:line="363" w:lineRule="auto"/>
        <w:ind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一、黑色金属加工</w:t>
      </w:r>
      <w:r>
        <w:rPr>
          <w:rFonts w:hint="eastAsia" w:ascii="仿宋_GB2312" w:eastAsia="仿宋_GB2312"/>
          <w:b/>
          <w:bCs/>
          <w:i w:val="0"/>
          <w:iCs w:val="0"/>
          <w:spacing w:val="-10"/>
          <w:sz w:val="28"/>
          <w:szCs w:val="28"/>
        </w:rPr>
        <w:t>业</w:t>
      </w:r>
    </w:p>
    <w:p w14:paraId="6985D123">
      <w:pPr>
        <w:pStyle w:val="5"/>
        <w:spacing w:before="0" w:line="363" w:lineRule="auto"/>
        <w:ind w:left="0" w:right="0" w:firstLine="552" w:firstLineChars="200"/>
        <w:jc w:val="both"/>
      </w:pPr>
      <w:r>
        <w:rPr>
          <w:spacing w:val="-2"/>
          <w:w w:val="100"/>
        </w:rPr>
        <w:t>积极引进八钢、酒钢和西宁特钢等有实力、有资源保障的铁矿精深加工企业，通过资本市场融资和企业上市，鼓励各类生产要素向钢铁原辅料产业基地集中，努力实现资源就地消化转化，做大做强钢铁原辅料及特种钢生产规模，建成全疆规模最大、工艺装备水平最先进、资源综合利用率较高的，在西北地区具有重要影响的钢铁原辅料生产基地。</w:t>
      </w:r>
    </w:p>
    <w:p w14:paraId="7DBFF909">
      <w:pPr>
        <w:pStyle w:val="5"/>
        <w:spacing w:before="0" w:line="363" w:lineRule="auto"/>
        <w:ind w:left="0" w:right="0" w:firstLine="552" w:firstLineChars="200"/>
        <w:jc w:val="both"/>
        <w:rPr>
          <w:spacing w:val="-2"/>
        </w:rPr>
      </w:pPr>
      <w:r>
        <w:rPr>
          <w:spacing w:val="-2"/>
        </w:rPr>
        <w:t>以磁海、M1033、天湖、白山泉、宝山和阿拉塔格为重点，在适度扩大铁矿采矿规模的同时，重点发展铁精粉、球团、生铁和还原铁等系列产品；引进先进的浮选工艺技术和干法选矿技术，开发低品位、弱磁性铁矿石，提升资源综合利用率。到 2015 年，形成铁矿石开采规模 1200 万吨/年，铁精粉生产规模 450 万吨/年，球团 450 万吨/年，</w:t>
      </w:r>
      <w:r>
        <w:rPr>
          <w:spacing w:val="-2"/>
          <w:w w:val="100"/>
        </w:rPr>
        <w:t>特种钢</w:t>
      </w:r>
      <w:r>
        <w:rPr>
          <w:spacing w:val="-2"/>
        </w:rPr>
        <w:t xml:space="preserve"> </w:t>
      </w:r>
      <w:r>
        <w:rPr>
          <w:spacing w:val="-2"/>
          <w:w w:val="100"/>
        </w:rPr>
        <w:t>200</w:t>
      </w:r>
      <w:r>
        <w:rPr>
          <w:spacing w:val="-2"/>
        </w:rPr>
        <w:t xml:space="preserve"> </w:t>
      </w:r>
      <w:r>
        <w:rPr>
          <w:spacing w:val="-2"/>
          <w:w w:val="100"/>
        </w:rPr>
        <w:t>万吨/年。“十二五”期间，积极开展矿区的资源整合工作，包括对矿区矿业权和选矿点的整合，使其达到规模化生产，高效配套使用基础设施，提高成矿率。</w:t>
      </w:r>
    </w:p>
    <w:p w14:paraId="6D771E29">
      <w:pPr>
        <w:pStyle w:val="5"/>
        <w:spacing w:before="8"/>
        <w:ind w:left="0"/>
        <w:rPr>
          <w:sz w:val="3"/>
        </w:rPr>
      </w:pPr>
      <w:r>
        <w:pict>
          <v:shape id="docshape21" o:spid="_x0000_s1040" o:spt="202" type="#_x0000_t202" style="position:absolute;left:0pt;margin-left:84.3pt;margin-top:3.75pt;height:211.65pt;width:426.25pt;mso-position-horizontal-relative:page;mso-wrap-distance-bottom:0pt;mso-wrap-distance-top:0pt;z-index:-251648000;mso-width-relative:page;mso-height-relative:page;" filled="f" stroked="t" coordsize="21600,21600">
            <v:path/>
            <v:fill on="f" focussize="0,0"/>
            <v:stroke weight="0.48pt" color="#000000" joinstyle="miter"/>
            <v:imagedata o:title=""/>
            <o:lock v:ext="edit" aspectratio="f"/>
            <v:textbox inset="0mm,0mm,0mm,0mm">
              <w:txbxContent>
                <w:p w14:paraId="199B47AA">
                  <w:pPr>
                    <w:spacing w:before="109" w:afterLines="50"/>
                    <w:ind w:left="125" w:right="125" w:firstLine="0"/>
                    <w:jc w:val="center"/>
                    <w:rPr>
                      <w:rFonts w:hint="eastAsia" w:ascii="黑体" w:eastAsia="黑体"/>
                      <w:b/>
                      <w:sz w:val="21"/>
                    </w:rPr>
                  </w:pPr>
                  <w:r>
                    <w:rPr>
                      <w:rFonts w:hint="eastAsia" w:ascii="黑体" w:eastAsia="黑体"/>
                      <w:b/>
                      <w:spacing w:val="-18"/>
                      <w:sz w:val="21"/>
                    </w:rPr>
                    <w:t xml:space="preserve">专栏 </w:t>
                  </w:r>
                  <w:r>
                    <w:rPr>
                      <w:rFonts w:hint="eastAsia" w:ascii="黑体" w:eastAsia="黑体"/>
                      <w:b/>
                      <w:sz w:val="21"/>
                    </w:rPr>
                    <w:t>4-3</w:t>
                  </w:r>
                  <w:r>
                    <w:rPr>
                      <w:rFonts w:hint="eastAsia" w:ascii="黑体" w:eastAsia="黑体"/>
                      <w:b/>
                      <w:spacing w:val="45"/>
                      <w:sz w:val="21"/>
                    </w:rPr>
                    <w:t xml:space="preserve"> 黑</w:t>
                  </w:r>
                  <w:r>
                    <w:rPr>
                      <w:rFonts w:hint="eastAsia" w:ascii="黑体" w:eastAsia="黑体"/>
                      <w:b/>
                      <w:sz w:val="21"/>
                    </w:rPr>
                    <w:t>色、有色金属行业重大项</w:t>
                  </w:r>
                  <w:r>
                    <w:rPr>
                      <w:rFonts w:hint="eastAsia" w:ascii="黑体" w:eastAsia="黑体"/>
                      <w:b/>
                      <w:spacing w:val="-10"/>
                      <w:sz w:val="21"/>
                    </w:rPr>
                    <w:t>目</w:t>
                  </w:r>
                </w:p>
                <w:p w14:paraId="633112E9">
                  <w:pPr>
                    <w:spacing w:before="0" w:line="322" w:lineRule="auto"/>
                    <w:ind w:left="102" w:right="102" w:firstLine="420"/>
                    <w:jc w:val="both"/>
                    <w:rPr>
                      <w:rFonts w:ascii="宋体" w:eastAsia="宋体"/>
                      <w:spacing w:val="-4"/>
                      <w:sz w:val="21"/>
                    </w:rPr>
                  </w:pPr>
                  <w:r>
                    <w:rPr>
                      <w:rFonts w:ascii="宋体" w:eastAsia="宋体"/>
                      <w:spacing w:val="-6"/>
                      <w:sz w:val="21"/>
                    </w:rPr>
                    <w:t xml:space="preserve">新疆钢铁雅满苏矿业有限公司 </w:t>
                  </w:r>
                  <w:r>
                    <w:rPr>
                      <w:rFonts w:ascii="宋体" w:eastAsia="宋体"/>
                      <w:spacing w:val="-4"/>
                      <w:sz w:val="21"/>
                    </w:rPr>
                    <w:t>150</w:t>
                  </w:r>
                  <w:r>
                    <w:rPr>
                      <w:rFonts w:ascii="宋体" w:eastAsia="宋体"/>
                      <w:spacing w:val="-16"/>
                      <w:sz w:val="21"/>
                    </w:rPr>
                    <w:t xml:space="preserve"> 万吨采矿建设项目、哈密市龙诚矿业公司 </w:t>
                  </w:r>
                  <w:r>
                    <w:rPr>
                      <w:rFonts w:ascii="宋体" w:eastAsia="宋体"/>
                      <w:spacing w:val="-4"/>
                      <w:sz w:val="21"/>
                    </w:rPr>
                    <w:t>M1033</w:t>
                  </w:r>
                  <w:r>
                    <w:rPr>
                      <w:rFonts w:ascii="宋体" w:eastAsia="宋体"/>
                      <w:spacing w:val="-10"/>
                      <w:sz w:val="21"/>
                    </w:rPr>
                    <w:t xml:space="preserve"> 铁矿</w:t>
                  </w:r>
                  <w:r>
                    <w:rPr>
                      <w:rFonts w:ascii="宋体" w:eastAsia="宋体"/>
                      <w:spacing w:val="-4"/>
                      <w:sz w:val="21"/>
                    </w:rPr>
                    <w:t>采选建设项目、新疆大明公司铁矿石采选及水资源综合利用项目、新疆昕昊达矿业公司年产 100</w:t>
                  </w:r>
                  <w:r>
                    <w:rPr>
                      <w:rFonts w:ascii="宋体" w:eastAsia="宋体"/>
                      <w:spacing w:val="-10"/>
                      <w:sz w:val="21"/>
                    </w:rPr>
                    <w:t xml:space="preserve"> 万吨二期氧化球团项目、新疆昕昊达矿业公司年产 </w:t>
                  </w:r>
                  <w:r>
                    <w:rPr>
                      <w:rFonts w:ascii="宋体" w:eastAsia="宋体"/>
                      <w:spacing w:val="-4"/>
                      <w:sz w:val="21"/>
                    </w:rPr>
                    <w:t>200</w:t>
                  </w:r>
                  <w:r>
                    <w:rPr>
                      <w:rFonts w:ascii="宋体" w:eastAsia="宋体"/>
                      <w:spacing w:val="-9"/>
                      <w:sz w:val="21"/>
                    </w:rPr>
                    <w:t xml:space="preserve"> 万吨优质特钢项目、新疆新华联</w:t>
                  </w:r>
                  <w:r>
                    <w:rPr>
                      <w:rFonts w:ascii="宋体" w:eastAsia="宋体"/>
                      <w:spacing w:val="-4"/>
                      <w:sz w:val="21"/>
                    </w:rPr>
                    <w:t>天宇矿业有限公司铜镍矿采选项目</w:t>
                  </w:r>
                  <w:r>
                    <w:rPr>
                      <w:rFonts w:ascii="宋体" w:eastAsia="宋体"/>
                      <w:spacing w:val="-5"/>
                      <w:sz w:val="21"/>
                    </w:rPr>
                    <w:t>、新疆华金铜业有限公司土屋铜矿开发项目、哈密东天</w:t>
                  </w:r>
                  <w:r>
                    <w:rPr>
                      <w:rFonts w:ascii="宋体" w:eastAsia="宋体"/>
                      <w:spacing w:val="-4"/>
                      <w:sz w:val="21"/>
                    </w:rPr>
                    <w:t>山矿业公司铜冶炼项目、新疆瑞伦矿业有限公司铜镍矿采选项目、哈密红石矿业有限责任公司卡拉塔克铜矿采选项目、哈密西拓矿业有限公司 60 万吨/年铜矿采选建设项目、新疆众鑫矿业公司高冰镍及镍金属冶炼项目、哈密铁矿石尾矿综合利用项目、哈密市钒钛磁铁矿建设项目、哈密联营金矿日处理 230 吨矿石建设项目、哈密多金属伴生矿分离采选建设项目、新疆洛钼有限责任公司钼矿采选项目。</w:t>
                  </w:r>
                </w:p>
                <w:p w14:paraId="6B01E7C3">
                  <w:pPr>
                    <w:spacing w:before="0" w:line="266" w:lineRule="exact"/>
                    <w:ind w:left="124" w:right="124" w:firstLine="0"/>
                    <w:jc w:val="center"/>
                    <w:rPr>
                      <w:rFonts w:ascii="宋体" w:eastAsia="宋体"/>
                      <w:sz w:val="21"/>
                    </w:rPr>
                  </w:pPr>
                </w:p>
              </w:txbxContent>
            </v:textbox>
            <w10:wrap type="topAndBottom"/>
          </v:shape>
        </w:pict>
      </w:r>
    </w:p>
    <w:p w14:paraId="2ABD19CD">
      <w:pPr>
        <w:pStyle w:val="5"/>
        <w:ind w:left="201"/>
        <w:rPr>
          <w:sz w:val="20"/>
        </w:rPr>
      </w:pPr>
    </w:p>
    <w:p w14:paraId="29891C70">
      <w:pPr>
        <w:spacing w:line="360" w:lineRule="auto"/>
        <w:ind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二、有色金属加工</w:t>
      </w:r>
      <w:r>
        <w:rPr>
          <w:rFonts w:hint="eastAsia" w:ascii="仿宋_GB2312" w:eastAsia="仿宋_GB2312"/>
          <w:b/>
          <w:bCs/>
          <w:i w:val="0"/>
          <w:iCs w:val="0"/>
          <w:spacing w:val="-10"/>
          <w:sz w:val="28"/>
          <w:szCs w:val="28"/>
        </w:rPr>
        <w:t>业</w:t>
      </w:r>
    </w:p>
    <w:p w14:paraId="2F1AC33A">
      <w:pPr>
        <w:pStyle w:val="5"/>
        <w:spacing w:line="363" w:lineRule="auto"/>
        <w:ind w:left="0" w:right="0" w:firstLine="552" w:firstLineChars="200"/>
        <w:jc w:val="both"/>
      </w:pPr>
      <w:r>
        <w:rPr>
          <w:spacing w:val="-2"/>
        </w:rPr>
        <w:t>积极争取国家对东天山矿产资源的勘探开发政策，加大东天山有色金属带的勘探与开发力度，推进铜、镍、钼、铅、锌等有色金属加工业的发展，扩大镍精粉、铜精粉、高冰镍产量，利用煤电一体化的优势，开发金属镍、金属铜、镍盐、电解镍、电解铜等系列产品，延伸开发铜材、铜管、铜件和高中低输电线缆等铜、镍下游产品，不断延伸产业链，提高产品附加值，使有色金属产业成为地区矿业开发的</w:t>
      </w:r>
      <w:r>
        <w:rPr>
          <w:spacing w:val="-7"/>
        </w:rPr>
        <w:t xml:space="preserve">主导产业之一。到 </w:t>
      </w:r>
      <w:r>
        <w:t>2015</w:t>
      </w:r>
      <w:r>
        <w:rPr>
          <w:spacing w:val="-12"/>
        </w:rPr>
        <w:t xml:space="preserve"> 年，铜镍矿采选规模 </w:t>
      </w:r>
      <w:r>
        <w:t>300</w:t>
      </w:r>
      <w:r>
        <w:rPr>
          <w:spacing w:val="-9"/>
        </w:rPr>
        <w:t xml:space="preserve"> 万吨/年；铜精粉达</w:t>
      </w:r>
      <w:r>
        <w:rPr>
          <w:spacing w:val="-18"/>
        </w:rPr>
        <w:t xml:space="preserve">到 </w:t>
      </w:r>
      <w:r>
        <w:rPr>
          <w:spacing w:val="-2"/>
        </w:rPr>
        <w:t>3</w:t>
      </w:r>
      <w:r>
        <w:rPr>
          <w:spacing w:val="-10"/>
        </w:rPr>
        <w:t xml:space="preserve"> 万金属吨/年；高冰镍、金属镍均达到 </w:t>
      </w:r>
      <w:r>
        <w:rPr>
          <w:spacing w:val="-2"/>
        </w:rPr>
        <w:t>3</w:t>
      </w:r>
      <w:r>
        <w:rPr>
          <w:spacing w:val="-8"/>
        </w:rPr>
        <w:t xml:space="preserve"> 万金属吨/年，初步形成</w:t>
      </w:r>
      <w:r>
        <w:rPr>
          <w:spacing w:val="-2"/>
        </w:rPr>
        <w:t>铜、镍、钼深度加工工业体系，建设新疆重要的有色金属采冶基地。</w:t>
      </w:r>
    </w:p>
    <w:p w14:paraId="0CC32074">
      <w:pPr>
        <w:pStyle w:val="5"/>
        <w:spacing w:before="8"/>
        <w:ind w:left="0"/>
        <w:rPr>
          <w:sz w:val="21"/>
        </w:rPr>
      </w:pPr>
    </w:p>
    <w:p w14:paraId="7F39B371">
      <w:pPr>
        <w:spacing w:before="0"/>
        <w:ind w:left="0" w:right="0" w:firstLine="0"/>
        <w:jc w:val="left"/>
        <w:outlineLvl w:val="2"/>
        <w:rPr>
          <w:rFonts w:hint="eastAsia" w:ascii="楷体_GB2312" w:hAnsi="楷体_GB2312" w:eastAsia="楷体_GB2312" w:cs="楷体_GB2312"/>
          <w:b/>
          <w:i w:val="0"/>
          <w:iCs/>
          <w:sz w:val="28"/>
          <w:szCs w:val="28"/>
        </w:rPr>
      </w:pPr>
      <w:bookmarkStart w:id="69" w:name="第三节  优先发展先进装备制造和高新技术产业，建设新疆"/>
      <w:bookmarkEnd w:id="69"/>
      <w:bookmarkStart w:id="70" w:name="_bookmark14"/>
      <w:bookmarkEnd w:id="70"/>
      <w:bookmarkStart w:id="71" w:name="_Toc1951097639"/>
      <w:bookmarkStart w:id="72" w:name="_Toc10675"/>
      <w:bookmarkStart w:id="73" w:name="_Toc146805407"/>
      <w:bookmarkStart w:id="74" w:name="_Toc1577601721"/>
      <w:r>
        <w:rPr>
          <w:rFonts w:hint="eastAsia" w:ascii="楷体_GB2312" w:hAnsi="楷体_GB2312" w:eastAsia="楷体_GB2312" w:cs="楷体_GB2312"/>
          <w:b/>
          <w:bCs/>
          <w:i w:val="0"/>
          <w:iCs w:val="0"/>
          <w:sz w:val="28"/>
          <w:szCs w:val="28"/>
        </w:rPr>
        <w:t>第三</w:t>
      </w:r>
      <w:r>
        <w:rPr>
          <w:rFonts w:hint="eastAsia" w:ascii="楷体_GB2312" w:hAnsi="楷体_GB2312" w:eastAsia="楷体_GB2312" w:cs="楷体_GB2312"/>
          <w:b/>
          <w:bCs/>
          <w:i w:val="0"/>
          <w:iCs w:val="0"/>
          <w:spacing w:val="19"/>
          <w:sz w:val="28"/>
          <w:szCs w:val="28"/>
        </w:rPr>
        <w:t>节 优</w:t>
      </w:r>
      <w:r>
        <w:rPr>
          <w:rFonts w:hint="eastAsia" w:ascii="楷体_GB2312" w:hAnsi="楷体_GB2312" w:eastAsia="楷体_GB2312" w:cs="楷体_GB2312"/>
          <w:b/>
          <w:bCs/>
          <w:i w:val="0"/>
          <w:iCs w:val="0"/>
          <w:sz w:val="28"/>
          <w:szCs w:val="28"/>
        </w:rPr>
        <w:t>先发展先进装备制造和高新技术产业，建设</w:t>
      </w:r>
      <w:r>
        <w:rPr>
          <w:rFonts w:hint="eastAsia" w:ascii="楷体_GB2312" w:hAnsi="楷体_GB2312" w:eastAsia="楷体_GB2312" w:cs="楷体_GB2312"/>
          <w:b/>
          <w:bCs/>
          <w:i w:val="0"/>
          <w:iCs w:val="0"/>
          <w:spacing w:val="-5"/>
          <w:sz w:val="28"/>
          <w:szCs w:val="28"/>
        </w:rPr>
        <w:t>新疆</w:t>
      </w:r>
      <w:bookmarkEnd w:id="71"/>
      <w:bookmarkEnd w:id="72"/>
      <w:bookmarkEnd w:id="73"/>
      <w:bookmarkEnd w:id="74"/>
      <w:bookmarkStart w:id="75" w:name="新型制造业基地"/>
      <w:bookmarkEnd w:id="75"/>
      <w:bookmarkStart w:id="76" w:name="_bookmark15"/>
      <w:bookmarkEnd w:id="76"/>
      <w:r>
        <w:rPr>
          <w:rFonts w:hint="eastAsia" w:ascii="楷体_GB2312" w:hAnsi="楷体_GB2312" w:eastAsia="楷体_GB2312" w:cs="楷体_GB2312"/>
          <w:b/>
          <w:i w:val="0"/>
          <w:iCs/>
          <w:spacing w:val="-4"/>
          <w:sz w:val="28"/>
          <w:szCs w:val="28"/>
        </w:rPr>
        <w:t>新型制造</w:t>
      </w:r>
      <w:r>
        <w:rPr>
          <w:rFonts w:hint="eastAsia" w:ascii="楷体_GB2312" w:hAnsi="楷体_GB2312" w:eastAsia="楷体_GB2312" w:cs="楷体_GB2312"/>
          <w:b/>
          <w:i w:val="0"/>
          <w:iCs/>
          <w:spacing w:val="-7"/>
          <w:sz w:val="28"/>
          <w:szCs w:val="28"/>
        </w:rPr>
        <w:t>业基地</w:t>
      </w:r>
    </w:p>
    <w:p w14:paraId="6752682E">
      <w:pPr>
        <w:pStyle w:val="5"/>
        <w:spacing w:before="4"/>
        <w:ind w:left="0"/>
        <w:rPr>
          <w:rFonts w:ascii="楷体_GB2312"/>
          <w:b/>
          <w:i/>
          <w:sz w:val="26"/>
        </w:rPr>
      </w:pPr>
    </w:p>
    <w:p w14:paraId="37283565">
      <w:pPr>
        <w:pStyle w:val="5"/>
        <w:spacing w:line="363" w:lineRule="auto"/>
        <w:ind w:left="0" w:right="0" w:firstLine="561"/>
        <w:jc w:val="both"/>
      </w:pPr>
      <w:r>
        <w:rPr>
          <w:sz w:val="20"/>
        </w:rPr>
        <mc:AlternateContent>
          <mc:Choice Requires="wpg">
            <w:drawing>
              <wp:anchor distT="0" distB="0" distL="114935" distR="114935" simplePos="0" relativeHeight="251660288" behindDoc="0" locked="0" layoutInCell="1" allowOverlap="1">
                <wp:simplePos x="0" y="0"/>
                <wp:positionH relativeFrom="column">
                  <wp:posOffset>266700</wp:posOffset>
                </wp:positionH>
                <wp:positionV relativeFrom="paragraph">
                  <wp:posOffset>2460625</wp:posOffset>
                </wp:positionV>
                <wp:extent cx="5186680" cy="2120900"/>
                <wp:effectExtent l="0" t="0" r="13970" b="12700"/>
                <wp:wrapSquare wrapText="bothSides"/>
                <wp:docPr id="13" name="docshapegroup23"/>
                <wp:cNvGraphicFramePr/>
                <a:graphic xmlns:a="http://schemas.openxmlformats.org/drawingml/2006/main">
                  <a:graphicData uri="http://schemas.microsoft.com/office/word/2010/wordprocessingGroup">
                    <wpg:wgp>
                      <wpg:cNvGrpSpPr/>
                      <wpg:grpSpPr>
                        <a:xfrm>
                          <a:off x="0" y="0"/>
                          <a:ext cx="5186680" cy="2120900"/>
                          <a:chOff x="420" y="30"/>
                          <a:chExt cx="8168" cy="3340"/>
                        </a:xfrm>
                      </wpg:grpSpPr>
                      <wps:wsp>
                        <wps:cNvPr id="11" name="docshape24"/>
                        <wps:cNvSpPr/>
                        <wps:spPr>
                          <a:xfrm>
                            <a:off x="420" y="60"/>
                            <a:ext cx="8168" cy="3310"/>
                          </a:xfrm>
                          <a:custGeom>
                            <a:avLst/>
                            <a:gdLst/>
                            <a:ahLst/>
                            <a:cxnLst/>
                            <a:pathLst>
                              <a:path w="8168" h="3310">
                                <a:moveTo>
                                  <a:pt x="8168" y="3310"/>
                                </a:moveTo>
                                <a:lnTo>
                                  <a:pt x="0" y="3310"/>
                                </a:lnTo>
                                <a:lnTo>
                                  <a:pt x="0" y="0"/>
                                </a:lnTo>
                                <a:lnTo>
                                  <a:pt x="8168" y="0"/>
                                </a:lnTo>
                                <a:lnTo>
                                  <a:pt x="8168" y="8"/>
                                </a:lnTo>
                                <a:lnTo>
                                  <a:pt x="15" y="8"/>
                                </a:lnTo>
                                <a:lnTo>
                                  <a:pt x="8" y="15"/>
                                </a:lnTo>
                                <a:lnTo>
                                  <a:pt x="15" y="15"/>
                                </a:lnTo>
                                <a:lnTo>
                                  <a:pt x="15" y="3295"/>
                                </a:lnTo>
                                <a:lnTo>
                                  <a:pt x="8" y="3295"/>
                                </a:lnTo>
                                <a:lnTo>
                                  <a:pt x="15" y="3303"/>
                                </a:lnTo>
                                <a:lnTo>
                                  <a:pt x="8168" y="3303"/>
                                </a:lnTo>
                                <a:lnTo>
                                  <a:pt x="8168" y="3310"/>
                                </a:lnTo>
                                <a:close/>
                                <a:moveTo>
                                  <a:pt x="15" y="15"/>
                                </a:moveTo>
                                <a:lnTo>
                                  <a:pt x="8" y="15"/>
                                </a:lnTo>
                                <a:lnTo>
                                  <a:pt x="15" y="8"/>
                                </a:lnTo>
                                <a:lnTo>
                                  <a:pt x="15" y="15"/>
                                </a:lnTo>
                                <a:close/>
                                <a:moveTo>
                                  <a:pt x="8153" y="15"/>
                                </a:moveTo>
                                <a:lnTo>
                                  <a:pt x="15" y="15"/>
                                </a:lnTo>
                                <a:lnTo>
                                  <a:pt x="15" y="8"/>
                                </a:lnTo>
                                <a:lnTo>
                                  <a:pt x="8153" y="8"/>
                                </a:lnTo>
                                <a:lnTo>
                                  <a:pt x="8153" y="15"/>
                                </a:lnTo>
                                <a:close/>
                                <a:moveTo>
                                  <a:pt x="8153" y="3303"/>
                                </a:moveTo>
                                <a:lnTo>
                                  <a:pt x="8153" y="8"/>
                                </a:lnTo>
                                <a:lnTo>
                                  <a:pt x="8161" y="15"/>
                                </a:lnTo>
                                <a:lnTo>
                                  <a:pt x="8168" y="15"/>
                                </a:lnTo>
                                <a:lnTo>
                                  <a:pt x="8168" y="3295"/>
                                </a:lnTo>
                                <a:lnTo>
                                  <a:pt x="8161" y="3295"/>
                                </a:lnTo>
                                <a:lnTo>
                                  <a:pt x="8153" y="3303"/>
                                </a:lnTo>
                                <a:close/>
                                <a:moveTo>
                                  <a:pt x="8168" y="15"/>
                                </a:moveTo>
                                <a:lnTo>
                                  <a:pt x="8161" y="15"/>
                                </a:lnTo>
                                <a:lnTo>
                                  <a:pt x="8153" y="8"/>
                                </a:lnTo>
                                <a:lnTo>
                                  <a:pt x="8168" y="8"/>
                                </a:lnTo>
                                <a:lnTo>
                                  <a:pt x="8168" y="15"/>
                                </a:lnTo>
                                <a:close/>
                                <a:moveTo>
                                  <a:pt x="15" y="3303"/>
                                </a:moveTo>
                                <a:lnTo>
                                  <a:pt x="8" y="3295"/>
                                </a:lnTo>
                                <a:lnTo>
                                  <a:pt x="15" y="3295"/>
                                </a:lnTo>
                                <a:lnTo>
                                  <a:pt x="15" y="3303"/>
                                </a:lnTo>
                                <a:close/>
                                <a:moveTo>
                                  <a:pt x="8153" y="3303"/>
                                </a:moveTo>
                                <a:lnTo>
                                  <a:pt x="15" y="3303"/>
                                </a:lnTo>
                                <a:lnTo>
                                  <a:pt x="15" y="3295"/>
                                </a:lnTo>
                                <a:lnTo>
                                  <a:pt x="8153" y="3295"/>
                                </a:lnTo>
                                <a:lnTo>
                                  <a:pt x="8153" y="3303"/>
                                </a:lnTo>
                                <a:close/>
                                <a:moveTo>
                                  <a:pt x="8168" y="3303"/>
                                </a:moveTo>
                                <a:lnTo>
                                  <a:pt x="8153" y="3303"/>
                                </a:lnTo>
                                <a:lnTo>
                                  <a:pt x="8161" y="3295"/>
                                </a:lnTo>
                                <a:lnTo>
                                  <a:pt x="8168" y="3295"/>
                                </a:lnTo>
                                <a:lnTo>
                                  <a:pt x="8168" y="3303"/>
                                </a:lnTo>
                                <a:close/>
                              </a:path>
                            </a:pathLst>
                          </a:custGeom>
                          <a:solidFill>
                            <a:srgbClr val="000000"/>
                          </a:solidFill>
                          <a:ln>
                            <a:noFill/>
                          </a:ln>
                        </wps:spPr>
                        <wps:bodyPr upright="1"/>
                      </wps:wsp>
                      <wps:wsp>
                        <wps:cNvPr id="12" name="docshape25"/>
                        <wps:cNvSpPr txBox="1"/>
                        <wps:spPr>
                          <a:xfrm>
                            <a:off x="420" y="30"/>
                            <a:ext cx="8153" cy="3310"/>
                          </a:xfrm>
                          <a:prstGeom prst="rect">
                            <a:avLst/>
                          </a:prstGeom>
                          <a:noFill/>
                          <a:ln>
                            <a:noFill/>
                          </a:ln>
                        </wps:spPr>
                        <wps:txbx>
                          <w:txbxContent>
                            <w:p w14:paraId="06B2A784">
                              <w:pPr>
                                <w:spacing w:before="5" w:line="240" w:lineRule="auto"/>
                                <w:jc w:val="center"/>
                                <w:rPr>
                                  <w:rFonts w:hint="eastAsia" w:eastAsia="仿宋_GB2312"/>
                                  <w:sz w:val="15"/>
                                  <w:lang w:val="en-US" w:eastAsia="zh-CN"/>
                                </w:rPr>
                              </w:pPr>
                            </w:p>
                            <w:p w14:paraId="1C247EED">
                              <w:pPr>
                                <w:spacing w:before="0" w:beforeLines="50" w:afterLines="50"/>
                                <w:ind w:left="1922" w:right="1922"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z w:val="21"/>
                                </w:rPr>
                                <w:t>4-4</w:t>
                              </w:r>
                              <w:r>
                                <w:rPr>
                                  <w:rFonts w:hint="eastAsia" w:ascii="黑体" w:eastAsia="黑体"/>
                                  <w:b/>
                                  <w:spacing w:val="-1"/>
                                  <w:sz w:val="21"/>
                                </w:rPr>
                                <w:t xml:space="preserve"> 装备制造业和高新技术产业重大项目</w:t>
                              </w:r>
                            </w:p>
                            <w:p w14:paraId="45EDC8EB">
                              <w:pPr>
                                <w:spacing w:before="132" w:line="322" w:lineRule="auto"/>
                                <w:ind w:left="159" w:right="159" w:firstLine="420"/>
                                <w:jc w:val="both"/>
                                <w:rPr>
                                  <w:rFonts w:ascii="宋体" w:eastAsia="宋体"/>
                                  <w:sz w:val="21"/>
                                </w:rPr>
                              </w:pPr>
                              <w:r>
                                <w:rPr>
                                  <w:rFonts w:ascii="宋体" w:hAnsi="宋体" w:eastAsia="宋体"/>
                                  <w:spacing w:val="-2"/>
                                  <w:sz w:val="21"/>
                                </w:rPr>
                                <w:t>哈密金风风电设备有限公司兆瓦级风力发电机组装项目、华锐风电科技（哈密）</w:t>
                              </w:r>
                              <w:r>
                                <w:rPr>
                                  <w:rFonts w:ascii="宋体" w:hAnsi="宋体" w:eastAsia="宋体"/>
                                  <w:spacing w:val="-3"/>
                                  <w:sz w:val="21"/>
                                </w:rPr>
                                <w:t xml:space="preserve">有限公司风电装备组装项目、新疆海装风电设备有限公司 </w:t>
                              </w:r>
                              <w:r>
                                <w:rPr>
                                  <w:rFonts w:ascii="Times New Roman" w:hAnsi="Times New Roman" w:eastAsia="Times New Roman"/>
                                  <w:spacing w:val="-2"/>
                                  <w:sz w:val="21"/>
                                </w:rPr>
                                <w:t>2.5-3</w:t>
                              </w:r>
                              <w:r>
                                <w:rPr>
                                  <w:rFonts w:ascii="Times New Roman" w:hAnsi="Times New Roman" w:eastAsia="Times New Roman"/>
                                  <w:spacing w:val="-11"/>
                                  <w:sz w:val="21"/>
                                </w:rPr>
                                <w:t xml:space="preserve"> </w:t>
                              </w:r>
                              <w:r>
                                <w:rPr>
                                  <w:rFonts w:ascii="宋体" w:hAnsi="宋体" w:eastAsia="宋体"/>
                                  <w:spacing w:val="-2"/>
                                  <w:sz w:val="21"/>
                                </w:rPr>
                                <w:t>兆瓦变速恒频风力发电机组装项目、新疆豫新风电设备有限公司风电塔筒制造项目、上海泰胜风能装备股</w:t>
                              </w:r>
                              <w:r>
                                <w:rPr>
                                  <w:rFonts w:ascii="宋体" w:hAnsi="宋体" w:eastAsia="宋体"/>
                                  <w:spacing w:val="-5"/>
                                  <w:sz w:val="21"/>
                                </w:rPr>
                                <w:t xml:space="preserve">份有限公司 </w:t>
                              </w:r>
                              <w:r>
                                <w:rPr>
                                  <w:rFonts w:ascii="Times New Roman" w:hAnsi="Times New Roman" w:eastAsia="Times New Roman"/>
                                  <w:spacing w:val="-2"/>
                                  <w:sz w:val="21"/>
                                </w:rPr>
                                <w:t>2.5</w:t>
                              </w:r>
                              <w:r>
                                <w:rPr>
                                  <w:rFonts w:ascii="宋体" w:hAnsi="宋体" w:eastAsia="宋体"/>
                                  <w:spacing w:val="-2"/>
                                  <w:sz w:val="21"/>
                                </w:rPr>
                                <w:t>—</w:t>
                              </w:r>
                              <w:r>
                                <w:rPr>
                                  <w:rFonts w:ascii="Times New Roman" w:hAnsi="Times New Roman" w:eastAsia="Times New Roman"/>
                                  <w:spacing w:val="-2"/>
                                  <w:sz w:val="21"/>
                                </w:rPr>
                                <w:t>5</w:t>
                              </w:r>
                              <w:r>
                                <w:rPr>
                                  <w:rFonts w:ascii="Times New Roman" w:hAnsi="Times New Roman" w:eastAsia="Times New Roman"/>
                                  <w:spacing w:val="-12"/>
                                  <w:sz w:val="21"/>
                                </w:rPr>
                                <w:t xml:space="preserve"> </w:t>
                              </w:r>
                              <w:r>
                                <w:rPr>
                                  <w:rFonts w:ascii="宋体" w:hAnsi="宋体" w:eastAsia="宋体"/>
                                  <w:spacing w:val="-3"/>
                                  <w:sz w:val="21"/>
                                </w:rPr>
                                <w:t xml:space="preserve">兆瓦风机塔架生产项目、新疆广水管道有限公司年产 </w:t>
                              </w:r>
                              <w:r>
                                <w:rPr>
                                  <w:rFonts w:ascii="Times New Roman" w:hAnsi="Times New Roman" w:eastAsia="Times New Roman"/>
                                  <w:spacing w:val="-2"/>
                                  <w:sz w:val="21"/>
                                </w:rPr>
                                <w:t>3</w:t>
                              </w:r>
                              <w:r>
                                <w:rPr>
                                  <w:rFonts w:ascii="Times New Roman" w:hAnsi="Times New Roman" w:eastAsia="Times New Roman"/>
                                  <w:spacing w:val="10"/>
                                  <w:sz w:val="21"/>
                                </w:rPr>
                                <w:t xml:space="preserve"> </w:t>
                              </w:r>
                              <w:r>
                                <w:rPr>
                                  <w:rFonts w:ascii="宋体" w:hAnsi="宋体" w:eastAsia="宋体"/>
                                  <w:spacing w:val="-2"/>
                                  <w:sz w:val="21"/>
                                </w:rPr>
                                <w:t>万吨大口径玻璃钢管道生产线建设项目、哈密国际汽车装备城建设项目、哈密新联合生态投资公司肉苁蓉生物制药项目、甘肃北车集团煤机装备液压支架生产项目、中国平煤神马集</w:t>
                              </w:r>
                              <w:r>
                                <w:rPr>
                                  <w:rFonts w:ascii="宋体" w:eastAsia="宋体"/>
                                  <w:spacing w:val="-5"/>
                                  <w:sz w:val="21"/>
                                </w:rPr>
                                <w:t>团机电装备修造项目。</w:t>
                              </w:r>
                            </w:p>
                          </w:txbxContent>
                        </wps:txbx>
                        <wps:bodyPr lIns="0" tIns="0" rIns="0" bIns="0" upright="1"/>
                      </wps:wsp>
                    </wpg:wgp>
                  </a:graphicData>
                </a:graphic>
              </wp:anchor>
            </w:drawing>
          </mc:Choice>
          <mc:Fallback>
            <w:pict>
              <v:group id="docshapegroup23" o:spid="_x0000_s1026" o:spt="203" style="position:absolute;left:0pt;margin-left:21pt;margin-top:193.75pt;height:167pt;width:408.4pt;mso-wrap-distance-bottom:0pt;mso-wrap-distance-left:9.05pt;mso-wrap-distance-right:9.05pt;mso-wrap-distance-top:0pt;z-index:251660288;mso-width-relative:page;mso-height-relative:page;" coordorigin="420,30" coordsize="8168,3340" o:gfxdata="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Dqx41M2wAAAAoBAAAPAAAA&#10;AAAAAAEAIAAAACIAAABkcnMvZG93bnJldi54bWxQSwECFAAUAAAACACHTuJA+xQWu6EDAABfDgAA&#10;DgAAAAAAAAABACAAAAAqAQAAZHJzL2Uyb0RvYy54bWxQSwUGAAAAAAYABgBZAQAAPQcAAAAA&#10;">
                <o:lock v:ext="edit" aspectratio="f"/>
                <v:shape id="docshape24" o:spid="_x0000_s1026" o:spt="100" style="position:absolute;left:420;top:60;height:3310;width:8168;" fillcolor="#000000" filled="t" stroked="f" coordsize="8168,3310" o:gfxdata="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lUSm5AAAA2wAA&#10;AA8AAAAAAAAAAQAgAAAAIgAAAGRycy9kb3ducmV2LnhtbFBLAQIUABQAAAAIAIdO4kAzLwWeOwAA&#10;ADkAAAAQAAAAAAAAAAEAIAAAAAgBAABkcnMvc2hhcGV4bWwueG1sUEsFBgAAAAAGAAYAWwEAALID&#10;AAAAAA==&#10;" path="m8168,3310l0,3310,0,0,8168,0,8168,8,15,8,8,15,15,15,15,3295,8,3295,15,3303,8168,3303,8168,3310xm15,15l8,15,15,8,15,15xm8153,15l15,15,15,8,8153,8,8153,15xm8153,3303l8153,8,8161,15,8168,15,8168,3295,8161,3295,8153,3303xm8168,15l8161,15,8153,8,8168,8,8168,15xm15,3303l8,3295,15,3295,15,3303xm8153,3303l15,3303,15,3295,8153,3295,8153,3303xm8168,3303l8153,3303,8161,3295,8168,3295,8168,3303xe">
                  <v:fill on="t" focussize="0,0"/>
                  <v:stroke on="f"/>
                  <v:imagedata o:title=""/>
                  <o:lock v:ext="edit" aspectratio="f"/>
                </v:shape>
                <v:shape id="docshape25" o:spid="_x0000_s1026" o:spt="202" type="#_x0000_t202" style="position:absolute;left:420;top:30;height:3310;width:81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6B2A784">
                        <w:pPr>
                          <w:spacing w:before="5" w:line="240" w:lineRule="auto"/>
                          <w:jc w:val="center"/>
                          <w:rPr>
                            <w:rFonts w:hint="eastAsia" w:eastAsia="仿宋_GB2312"/>
                            <w:sz w:val="15"/>
                            <w:lang w:val="en-US" w:eastAsia="zh-CN"/>
                          </w:rPr>
                        </w:pPr>
                      </w:p>
                      <w:p w14:paraId="1C247EED">
                        <w:pPr>
                          <w:spacing w:before="0" w:beforeLines="50" w:afterLines="50"/>
                          <w:ind w:left="1922" w:right="1922"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z w:val="21"/>
                          </w:rPr>
                          <w:t>4-4</w:t>
                        </w:r>
                        <w:r>
                          <w:rPr>
                            <w:rFonts w:hint="eastAsia" w:ascii="黑体" w:eastAsia="黑体"/>
                            <w:b/>
                            <w:spacing w:val="-1"/>
                            <w:sz w:val="21"/>
                          </w:rPr>
                          <w:t xml:space="preserve"> 装备制造业和高新技术产业重大项目</w:t>
                        </w:r>
                      </w:p>
                      <w:p w14:paraId="45EDC8EB">
                        <w:pPr>
                          <w:spacing w:before="132" w:line="322" w:lineRule="auto"/>
                          <w:ind w:left="159" w:right="159" w:firstLine="420"/>
                          <w:jc w:val="both"/>
                          <w:rPr>
                            <w:rFonts w:ascii="宋体" w:eastAsia="宋体"/>
                            <w:sz w:val="21"/>
                          </w:rPr>
                        </w:pPr>
                        <w:r>
                          <w:rPr>
                            <w:rFonts w:ascii="宋体" w:hAnsi="宋体" w:eastAsia="宋体"/>
                            <w:spacing w:val="-2"/>
                            <w:sz w:val="21"/>
                          </w:rPr>
                          <w:t>哈密金风风电设备有限公司兆瓦级风力发电机组装项目、华锐风电科技（哈密）</w:t>
                        </w:r>
                        <w:r>
                          <w:rPr>
                            <w:rFonts w:ascii="宋体" w:hAnsi="宋体" w:eastAsia="宋体"/>
                            <w:spacing w:val="-3"/>
                            <w:sz w:val="21"/>
                          </w:rPr>
                          <w:t xml:space="preserve">有限公司风电装备组装项目、新疆海装风电设备有限公司 </w:t>
                        </w:r>
                        <w:r>
                          <w:rPr>
                            <w:rFonts w:ascii="Times New Roman" w:hAnsi="Times New Roman" w:eastAsia="Times New Roman"/>
                            <w:spacing w:val="-2"/>
                            <w:sz w:val="21"/>
                          </w:rPr>
                          <w:t>2.5-3</w:t>
                        </w:r>
                        <w:r>
                          <w:rPr>
                            <w:rFonts w:ascii="Times New Roman" w:hAnsi="Times New Roman" w:eastAsia="Times New Roman"/>
                            <w:spacing w:val="-11"/>
                            <w:sz w:val="21"/>
                          </w:rPr>
                          <w:t xml:space="preserve"> </w:t>
                        </w:r>
                        <w:r>
                          <w:rPr>
                            <w:rFonts w:ascii="宋体" w:hAnsi="宋体" w:eastAsia="宋体"/>
                            <w:spacing w:val="-2"/>
                            <w:sz w:val="21"/>
                          </w:rPr>
                          <w:t>兆瓦变速恒频风力发电机组装项目、新疆豫新风电设备有限公司风电塔筒制造项目、上海泰胜风能装备股</w:t>
                        </w:r>
                        <w:r>
                          <w:rPr>
                            <w:rFonts w:ascii="宋体" w:hAnsi="宋体" w:eastAsia="宋体"/>
                            <w:spacing w:val="-5"/>
                            <w:sz w:val="21"/>
                          </w:rPr>
                          <w:t xml:space="preserve">份有限公司 </w:t>
                        </w:r>
                        <w:r>
                          <w:rPr>
                            <w:rFonts w:ascii="Times New Roman" w:hAnsi="Times New Roman" w:eastAsia="Times New Roman"/>
                            <w:spacing w:val="-2"/>
                            <w:sz w:val="21"/>
                          </w:rPr>
                          <w:t>2.5</w:t>
                        </w:r>
                        <w:r>
                          <w:rPr>
                            <w:rFonts w:ascii="宋体" w:hAnsi="宋体" w:eastAsia="宋体"/>
                            <w:spacing w:val="-2"/>
                            <w:sz w:val="21"/>
                          </w:rPr>
                          <w:t>—</w:t>
                        </w:r>
                        <w:r>
                          <w:rPr>
                            <w:rFonts w:ascii="Times New Roman" w:hAnsi="Times New Roman" w:eastAsia="Times New Roman"/>
                            <w:spacing w:val="-2"/>
                            <w:sz w:val="21"/>
                          </w:rPr>
                          <w:t>5</w:t>
                        </w:r>
                        <w:r>
                          <w:rPr>
                            <w:rFonts w:ascii="Times New Roman" w:hAnsi="Times New Roman" w:eastAsia="Times New Roman"/>
                            <w:spacing w:val="-12"/>
                            <w:sz w:val="21"/>
                          </w:rPr>
                          <w:t xml:space="preserve"> </w:t>
                        </w:r>
                        <w:r>
                          <w:rPr>
                            <w:rFonts w:ascii="宋体" w:hAnsi="宋体" w:eastAsia="宋体"/>
                            <w:spacing w:val="-3"/>
                            <w:sz w:val="21"/>
                          </w:rPr>
                          <w:t xml:space="preserve">兆瓦风机塔架生产项目、新疆广水管道有限公司年产 </w:t>
                        </w:r>
                        <w:r>
                          <w:rPr>
                            <w:rFonts w:ascii="Times New Roman" w:hAnsi="Times New Roman" w:eastAsia="Times New Roman"/>
                            <w:spacing w:val="-2"/>
                            <w:sz w:val="21"/>
                          </w:rPr>
                          <w:t>3</w:t>
                        </w:r>
                        <w:r>
                          <w:rPr>
                            <w:rFonts w:ascii="Times New Roman" w:hAnsi="Times New Roman" w:eastAsia="Times New Roman"/>
                            <w:spacing w:val="10"/>
                            <w:sz w:val="21"/>
                          </w:rPr>
                          <w:t xml:space="preserve"> </w:t>
                        </w:r>
                        <w:r>
                          <w:rPr>
                            <w:rFonts w:ascii="宋体" w:hAnsi="宋体" w:eastAsia="宋体"/>
                            <w:spacing w:val="-2"/>
                            <w:sz w:val="21"/>
                          </w:rPr>
                          <w:t>万吨大口径玻璃钢管道生产线建设项目、哈密国际汽车装备城建设项目、哈密新联合生态投资公司肉苁蓉生物制药项目、甘肃北车集团煤机装备液压支架生产项目、中国平煤神马集</w:t>
                        </w:r>
                        <w:r>
                          <w:rPr>
                            <w:rFonts w:ascii="宋体" w:eastAsia="宋体"/>
                            <w:spacing w:val="-5"/>
                            <w:sz w:val="21"/>
                          </w:rPr>
                          <w:t>团机电装备修造项目。</w:t>
                        </w:r>
                      </w:p>
                    </w:txbxContent>
                  </v:textbox>
                </v:shape>
                <w10:wrap type="square"/>
              </v:group>
            </w:pict>
          </mc:Fallback>
        </mc:AlternateContent>
      </w:r>
      <w:r>
        <w:rPr>
          <w:spacing w:val="-2"/>
        </w:rPr>
        <w:t>围绕亿吨级煤炭生产基地、煤电煤化工基地、千万千瓦级风电基地、太阳能光伏并网发电基地建设，在风光电配套装备制造产业链、矿山、电力机械设备产业链发展上有新突破。抓住东部经济发达地区制造业向中西部转移的契机，重点优先发展煤机组装、风机制造、矿山机械制造和组装、高低压配电设备制造和组装、汽车组装等装备</w:t>
      </w:r>
      <w:r>
        <w:rPr>
          <w:spacing w:val="-22"/>
        </w:rPr>
        <w:t xml:space="preserve">制造业。“十二五”期间，在广东工业加工区引进 </w:t>
      </w:r>
      <w:r>
        <w:rPr>
          <w:spacing w:val="-6"/>
        </w:rPr>
        <w:t>2-3</w:t>
      </w:r>
      <w:r>
        <w:rPr>
          <w:spacing w:val="-11"/>
        </w:rPr>
        <w:t xml:space="preserve"> 家矿山机械制造</w:t>
      </w:r>
      <w:r>
        <w:rPr>
          <w:spacing w:val="-2"/>
        </w:rPr>
        <w:t>企业，规划建设先进的矿山机械制造基地；配合风电基地建设，重点加快风机设备制造项目的建成投产。</w:t>
      </w:r>
    </w:p>
    <w:p w14:paraId="1F07DC22">
      <w:pPr>
        <w:spacing w:after="0" w:line="362" w:lineRule="auto"/>
        <w:jc w:val="both"/>
        <w:sectPr>
          <w:pgSz w:w="11910" w:h="16840"/>
          <w:pgMar w:top="1420" w:right="1260" w:bottom="1180" w:left="1480" w:header="0" w:footer="993" w:gutter="0"/>
          <w:pgNumType w:fmt="decimal"/>
          <w:cols w:space="720" w:num="1"/>
        </w:sectPr>
      </w:pPr>
    </w:p>
    <w:p w14:paraId="321A79F5">
      <w:pPr>
        <w:pStyle w:val="5"/>
        <w:spacing w:line="363" w:lineRule="auto"/>
        <w:ind w:left="0" w:right="0" w:firstLine="552" w:firstLineChars="200"/>
        <w:jc w:val="both"/>
        <w:rPr>
          <w:spacing w:val="-2"/>
        </w:rPr>
      </w:pPr>
      <w:r>
        <w:rPr>
          <w:spacing w:val="-2"/>
        </w:rPr>
        <w:t>配合太阳能综合利用示范基地建设，积极引导企业落户，建设多</w:t>
      </w:r>
      <w:r>
        <w:rPr>
          <w:spacing w:val="-9"/>
        </w:rPr>
        <w:t xml:space="preserve">晶硅生产基地，到 </w:t>
      </w:r>
      <w:r>
        <w:t>2015</w:t>
      </w:r>
      <w:r>
        <w:rPr>
          <w:spacing w:val="-15"/>
        </w:rPr>
        <w:t xml:space="preserve"> 年，多晶硅生产能力 </w:t>
      </w:r>
      <w:r>
        <w:t>10000</w:t>
      </w:r>
      <w:r>
        <w:rPr>
          <w:spacing w:val="-10"/>
        </w:rPr>
        <w:t xml:space="preserve"> 吨。在加快生物、</w:t>
      </w:r>
      <w:r>
        <w:rPr>
          <w:spacing w:val="-6"/>
        </w:rPr>
        <w:t xml:space="preserve">医药产业链发展上有新的突破，争取 </w:t>
      </w:r>
      <w:r>
        <w:rPr>
          <w:spacing w:val="-4"/>
        </w:rPr>
        <w:t>1-2</w:t>
      </w:r>
      <w:r>
        <w:rPr>
          <w:spacing w:val="-9"/>
        </w:rPr>
        <w:t xml:space="preserve"> 家医药企业、生物工程加工</w:t>
      </w:r>
      <w:r>
        <w:rPr>
          <w:spacing w:val="-2"/>
        </w:rPr>
        <w:t>企业进驻园区。</w:t>
      </w:r>
    </w:p>
    <w:p w14:paraId="3E142DC0">
      <w:pPr>
        <w:pStyle w:val="5"/>
        <w:spacing w:line="363" w:lineRule="auto"/>
        <w:ind w:left="0" w:right="0" w:firstLine="552" w:firstLineChars="200"/>
        <w:jc w:val="both"/>
        <w:rPr>
          <w:spacing w:val="-2"/>
        </w:rPr>
      </w:pPr>
    </w:p>
    <w:p w14:paraId="46720BF0">
      <w:pPr>
        <w:spacing w:before="0"/>
        <w:ind w:left="0" w:right="0" w:firstLine="0"/>
        <w:jc w:val="center"/>
        <w:outlineLvl w:val="2"/>
        <w:rPr>
          <w:rFonts w:hint="eastAsia" w:ascii="楷体_GB2312" w:hAnsi="楷体_GB2312" w:eastAsia="楷体_GB2312" w:cs="楷体_GB2312"/>
          <w:b/>
          <w:i w:val="0"/>
          <w:iCs/>
          <w:sz w:val="28"/>
          <w:szCs w:val="28"/>
        </w:rPr>
      </w:pPr>
      <w:bookmarkStart w:id="77" w:name="第四节  加快发展特色农产品和食品加工业，建设新疆"/>
      <w:bookmarkEnd w:id="77"/>
      <w:bookmarkStart w:id="78" w:name="_bookmark16"/>
      <w:bookmarkEnd w:id="78"/>
      <w:bookmarkStart w:id="79" w:name="_Toc460825919"/>
      <w:bookmarkStart w:id="80" w:name="_Toc1022115681"/>
      <w:bookmarkStart w:id="81" w:name="_Toc17013"/>
      <w:bookmarkStart w:id="82" w:name="_Toc2027165322"/>
      <w:r>
        <w:rPr>
          <w:rFonts w:hint="eastAsia" w:ascii="楷体_GB2312" w:hAnsi="楷体_GB2312" w:eastAsia="楷体_GB2312" w:cs="楷体_GB2312"/>
          <w:b/>
          <w:bCs/>
          <w:i w:val="0"/>
          <w:iCs w:val="0"/>
          <w:sz w:val="28"/>
          <w:szCs w:val="28"/>
        </w:rPr>
        <w:t>第四</w:t>
      </w:r>
      <w:r>
        <w:rPr>
          <w:rFonts w:hint="eastAsia" w:ascii="楷体_GB2312" w:hAnsi="楷体_GB2312" w:eastAsia="楷体_GB2312" w:cs="楷体_GB2312"/>
          <w:b/>
          <w:bCs/>
          <w:i w:val="0"/>
          <w:iCs w:val="0"/>
          <w:spacing w:val="21"/>
          <w:sz w:val="28"/>
          <w:szCs w:val="28"/>
        </w:rPr>
        <w:t>节 加</w:t>
      </w:r>
      <w:r>
        <w:rPr>
          <w:rFonts w:hint="eastAsia" w:ascii="楷体_GB2312" w:hAnsi="楷体_GB2312" w:eastAsia="楷体_GB2312" w:cs="楷体_GB2312"/>
          <w:b/>
          <w:bCs/>
          <w:i w:val="0"/>
          <w:iCs w:val="0"/>
          <w:sz w:val="28"/>
          <w:szCs w:val="28"/>
        </w:rPr>
        <w:t>快发展特色农产品和食品加工业，建设新</w:t>
      </w:r>
      <w:r>
        <w:rPr>
          <w:rFonts w:hint="eastAsia" w:ascii="楷体_GB2312" w:hAnsi="楷体_GB2312" w:eastAsia="楷体_GB2312" w:cs="楷体_GB2312"/>
          <w:b/>
          <w:bCs/>
          <w:i w:val="0"/>
          <w:iCs w:val="0"/>
          <w:spacing w:val="-10"/>
          <w:sz w:val="28"/>
          <w:szCs w:val="28"/>
        </w:rPr>
        <w:t>疆</w:t>
      </w:r>
      <w:bookmarkEnd w:id="79"/>
      <w:bookmarkEnd w:id="80"/>
      <w:bookmarkEnd w:id="81"/>
      <w:bookmarkEnd w:id="82"/>
      <w:bookmarkStart w:id="83" w:name="_bookmark17"/>
      <w:bookmarkEnd w:id="83"/>
      <w:bookmarkStart w:id="84" w:name="绿色食品生产示范区"/>
      <w:bookmarkEnd w:id="84"/>
      <w:r>
        <w:rPr>
          <w:rFonts w:hint="eastAsia" w:ascii="楷体_GB2312" w:hAnsi="楷体_GB2312" w:eastAsia="楷体_GB2312" w:cs="楷体_GB2312"/>
          <w:b/>
          <w:i w:val="0"/>
          <w:iCs/>
          <w:spacing w:val="-4"/>
          <w:sz w:val="28"/>
          <w:szCs w:val="28"/>
        </w:rPr>
        <w:t>绿色食品生产示范</w:t>
      </w:r>
      <w:r>
        <w:rPr>
          <w:rFonts w:hint="eastAsia" w:ascii="楷体_GB2312" w:hAnsi="楷体_GB2312" w:eastAsia="楷体_GB2312" w:cs="楷体_GB2312"/>
          <w:b/>
          <w:i w:val="0"/>
          <w:iCs/>
          <w:spacing w:val="-10"/>
          <w:sz w:val="28"/>
          <w:szCs w:val="28"/>
        </w:rPr>
        <w:t>区</w:t>
      </w:r>
    </w:p>
    <w:p w14:paraId="01A02099">
      <w:pPr>
        <w:pStyle w:val="5"/>
        <w:spacing w:before="11"/>
        <w:ind w:left="0"/>
        <w:rPr>
          <w:rFonts w:ascii="楷体_GB2312"/>
          <w:b/>
          <w:i/>
          <w:sz w:val="23"/>
        </w:rPr>
      </w:pPr>
    </w:p>
    <w:p w14:paraId="4109C610">
      <w:pPr>
        <w:pStyle w:val="5"/>
        <w:spacing w:before="0" w:line="363" w:lineRule="auto"/>
        <w:ind w:left="0" w:firstLine="552" w:firstLineChars="200"/>
        <w:jc w:val="both"/>
      </w:pPr>
      <w:r>
        <w:rPr>
          <w:spacing w:val="-2"/>
        </w:rPr>
        <w:t>进一步扩大农牧产品加工业规模，加快产品结构调整，积极开发高附加值产品，实现特色农产品、食品加工产业链发展上的新突破，有效提升农牧产品市场竞争力。重点发展优质大枣、哈密瓜、葡萄及牛羊等农畜产品的精深加工。重点引进双汇食品、好想您枣业、湖南三三食品等企业，突出特色农产品深加工，加大产业品牌提升，打造</w:t>
      </w:r>
      <w:r>
        <w:rPr>
          <w:spacing w:val="-7"/>
        </w:rPr>
        <w:t xml:space="preserve">极具特色的哈密瓜、哈密大枣著名商标。到 </w:t>
      </w:r>
      <w:r>
        <w:rPr>
          <w:spacing w:val="-4"/>
        </w:rPr>
        <w:t>2015</w:t>
      </w:r>
      <w:r>
        <w:rPr>
          <w:spacing w:val="-11"/>
        </w:rPr>
        <w:t xml:space="preserve"> 年，大枣系列加工产</w:t>
      </w:r>
      <w:r>
        <w:rPr>
          <w:spacing w:val="-28"/>
        </w:rPr>
        <w:t xml:space="preserve">品 </w:t>
      </w:r>
      <w:r>
        <w:t>3</w:t>
      </w:r>
      <w:r>
        <w:rPr>
          <w:spacing w:val="-11"/>
        </w:rPr>
        <w:t xml:space="preserve"> 万吨，葡萄、哈密瓜等储存、加工 </w:t>
      </w:r>
      <w:r>
        <w:t>5</w:t>
      </w:r>
      <w:r>
        <w:rPr>
          <w:spacing w:val="-10"/>
        </w:rPr>
        <w:t xml:space="preserve"> 万吨，绿色</w:t>
      </w:r>
      <w:r>
        <w:t>（有机）</w:t>
      </w:r>
      <w:r>
        <w:rPr>
          <w:spacing w:val="-4"/>
        </w:rPr>
        <w:t>食品加</w:t>
      </w:r>
      <w:r>
        <w:rPr>
          <w:spacing w:val="-36"/>
        </w:rPr>
        <w:t xml:space="preserve">工 </w:t>
      </w:r>
      <w:r>
        <w:rPr>
          <w:spacing w:val="-2"/>
        </w:rPr>
        <w:t>0.7</w:t>
      </w:r>
      <w:r>
        <w:rPr>
          <w:spacing w:val="-22"/>
        </w:rPr>
        <w:t xml:space="preserve"> 万吨。</w:t>
      </w:r>
    </w:p>
    <w:p w14:paraId="64963DD1">
      <w:pPr>
        <w:pStyle w:val="5"/>
        <w:ind w:left="0"/>
        <w:rPr>
          <w:sz w:val="24"/>
        </w:rPr>
      </w:pPr>
    </w:p>
    <w:p w14:paraId="3B541CDD">
      <w:pPr>
        <w:spacing w:after="0"/>
        <w:rPr>
          <w:sz w:val="24"/>
        </w:rPr>
      </w:pPr>
      <w:r>
        <w:pict>
          <v:shape id="docshape26" o:spid="_x0000_s1045" o:spt="202" type="#_x0000_t202" style="position:absolute;left:0pt;margin-left:83.4pt;margin-top:1.2pt;height:107.7pt;width:426.1pt;mso-position-horizontal-relative:page;mso-wrap-distance-bottom:0pt;mso-wrap-distance-top:0pt;z-index:-251646976;mso-width-relative:page;mso-height-relative:page;" filled="f" stroked="t" coordsize="21600,21600">
            <v:path/>
            <v:fill on="f" focussize="0,0"/>
            <v:stroke weight="0.48pt" color="#000000" joinstyle="miter"/>
            <v:imagedata o:title=""/>
            <o:lock v:ext="edit" aspectratio="f"/>
            <v:textbox inset="0mm,0mm,0mm,0mm">
              <w:txbxContent>
                <w:p w14:paraId="4944B4FA">
                  <w:pPr>
                    <w:spacing w:before="149" w:afterLines="50"/>
                    <w:ind w:left="2795" w:right="2795" w:firstLine="0"/>
                    <w:jc w:val="left"/>
                    <w:rPr>
                      <w:rFonts w:hint="eastAsia" w:ascii="黑体" w:eastAsia="黑体"/>
                      <w:b/>
                      <w:sz w:val="21"/>
                    </w:rPr>
                  </w:pPr>
                  <w:r>
                    <w:rPr>
                      <w:rFonts w:hint="eastAsia" w:ascii="黑体" w:eastAsia="黑体"/>
                      <w:b/>
                      <w:spacing w:val="-18"/>
                      <w:sz w:val="21"/>
                    </w:rPr>
                    <w:t xml:space="preserve">专栏 </w:t>
                  </w:r>
                  <w:r>
                    <w:rPr>
                      <w:rFonts w:hint="eastAsia" w:ascii="黑体" w:eastAsia="黑体"/>
                      <w:b/>
                      <w:sz w:val="21"/>
                    </w:rPr>
                    <w:t>4-5</w:t>
                  </w:r>
                  <w:r>
                    <w:rPr>
                      <w:rFonts w:hint="eastAsia" w:ascii="黑体" w:eastAsia="黑体"/>
                      <w:b/>
                      <w:spacing w:val="47"/>
                      <w:sz w:val="21"/>
                    </w:rPr>
                    <w:t xml:space="preserve"> 农</w:t>
                  </w:r>
                  <w:r>
                    <w:rPr>
                      <w:rFonts w:hint="eastAsia" w:ascii="黑体" w:eastAsia="黑体"/>
                      <w:b/>
                      <w:sz w:val="21"/>
                    </w:rPr>
                    <w:t>副产品深加工项</w:t>
                  </w:r>
                  <w:r>
                    <w:rPr>
                      <w:rFonts w:hint="eastAsia" w:ascii="黑体" w:eastAsia="黑体"/>
                      <w:b/>
                      <w:spacing w:val="-10"/>
                      <w:sz w:val="21"/>
                    </w:rPr>
                    <w:t>目</w:t>
                  </w:r>
                </w:p>
                <w:p w14:paraId="7F530055">
                  <w:pPr>
                    <w:spacing w:before="31" w:line="298" w:lineRule="auto"/>
                    <w:ind w:left="102" w:right="102" w:firstLine="420"/>
                    <w:jc w:val="left"/>
                    <w:rPr>
                      <w:rFonts w:ascii="宋体" w:eastAsia="宋体"/>
                      <w:sz w:val="21"/>
                    </w:rPr>
                  </w:pPr>
                  <w:r>
                    <w:rPr>
                      <w:rFonts w:ascii="宋体" w:eastAsia="宋体"/>
                      <w:spacing w:val="-6"/>
                      <w:sz w:val="21"/>
                    </w:rPr>
                    <w:t>哈密瓜深加工生产果肉饮料及果酱建设项目、年产 10000 吨阿胶红枣、大枣素系列产品</w:t>
                  </w:r>
                  <w:r>
                    <w:rPr>
                      <w:rFonts w:ascii="宋体" w:eastAsia="宋体"/>
                      <w:spacing w:val="-7"/>
                      <w:sz w:val="21"/>
                    </w:rPr>
                    <w:t xml:space="preserve">深加工项目、年产 </w:t>
                  </w:r>
                  <w:r>
                    <w:rPr>
                      <w:rFonts w:ascii="宋体" w:eastAsia="宋体"/>
                      <w:spacing w:val="-6"/>
                      <w:sz w:val="21"/>
                    </w:rPr>
                    <w:t>2000</w:t>
                  </w:r>
                  <w:r>
                    <w:rPr>
                      <w:rFonts w:ascii="宋体" w:eastAsia="宋体"/>
                      <w:spacing w:val="-10"/>
                      <w:sz w:val="21"/>
                    </w:rPr>
                    <w:t xml:space="preserve"> 吨精干麻、</w:t>
                  </w:r>
                  <w:r>
                    <w:rPr>
                      <w:rFonts w:ascii="宋体" w:eastAsia="宋体"/>
                      <w:spacing w:val="-6"/>
                      <w:sz w:val="21"/>
                    </w:rPr>
                    <w:t>2000</w:t>
                  </w:r>
                  <w:r>
                    <w:rPr>
                      <w:rFonts w:ascii="宋体" w:eastAsia="宋体"/>
                      <w:spacing w:val="-10"/>
                      <w:sz w:val="21"/>
                    </w:rPr>
                    <w:t xml:space="preserve"> 吨罗布麻茶叶、</w:t>
                  </w:r>
                  <w:r>
                    <w:rPr>
                      <w:rFonts w:ascii="宋体" w:eastAsia="宋体"/>
                      <w:spacing w:val="-6"/>
                      <w:sz w:val="21"/>
                    </w:rPr>
                    <w:t>1000</w:t>
                  </w:r>
                  <w:r>
                    <w:rPr>
                      <w:rFonts w:ascii="宋体" w:eastAsia="宋体"/>
                      <w:spacing w:val="-10"/>
                      <w:sz w:val="21"/>
                    </w:rPr>
                    <w:t xml:space="preserve"> 吨罗布</w:t>
                  </w:r>
                  <w:r>
                    <w:rPr>
                      <w:rFonts w:ascii="宋体" w:eastAsia="宋体"/>
                      <w:spacing w:val="-6"/>
                      <w:sz w:val="21"/>
                    </w:rPr>
                    <w:t>麻条综合开发利用珍稀</w:t>
                  </w:r>
                  <w:r>
                    <w:rPr>
                      <w:rFonts w:ascii="宋体" w:eastAsia="宋体"/>
                      <w:spacing w:val="-2"/>
                      <w:sz w:val="21"/>
                    </w:rPr>
                    <w:t>野生植物罗布麻项目、哈密生猪</w:t>
                  </w:r>
                  <w:r>
                    <w:rPr>
                      <w:rFonts w:ascii="宋体" w:eastAsia="宋体"/>
                      <w:spacing w:val="-11"/>
                      <w:sz w:val="21"/>
                    </w:rPr>
                    <w:t xml:space="preserve">养殖及 </w:t>
                  </w:r>
                  <w:r>
                    <w:rPr>
                      <w:rFonts w:ascii="宋体" w:eastAsia="宋体"/>
                      <w:spacing w:val="-2"/>
                      <w:sz w:val="21"/>
                    </w:rPr>
                    <w:t>30000</w:t>
                  </w:r>
                  <w:r>
                    <w:rPr>
                      <w:rFonts w:ascii="宋体" w:eastAsia="宋体"/>
                      <w:spacing w:val="-14"/>
                      <w:sz w:val="21"/>
                    </w:rPr>
                    <w:t xml:space="preserve"> 吨/</w:t>
                  </w:r>
                  <w:r>
                    <w:rPr>
                      <w:rFonts w:ascii="宋体" w:eastAsia="宋体"/>
                      <w:spacing w:val="-2"/>
                      <w:sz w:val="21"/>
                    </w:rPr>
                    <w:t>年猪肉深加工项目、哈密金牛盖瑞乳</w:t>
                  </w:r>
                  <w:r>
                    <w:rPr>
                      <w:rFonts w:ascii="宋体" w:eastAsia="宋体"/>
                      <w:spacing w:val="-6"/>
                      <w:sz w:val="21"/>
                    </w:rPr>
                    <w:t>业有</w:t>
                  </w:r>
                </w:p>
                <w:p w14:paraId="6471FA84">
                  <w:pPr>
                    <w:spacing w:before="4" w:line="298" w:lineRule="auto"/>
                    <w:ind w:left="102" w:right="0" w:firstLine="0"/>
                    <w:jc w:val="left"/>
                    <w:rPr>
                      <w:rFonts w:ascii="宋体" w:eastAsia="宋体"/>
                      <w:sz w:val="21"/>
                    </w:rPr>
                  </w:pPr>
                  <w:r>
                    <w:rPr>
                      <w:rFonts w:ascii="宋体" w:eastAsia="宋体"/>
                      <w:spacing w:val="-9"/>
                      <w:sz w:val="21"/>
                    </w:rPr>
                    <w:t xml:space="preserve">限公司日处理 </w:t>
                  </w:r>
                  <w:r>
                    <w:rPr>
                      <w:rFonts w:ascii="宋体" w:eastAsia="宋体"/>
                      <w:spacing w:val="-2"/>
                      <w:sz w:val="21"/>
                    </w:rPr>
                    <w:t>300</w:t>
                  </w:r>
                  <w:r>
                    <w:rPr>
                      <w:rFonts w:ascii="宋体" w:eastAsia="宋体"/>
                      <w:spacing w:val="-25"/>
                      <w:sz w:val="21"/>
                    </w:rPr>
                    <w:t xml:space="preserve"> 吨</w:t>
                  </w:r>
                  <w:r>
                    <w:rPr>
                      <w:rFonts w:ascii="宋体" w:eastAsia="宋体"/>
                      <w:spacing w:val="-2"/>
                      <w:sz w:val="21"/>
                    </w:rPr>
                    <w:t>乳</w:t>
                  </w:r>
                  <w:r>
                    <w:rPr>
                      <w:rFonts w:ascii="宋体" w:eastAsia="宋体"/>
                      <w:spacing w:val="-5"/>
                      <w:sz w:val="21"/>
                    </w:rPr>
                    <w:t xml:space="preserve">制品及系列乳产品深加工项目、哈密 </w:t>
                  </w:r>
                  <w:r>
                    <w:rPr>
                      <w:rFonts w:ascii="宋体" w:eastAsia="宋体"/>
                      <w:spacing w:val="-2"/>
                      <w:sz w:val="21"/>
                    </w:rPr>
                    <w:t>6</w:t>
                  </w:r>
                  <w:r>
                    <w:rPr>
                      <w:rFonts w:ascii="宋体" w:eastAsia="宋体"/>
                      <w:spacing w:val="-10"/>
                      <w:sz w:val="21"/>
                    </w:rPr>
                    <w:t xml:space="preserve"> 万吨马铃薯淀粉深加工项目、</w:t>
                  </w:r>
                </w:p>
                <w:p w14:paraId="72B0D018">
                  <w:pPr>
                    <w:spacing w:before="31" w:line="298" w:lineRule="auto"/>
                    <w:ind w:left="102" w:right="0" w:firstLine="0"/>
                    <w:jc w:val="left"/>
                    <w:rPr>
                      <w:rFonts w:ascii="宋体" w:eastAsia="宋体"/>
                      <w:sz w:val="21"/>
                    </w:rPr>
                  </w:pPr>
                  <w:r>
                    <w:rPr>
                      <w:rFonts w:ascii="宋体" w:eastAsia="宋体"/>
                      <w:spacing w:val="-8"/>
                      <w:sz w:val="21"/>
                    </w:rPr>
                    <w:t xml:space="preserve">哈密长河集团肠衣 </w:t>
                  </w:r>
                  <w:r>
                    <w:rPr>
                      <w:rFonts w:ascii="宋体" w:eastAsia="宋体"/>
                      <w:spacing w:val="-2"/>
                      <w:sz w:val="21"/>
                    </w:rPr>
                    <w:t>6000</w:t>
                  </w:r>
                  <w:r>
                    <w:rPr>
                      <w:rFonts w:ascii="宋体" w:eastAsia="宋体"/>
                      <w:spacing w:val="-18"/>
                      <w:sz w:val="21"/>
                    </w:rPr>
                    <w:t xml:space="preserve"> 桶／</w:t>
                  </w:r>
                  <w:r>
                    <w:rPr>
                      <w:rFonts w:ascii="宋体" w:eastAsia="宋体"/>
                      <w:spacing w:val="-2"/>
                      <w:sz w:val="21"/>
                    </w:rPr>
                    <w:t>年</w:t>
                  </w:r>
                  <w:r>
                    <w:rPr>
                      <w:rFonts w:ascii="宋体" w:eastAsia="宋体"/>
                      <w:spacing w:val="-4"/>
                      <w:sz w:val="21"/>
                    </w:rPr>
                    <w:t>加工项目。</w:t>
                  </w:r>
                </w:p>
              </w:txbxContent>
            </v:textbox>
            <w10:wrap type="topAndBottom"/>
          </v:shape>
        </w:pict>
      </w:r>
    </w:p>
    <w:p w14:paraId="7E3A7C64">
      <w:pPr>
        <w:spacing w:after="0"/>
        <w:rPr>
          <w:rFonts w:ascii="仿宋_GB2312" w:hAnsi="仿宋_GB2312" w:eastAsia="仿宋_GB2312" w:cs="仿宋_GB2312"/>
          <w:sz w:val="22"/>
          <w:szCs w:val="22"/>
          <w:lang w:val="en-US" w:eastAsia="zh-CN" w:bidi="ar-SA"/>
        </w:rPr>
      </w:pPr>
    </w:p>
    <w:p w14:paraId="45503F55">
      <w:pPr>
        <w:pStyle w:val="3"/>
        <w:spacing w:before="35"/>
        <w:ind w:left="0" w:right="0"/>
        <w:rPr>
          <w:i w:val="0"/>
          <w:iCs w:val="0"/>
        </w:rPr>
      </w:pPr>
      <w:bookmarkStart w:id="85" w:name="_Toc2007448711"/>
      <w:bookmarkStart w:id="86" w:name="_Toc1050053467"/>
      <w:bookmarkStart w:id="87" w:name="_Toc32699"/>
      <w:r>
        <w:rPr>
          <w:i w:val="0"/>
          <w:iCs w:val="0"/>
        </w:rPr>
        <w:t>第</w:t>
      </w:r>
      <w:r>
        <w:rPr>
          <w:rFonts w:hint="eastAsia"/>
          <w:i w:val="0"/>
          <w:iCs w:val="0"/>
          <w:lang w:eastAsia="zh-CN"/>
        </w:rPr>
        <w:t>五</w:t>
      </w:r>
      <w:r>
        <w:rPr>
          <w:i w:val="0"/>
          <w:iCs w:val="0"/>
          <w:spacing w:val="17"/>
        </w:rPr>
        <w:t>节 努</w:t>
      </w:r>
      <w:r>
        <w:rPr>
          <w:i w:val="0"/>
          <w:iCs w:val="0"/>
        </w:rPr>
        <w:t>力发展石油、天然气工业，建设吐哈油田后备接替</w:t>
      </w:r>
      <w:r>
        <w:rPr>
          <w:i w:val="0"/>
          <w:iCs w:val="0"/>
          <w:spacing w:val="-10"/>
        </w:rPr>
        <w:t>区</w:t>
      </w:r>
      <w:bookmarkEnd w:id="85"/>
      <w:bookmarkEnd w:id="86"/>
      <w:bookmarkEnd w:id="87"/>
    </w:p>
    <w:p w14:paraId="35AD083E">
      <w:pPr>
        <w:pStyle w:val="5"/>
        <w:spacing w:before="5"/>
        <w:ind w:left="0"/>
        <w:rPr>
          <w:rFonts w:ascii="楷体_GB2312"/>
          <w:b/>
          <w:i/>
          <w:sz w:val="34"/>
        </w:rPr>
      </w:pPr>
    </w:p>
    <w:p w14:paraId="160CF443">
      <w:pPr>
        <w:tabs>
          <w:tab w:val="left" w:pos="412"/>
        </w:tabs>
        <w:autoSpaceDE/>
        <w:autoSpaceDN/>
        <w:spacing w:after="0" w:line="363" w:lineRule="auto"/>
        <w:ind w:firstLine="552" w:firstLineChars="200"/>
        <w:rPr>
          <w:rFonts w:hint="eastAsia"/>
          <w:spacing w:val="-2"/>
          <w:sz w:val="28"/>
          <w:szCs w:val="28"/>
          <w:lang w:val="en-US" w:eastAsia="zh-CN"/>
        </w:rPr>
        <w:sectPr>
          <w:pgSz w:w="11910" w:h="16840"/>
          <w:pgMar w:top="1480" w:right="1260" w:bottom="1180" w:left="1480" w:header="0" w:footer="993" w:gutter="0"/>
          <w:pgNumType w:fmt="decimal"/>
          <w:cols w:space="720" w:num="1"/>
        </w:sectPr>
      </w:pPr>
      <w:r>
        <w:rPr>
          <w:spacing w:val="-2"/>
          <w:w w:val="100"/>
          <w:sz w:val="28"/>
          <w:szCs w:val="28"/>
        </w:rPr>
        <w:t>积极争取国家政策支持，依托地区油气资源以及现有相关产业基础，支持上游勘探开发、介入中游原料供应、发展下游精细化工，实现油气化工产业链发展上的突破。联合或引进有实力的企业就地加工，将哈密石化资源最大限度的留在当地，最大限度发挥石化产业的效益带动作用，填补哈密石化工业的空白，培育地区新的经济增长点。根据吐哈油田公司油气发展规划，到</w:t>
      </w:r>
      <w:r>
        <w:rPr>
          <w:spacing w:val="-2"/>
          <w:sz w:val="28"/>
          <w:szCs w:val="28"/>
        </w:rPr>
        <w:t xml:space="preserve"> </w:t>
      </w:r>
      <w:r>
        <w:rPr>
          <w:spacing w:val="-2"/>
          <w:w w:val="100"/>
          <w:sz w:val="28"/>
          <w:szCs w:val="28"/>
        </w:rPr>
        <w:t>2015</w:t>
      </w:r>
      <w:r>
        <w:rPr>
          <w:spacing w:val="-2"/>
          <w:sz w:val="28"/>
          <w:szCs w:val="28"/>
        </w:rPr>
        <w:t xml:space="preserve"> </w:t>
      </w:r>
      <w:r>
        <w:rPr>
          <w:spacing w:val="-2"/>
          <w:w w:val="100"/>
          <w:sz w:val="28"/>
          <w:szCs w:val="28"/>
        </w:rPr>
        <w:t>年，三塘湖区域年生产原油</w:t>
      </w:r>
      <w:r>
        <w:rPr>
          <w:spacing w:val="-2"/>
          <w:sz w:val="28"/>
          <w:szCs w:val="28"/>
        </w:rPr>
        <w:t xml:space="preserve"> </w:t>
      </w:r>
      <w:r>
        <w:rPr>
          <w:spacing w:val="-2"/>
          <w:w w:val="100"/>
          <w:sz w:val="28"/>
          <w:szCs w:val="28"/>
        </w:rPr>
        <w:t>50</w:t>
      </w:r>
      <w:r>
        <w:rPr>
          <w:spacing w:val="-2"/>
          <w:sz w:val="28"/>
          <w:szCs w:val="28"/>
        </w:rPr>
        <w:t xml:space="preserve"> </w:t>
      </w:r>
      <w:r>
        <w:rPr>
          <w:spacing w:val="-2"/>
          <w:w w:val="100"/>
          <w:sz w:val="28"/>
          <w:szCs w:val="28"/>
        </w:rPr>
        <w:t>万吨。地区在“十二五</w:t>
      </w:r>
      <w:r>
        <w:rPr>
          <w:rFonts w:hint="eastAsia"/>
          <w:spacing w:val="-2"/>
          <w:w w:val="100"/>
          <w:sz w:val="28"/>
          <w:szCs w:val="28"/>
          <w:lang w:eastAsia="zh-CN"/>
        </w:rPr>
        <w:t>”</w:t>
      </w:r>
    </w:p>
    <w:p w14:paraId="2E678828">
      <w:pPr>
        <w:pStyle w:val="5"/>
        <w:spacing w:line="363" w:lineRule="auto"/>
        <w:ind w:left="0" w:right="0" w:firstLine="0" w:firstLineChars="0"/>
        <w:jc w:val="left"/>
      </w:pPr>
      <w:bookmarkStart w:id="88" w:name="_bookmark18"/>
      <w:bookmarkEnd w:id="88"/>
      <w:bookmarkStart w:id="89" w:name="第五节  努力发展石油、天然气工业，建设吐哈油田后备接替区"/>
      <w:bookmarkEnd w:id="89"/>
      <w:r>
        <w:rPr>
          <w:spacing w:val="1"/>
          <w:w w:val="100"/>
        </w:rPr>
        <w:t>期间，继续配合吐哈盆地石油开发发展步伐，支持</w:t>
      </w:r>
      <w:r>
        <w:rPr>
          <w:spacing w:val="-5"/>
          <w:w w:val="100"/>
        </w:rPr>
        <w:t>三塘湖-淖毛湖盆地石油和天然气的勘探与开发。重点建设红台区域和</w:t>
      </w:r>
      <w:r>
        <w:rPr>
          <w:spacing w:val="-6"/>
          <w:w w:val="100"/>
        </w:rPr>
        <w:t>巴里坤三塘湖盆地等大中型气田，加快对三塘湖-淖毛湖盆地的勘探和</w:t>
      </w:r>
      <w:r>
        <w:rPr>
          <w:spacing w:val="1"/>
          <w:w w:val="100"/>
        </w:rPr>
        <w:t>开采步伐，推进页岩油等非常规油气资源的开发利用。积极推进气化</w:t>
      </w:r>
      <w:r>
        <w:rPr>
          <w:spacing w:val="-3"/>
          <w:w w:val="100"/>
        </w:rPr>
        <w:t>哈密工程建设，努力提高城乡居民天然气普及率。</w:t>
      </w:r>
    </w:p>
    <w:p w14:paraId="47B4916E">
      <w:pPr>
        <w:pStyle w:val="3"/>
        <w:spacing w:before="118"/>
        <w:ind w:left="0" w:right="0"/>
        <w:rPr>
          <w:i w:val="0"/>
          <w:iCs w:val="0"/>
        </w:rPr>
      </w:pPr>
      <w:bookmarkStart w:id="90" w:name="_bookmark19"/>
      <w:bookmarkEnd w:id="90"/>
      <w:bookmarkStart w:id="91" w:name="第六节  提升发展建材工业，满足地区建设需求"/>
      <w:bookmarkEnd w:id="91"/>
      <w:bookmarkStart w:id="92" w:name="_Toc123"/>
      <w:bookmarkStart w:id="93" w:name="_Toc1163304941"/>
      <w:bookmarkStart w:id="94" w:name="_Toc778126"/>
      <w:bookmarkStart w:id="95" w:name="_Toc1278142766"/>
      <w:r>
        <w:rPr>
          <w:i w:val="0"/>
          <w:iCs w:val="0"/>
        </w:rPr>
        <w:t>第六</w:t>
      </w:r>
      <w:r>
        <w:rPr>
          <w:i w:val="0"/>
          <w:iCs w:val="0"/>
          <w:spacing w:val="24"/>
        </w:rPr>
        <w:t>节 提</w:t>
      </w:r>
      <w:r>
        <w:rPr>
          <w:i w:val="0"/>
          <w:iCs w:val="0"/>
        </w:rPr>
        <w:t>升发展建材工业，满足地区建设需</w:t>
      </w:r>
      <w:r>
        <w:rPr>
          <w:i w:val="0"/>
          <w:iCs w:val="0"/>
          <w:spacing w:val="-10"/>
        </w:rPr>
        <w:t>求</w:t>
      </w:r>
      <w:bookmarkEnd w:id="92"/>
      <w:bookmarkEnd w:id="93"/>
      <w:bookmarkEnd w:id="94"/>
      <w:bookmarkEnd w:id="95"/>
    </w:p>
    <w:p w14:paraId="424FC2F9">
      <w:pPr>
        <w:pStyle w:val="5"/>
        <w:spacing w:before="5"/>
        <w:ind w:left="0"/>
        <w:rPr>
          <w:rFonts w:ascii="楷体_GB2312"/>
          <w:b/>
          <w:i/>
          <w:sz w:val="34"/>
        </w:rPr>
      </w:pPr>
    </w:p>
    <w:p w14:paraId="55E08FF0">
      <w:pPr>
        <w:pStyle w:val="5"/>
        <w:spacing w:line="363" w:lineRule="auto"/>
        <w:ind w:left="0" w:right="0" w:firstLine="540" w:firstLineChars="200"/>
        <w:jc w:val="both"/>
        <w:rPr>
          <w:spacing w:val="-5"/>
        </w:rPr>
      </w:pPr>
      <w:r>
        <w:rPr>
          <w:spacing w:val="-5"/>
        </w:rPr>
        <w:t>引进国内外先进技术，加快哈密非金属矿产资源的转换力度，促进地区新型墙体材料、异型石材、工艺陶瓷、工艺玻璃的发展，实现建筑材料开发产业链发上的突破。</w:t>
      </w:r>
    </w:p>
    <w:p w14:paraId="7B926CF6">
      <w:pPr>
        <w:spacing w:line="363" w:lineRule="auto"/>
        <w:ind w:firstLine="546" w:firstLineChars="200"/>
        <w:outlineLvl w:val="9"/>
        <w:rPr>
          <w:rFonts w:hint="eastAsia" w:ascii="仿宋_GB2312" w:eastAsia="仿宋_GB2312"/>
          <w:b/>
          <w:bCs/>
          <w:i w:val="0"/>
          <w:iCs w:val="0"/>
          <w:sz w:val="28"/>
          <w:szCs w:val="28"/>
        </w:rPr>
      </w:pPr>
      <w:r>
        <w:rPr>
          <w:rFonts w:hint="eastAsia" w:ascii="仿宋_GB2312" w:eastAsia="仿宋_GB2312"/>
          <w:b/>
          <w:bCs/>
          <w:i w:val="0"/>
          <w:iCs w:val="0"/>
          <w:spacing w:val="-4"/>
          <w:sz w:val="28"/>
          <w:szCs w:val="28"/>
        </w:rPr>
        <w:t>一、新型墙体材</w:t>
      </w:r>
      <w:r>
        <w:rPr>
          <w:rFonts w:hint="eastAsia" w:ascii="仿宋_GB2312" w:eastAsia="仿宋_GB2312"/>
          <w:b/>
          <w:bCs/>
          <w:i w:val="0"/>
          <w:iCs w:val="0"/>
          <w:spacing w:val="-10"/>
          <w:sz w:val="28"/>
          <w:szCs w:val="28"/>
        </w:rPr>
        <w:t>料</w:t>
      </w:r>
    </w:p>
    <w:p w14:paraId="5333612A">
      <w:pPr>
        <w:pStyle w:val="5"/>
        <w:spacing w:before="0" w:line="363" w:lineRule="auto"/>
        <w:ind w:left="0" w:right="0" w:firstLine="540" w:firstLineChars="200"/>
        <w:jc w:val="both"/>
      </w:pPr>
      <w:r>
        <w:rPr>
          <w:spacing w:val="-5"/>
        </w:rPr>
        <w:t>以发展新型建材为方向，替代传统建材产品，以节能、节土、利废、环保、改善建筑装饰功能为</w:t>
      </w:r>
      <w:r>
        <w:rPr>
          <w:rFonts w:hint="default"/>
          <w:spacing w:val="-5"/>
          <w:lang w:eastAsia="zh-CN"/>
        </w:rPr>
        <w:t>中</w:t>
      </w:r>
      <w:r>
        <w:rPr>
          <w:spacing w:val="-5"/>
        </w:rPr>
        <w:t>心，以墙体材料革新为突破口，大力发展应用新型墙体材料。鼓励各传统建材向下游产品延伸和发展，延长和完善产业链，从资源型向加工型转变。加大研发力度，不断完善新型墙体材料应用技术，加快新型墙体材料的推广应用。到</w:t>
      </w:r>
      <w:r>
        <w:rPr>
          <w:spacing w:val="-5"/>
          <w:w w:val="100"/>
        </w:rPr>
        <w:t xml:space="preserve"> </w:t>
      </w:r>
      <w:r>
        <w:rPr>
          <w:spacing w:val="-5"/>
        </w:rPr>
        <w:t>2015年，新型墙体材料产能规模达到 30 亿块（折标砖），加快推进粉煤灰、炉渣、脱硫石膏、煤矸石等资源的综合利用，实施煤炭-煤电-水泥、</w:t>
      </w:r>
      <w:r>
        <w:rPr>
          <w:spacing w:val="-14"/>
        </w:rPr>
        <w:t xml:space="preserve">墙体等循环经济项目。到 </w:t>
      </w:r>
      <w:r>
        <w:t>2015</w:t>
      </w:r>
      <w:r>
        <w:rPr>
          <w:spacing w:val="-17"/>
        </w:rPr>
        <w:t xml:space="preserve"> 年综合利用量达到 </w:t>
      </w:r>
      <w:r>
        <w:t>200</w:t>
      </w:r>
      <w:r>
        <w:rPr>
          <w:spacing w:val="-20"/>
        </w:rPr>
        <w:t xml:space="preserve"> 万吨，新型墙体</w:t>
      </w:r>
      <w:r>
        <w:rPr>
          <w:spacing w:val="-4"/>
        </w:rPr>
        <w:t xml:space="preserve">材料在建筑使用中的比例达到 </w:t>
      </w:r>
      <w:r>
        <w:t>90%以上。</w:t>
      </w:r>
    </w:p>
    <w:p w14:paraId="20795B97">
      <w:pPr>
        <w:spacing w:line="363" w:lineRule="auto"/>
        <w:ind w:firstLine="546" w:firstLineChars="200"/>
        <w:outlineLvl w:val="9"/>
        <w:rPr>
          <w:rFonts w:hint="eastAsia" w:ascii="仿宋_GB2312" w:hAnsi="仿宋_GB2312" w:eastAsia="仿宋_GB2312" w:cs="仿宋_GB2312"/>
          <w:b/>
          <w:bCs/>
          <w:i w:val="0"/>
          <w:iCs w:val="0"/>
          <w:spacing w:val="-4"/>
          <w:sz w:val="28"/>
          <w:szCs w:val="28"/>
        </w:rPr>
      </w:pPr>
      <w:r>
        <w:rPr>
          <w:rFonts w:hint="eastAsia" w:ascii="仿宋_GB2312" w:hAnsi="仿宋_GB2312" w:eastAsia="仿宋_GB2312" w:cs="仿宋_GB2312"/>
          <w:b/>
          <w:bCs/>
          <w:i w:val="0"/>
          <w:iCs w:val="0"/>
          <w:spacing w:val="-4"/>
          <w:sz w:val="28"/>
          <w:szCs w:val="28"/>
        </w:rPr>
        <w:t>二、石材</w:t>
      </w:r>
    </w:p>
    <w:p w14:paraId="3D7B7770">
      <w:pPr>
        <w:pStyle w:val="5"/>
        <w:spacing w:before="0" w:line="363" w:lineRule="auto"/>
        <w:ind w:left="0" w:right="0" w:firstLine="552" w:firstLineChars="200"/>
        <w:jc w:val="both"/>
      </w:pPr>
      <w:r>
        <w:rPr>
          <w:spacing w:val="-2"/>
        </w:rPr>
        <w:t>充分利用地区石材资源优势，以星星峡、阿拉塔格、彩霞山一带</w:t>
      </w:r>
      <w:r>
        <w:rPr>
          <w:spacing w:val="-12"/>
        </w:rPr>
        <w:t>石材资源勘探开发为重点，发展不同品种、不同规格的板材和异型材，</w:t>
      </w:r>
      <w:r>
        <w:rPr>
          <w:spacing w:val="-2"/>
        </w:rPr>
        <w:t>扩大石材加工规模，实现石材产业向多层次、多品种方向发展，通过创新、整合等方式，努力把哈密地区建设成面向中西亚的新疆东部石材中心。按照就近加工的原则，引导新建或已有企业分别向骆驼圈子和重工业加工区搬迁；加快淘汰落后生产企业，提高石材产能和</w:t>
      </w:r>
      <w:r>
        <w:rPr>
          <w:spacing w:val="-7"/>
        </w:rPr>
        <w:t xml:space="preserve">成矿率。到 </w:t>
      </w:r>
      <w:r>
        <w:t>2015</w:t>
      </w:r>
      <w:r>
        <w:rPr>
          <w:spacing w:val="-9"/>
        </w:rPr>
        <w:t xml:space="preserve"> 年，板材生产规模达到 </w:t>
      </w:r>
      <w:r>
        <w:t>200</w:t>
      </w:r>
      <w:r>
        <w:rPr>
          <w:spacing w:val="-6"/>
        </w:rPr>
        <w:t xml:space="preserve"> 万平方米以上。</w:t>
      </w:r>
    </w:p>
    <w:p w14:paraId="68A661F6">
      <w:pPr>
        <w:spacing w:line="363" w:lineRule="auto"/>
        <w:ind w:firstLine="546" w:firstLineChars="200"/>
        <w:outlineLvl w:val="9"/>
        <w:rPr>
          <w:rFonts w:hint="eastAsia" w:ascii="仿宋_GB2312" w:eastAsia="仿宋_GB2312"/>
          <w:b/>
          <w:bCs/>
          <w:i w:val="0"/>
          <w:iCs w:val="0"/>
          <w:spacing w:val="-4"/>
          <w:sz w:val="28"/>
          <w:szCs w:val="28"/>
        </w:rPr>
      </w:pPr>
      <w:r>
        <w:rPr>
          <w:rFonts w:hint="eastAsia" w:ascii="仿宋_GB2312" w:eastAsia="仿宋_GB2312"/>
          <w:b/>
          <w:bCs/>
          <w:i w:val="0"/>
          <w:iCs w:val="0"/>
          <w:spacing w:val="-4"/>
          <w:sz w:val="28"/>
          <w:szCs w:val="28"/>
        </w:rPr>
        <w:t>三、玻璃</w:t>
      </w:r>
    </w:p>
    <w:p w14:paraId="737A7B25">
      <w:pPr>
        <w:pStyle w:val="5"/>
        <w:spacing w:before="0" w:line="363" w:lineRule="auto"/>
        <w:ind w:left="0" w:right="0" w:firstLine="552" w:firstLineChars="200"/>
        <w:jc w:val="both"/>
        <w:rPr>
          <w:spacing w:val="-2"/>
        </w:rPr>
      </w:pPr>
      <w:r>
        <w:rPr>
          <w:spacing w:val="-2"/>
        </w:rPr>
        <w:t>鼓励企业开展技术创新，加快产品结构的调整，不断提升产品的科技含量，提高产品附加值和企业市场竞争力，保障和满足建筑业和房地产业发展需求，积极开拓国际市场。鼓励发展优质平板玻璃、高档专用玻璃和玻璃制品项目，扩大浮法平板玻璃生产规模，加快超白浮法玻璃的前期工作，重点发展钢化玻璃、中空玻璃、夹胶玻璃等特种玻璃。到 2015 年，浮法玻璃产能规模达 600 万重箱。</w:t>
      </w:r>
    </w:p>
    <w:p w14:paraId="099C8DC3">
      <w:pPr>
        <w:spacing w:line="363" w:lineRule="auto"/>
        <w:ind w:firstLine="546" w:firstLineChars="200"/>
        <w:outlineLvl w:val="9"/>
        <w:rPr>
          <w:rFonts w:hint="eastAsia" w:ascii="仿宋_GB2312" w:eastAsia="仿宋_GB2312"/>
          <w:b/>
          <w:bCs/>
          <w:i w:val="0"/>
          <w:iCs w:val="0"/>
          <w:spacing w:val="-4"/>
          <w:sz w:val="28"/>
          <w:szCs w:val="28"/>
        </w:rPr>
      </w:pPr>
      <w:r>
        <w:rPr>
          <w:rFonts w:hint="eastAsia" w:ascii="仿宋_GB2312" w:eastAsia="仿宋_GB2312"/>
          <w:b/>
          <w:bCs/>
          <w:i w:val="0"/>
          <w:iCs w:val="0"/>
          <w:spacing w:val="-4"/>
          <w:sz w:val="28"/>
          <w:szCs w:val="28"/>
        </w:rPr>
        <w:t>四、水泥</w:t>
      </w:r>
    </w:p>
    <w:p w14:paraId="32382727">
      <w:pPr>
        <w:pStyle w:val="5"/>
        <w:spacing w:before="0" w:line="363" w:lineRule="auto"/>
        <w:ind w:left="0" w:right="0" w:firstLine="552" w:firstLineChars="200"/>
        <w:jc w:val="both"/>
      </w:pPr>
      <w:r>
        <w:rPr>
          <w:spacing w:val="-2"/>
        </w:rPr>
        <w:t>遵循“控制总量、调整结构、提高质量、保护环境”的原则，大力发展新型干法水泥，提升水泥档次和规模。鼓励企业对废渣等废弃物在水泥生产方面的合理利用与开发，围绕水泥生产大力发展循环经济。到 2015 年产能控制在 600 万吨以内，满足地区基本建设的需要。</w:t>
      </w:r>
    </w:p>
    <w:p w14:paraId="6E2B4B36">
      <w:pPr>
        <w:spacing w:after="0" w:line="362" w:lineRule="auto"/>
        <w:jc w:val="both"/>
        <w:rPr>
          <w:sz w:val="20"/>
        </w:rPr>
      </w:pPr>
      <w:r>
        <w:rPr>
          <w:rFonts w:hint="eastAsia"/>
          <w:lang w:val="en-US" w:eastAsia="zh-CN"/>
        </w:rPr>
        <w:t xml:space="preserve">     </w:t>
      </w:r>
      <w:r>
        <w:rPr>
          <w:sz w:val="20"/>
        </w:rPr>
        <mc:AlternateContent>
          <mc:Choice Requires="wpg">
            <w:drawing>
              <wp:inline distT="0" distB="0" distL="114300" distR="114300">
                <wp:extent cx="5276850" cy="1852295"/>
                <wp:effectExtent l="0" t="0" r="0" b="14605"/>
                <wp:docPr id="17" name="docshapegroup27"/>
                <wp:cNvGraphicFramePr/>
                <a:graphic xmlns:a="http://schemas.openxmlformats.org/drawingml/2006/main">
                  <a:graphicData uri="http://schemas.microsoft.com/office/word/2010/wordprocessingGroup">
                    <wpg:wgp>
                      <wpg:cNvGrpSpPr/>
                      <wpg:grpSpPr>
                        <a:xfrm>
                          <a:off x="0" y="0"/>
                          <a:ext cx="5276850" cy="1852295"/>
                          <a:chOff x="480" y="0"/>
                          <a:chExt cx="8310" cy="2917"/>
                        </a:xfrm>
                      </wpg:grpSpPr>
                      <wps:wsp>
                        <wps:cNvPr id="14" name="docshape28"/>
                        <wps:cNvSpPr/>
                        <wps:spPr>
                          <a:xfrm>
                            <a:off x="495" y="45"/>
                            <a:ext cx="8295" cy="2872"/>
                          </a:xfrm>
                          <a:custGeom>
                            <a:avLst/>
                            <a:gdLst/>
                            <a:ahLst/>
                            <a:cxnLst/>
                            <a:pathLst>
                              <a:path w="8295" h="2872">
                                <a:moveTo>
                                  <a:pt x="8295" y="2872"/>
                                </a:moveTo>
                                <a:lnTo>
                                  <a:pt x="0" y="2872"/>
                                </a:lnTo>
                                <a:lnTo>
                                  <a:pt x="0" y="0"/>
                                </a:lnTo>
                                <a:lnTo>
                                  <a:pt x="8295" y="0"/>
                                </a:lnTo>
                                <a:lnTo>
                                  <a:pt x="8295" y="8"/>
                                </a:lnTo>
                                <a:lnTo>
                                  <a:pt x="15" y="8"/>
                                </a:lnTo>
                                <a:lnTo>
                                  <a:pt x="8" y="15"/>
                                </a:lnTo>
                                <a:lnTo>
                                  <a:pt x="15" y="15"/>
                                </a:lnTo>
                                <a:lnTo>
                                  <a:pt x="15" y="2857"/>
                                </a:lnTo>
                                <a:lnTo>
                                  <a:pt x="8" y="2857"/>
                                </a:lnTo>
                                <a:lnTo>
                                  <a:pt x="15" y="2865"/>
                                </a:lnTo>
                                <a:lnTo>
                                  <a:pt x="8295" y="2865"/>
                                </a:lnTo>
                                <a:lnTo>
                                  <a:pt x="8295" y="2872"/>
                                </a:lnTo>
                                <a:close/>
                                <a:moveTo>
                                  <a:pt x="15" y="15"/>
                                </a:moveTo>
                                <a:lnTo>
                                  <a:pt x="8" y="15"/>
                                </a:lnTo>
                                <a:lnTo>
                                  <a:pt x="15" y="8"/>
                                </a:lnTo>
                                <a:lnTo>
                                  <a:pt x="15" y="15"/>
                                </a:lnTo>
                                <a:close/>
                                <a:moveTo>
                                  <a:pt x="8280" y="15"/>
                                </a:moveTo>
                                <a:lnTo>
                                  <a:pt x="15" y="15"/>
                                </a:lnTo>
                                <a:lnTo>
                                  <a:pt x="15" y="8"/>
                                </a:lnTo>
                                <a:lnTo>
                                  <a:pt x="8280" y="8"/>
                                </a:lnTo>
                                <a:lnTo>
                                  <a:pt x="8280" y="15"/>
                                </a:lnTo>
                                <a:close/>
                                <a:moveTo>
                                  <a:pt x="8280" y="2865"/>
                                </a:moveTo>
                                <a:lnTo>
                                  <a:pt x="8280" y="8"/>
                                </a:lnTo>
                                <a:lnTo>
                                  <a:pt x="8288" y="15"/>
                                </a:lnTo>
                                <a:lnTo>
                                  <a:pt x="8295" y="15"/>
                                </a:lnTo>
                                <a:lnTo>
                                  <a:pt x="8295" y="2857"/>
                                </a:lnTo>
                                <a:lnTo>
                                  <a:pt x="8288" y="2857"/>
                                </a:lnTo>
                                <a:lnTo>
                                  <a:pt x="8280" y="2865"/>
                                </a:lnTo>
                                <a:close/>
                                <a:moveTo>
                                  <a:pt x="8295" y="15"/>
                                </a:moveTo>
                                <a:lnTo>
                                  <a:pt x="8288" y="15"/>
                                </a:lnTo>
                                <a:lnTo>
                                  <a:pt x="8280" y="8"/>
                                </a:lnTo>
                                <a:lnTo>
                                  <a:pt x="8295" y="8"/>
                                </a:lnTo>
                                <a:lnTo>
                                  <a:pt x="8295" y="15"/>
                                </a:lnTo>
                                <a:close/>
                                <a:moveTo>
                                  <a:pt x="15" y="2865"/>
                                </a:moveTo>
                                <a:lnTo>
                                  <a:pt x="8" y="2857"/>
                                </a:lnTo>
                                <a:lnTo>
                                  <a:pt x="15" y="2857"/>
                                </a:lnTo>
                                <a:lnTo>
                                  <a:pt x="15" y="2865"/>
                                </a:lnTo>
                                <a:close/>
                                <a:moveTo>
                                  <a:pt x="8280" y="2865"/>
                                </a:moveTo>
                                <a:lnTo>
                                  <a:pt x="15" y="2865"/>
                                </a:lnTo>
                                <a:lnTo>
                                  <a:pt x="15" y="2857"/>
                                </a:lnTo>
                                <a:lnTo>
                                  <a:pt x="8280" y="2857"/>
                                </a:lnTo>
                                <a:lnTo>
                                  <a:pt x="8280" y="2865"/>
                                </a:lnTo>
                                <a:close/>
                                <a:moveTo>
                                  <a:pt x="8295" y="2865"/>
                                </a:moveTo>
                                <a:lnTo>
                                  <a:pt x="8280" y="2865"/>
                                </a:lnTo>
                                <a:lnTo>
                                  <a:pt x="8288" y="2857"/>
                                </a:lnTo>
                                <a:lnTo>
                                  <a:pt x="8295" y="2857"/>
                                </a:lnTo>
                                <a:lnTo>
                                  <a:pt x="8295" y="2865"/>
                                </a:lnTo>
                                <a:close/>
                              </a:path>
                            </a:pathLst>
                          </a:custGeom>
                          <a:solidFill>
                            <a:srgbClr val="000000"/>
                          </a:solidFill>
                          <a:ln>
                            <a:noFill/>
                          </a:ln>
                        </wps:spPr>
                        <wps:bodyPr upright="1"/>
                      </wps:wsp>
                      <wps:wsp>
                        <wps:cNvPr id="15" name="docshape29"/>
                        <wps:cNvSpPr txBox="1"/>
                        <wps:spPr>
                          <a:xfrm>
                            <a:off x="480" y="0"/>
                            <a:ext cx="8295" cy="2872"/>
                          </a:xfrm>
                          <a:prstGeom prst="rect">
                            <a:avLst/>
                          </a:prstGeom>
                          <a:noFill/>
                          <a:ln>
                            <a:noFill/>
                          </a:ln>
                        </wps:spPr>
                        <wps:txbx>
                          <w:txbxContent>
                            <w:p w14:paraId="67EE07E1">
                              <w:pPr>
                                <w:spacing w:before="6" w:line="240" w:lineRule="auto"/>
                                <w:jc w:val="center"/>
                                <w:rPr>
                                  <w:sz w:val="14"/>
                                </w:rPr>
                              </w:pPr>
                            </w:p>
                            <w:p w14:paraId="602DF763">
                              <w:pPr>
                                <w:spacing w:before="0"/>
                                <w:ind w:left="2799" w:right="2800"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z w:val="21"/>
                                </w:rPr>
                                <w:t>4-6</w:t>
                              </w:r>
                              <w:r>
                                <w:rPr>
                                  <w:rFonts w:hint="eastAsia" w:ascii="黑体" w:eastAsia="黑体"/>
                                  <w:b/>
                                  <w:spacing w:val="5"/>
                                  <w:sz w:val="21"/>
                                </w:rPr>
                                <w:t xml:space="preserve"> 建材行业重大项目</w:t>
                              </w:r>
                            </w:p>
                            <w:p w14:paraId="3F360F8E">
                              <w:pPr>
                                <w:spacing w:before="7" w:line="240" w:lineRule="auto"/>
                                <w:rPr>
                                  <w:rFonts w:ascii="黑体"/>
                                  <w:b/>
                                  <w:sz w:val="15"/>
                                </w:rPr>
                              </w:pPr>
                            </w:p>
                            <w:p w14:paraId="223720ED">
                              <w:pPr>
                                <w:spacing w:before="0" w:line="322" w:lineRule="auto"/>
                                <w:ind w:left="159" w:right="158" w:firstLine="420"/>
                                <w:jc w:val="left"/>
                                <w:rPr>
                                  <w:rFonts w:ascii="宋体" w:eastAsia="宋体"/>
                                  <w:sz w:val="21"/>
                                </w:rPr>
                              </w:pPr>
                              <w:r>
                                <w:rPr>
                                  <w:rFonts w:ascii="宋体" w:eastAsia="宋体"/>
                                  <w:spacing w:val="-2"/>
                                  <w:sz w:val="21"/>
                                </w:rPr>
                                <w:t>哈密建设集团与河南天丰集团合作建筑节能板材建设项目、新疆金域石材有限公司</w:t>
                              </w:r>
                              <w:r>
                                <w:rPr>
                                  <w:rFonts w:ascii="宋体" w:eastAsia="宋体"/>
                                  <w:spacing w:val="-5"/>
                                  <w:sz w:val="21"/>
                                </w:rPr>
                                <w:t xml:space="preserve">下马崖乡大理石矿开采项目、新疆新晶华浮法玻璃有限公司日处理 </w:t>
                              </w:r>
                              <w:r>
                                <w:rPr>
                                  <w:rFonts w:ascii="宋体" w:eastAsia="宋体"/>
                                  <w:spacing w:val="-4"/>
                                  <w:sz w:val="21"/>
                                </w:rPr>
                                <w:t>600</w:t>
                              </w:r>
                              <w:r>
                                <w:rPr>
                                  <w:rFonts w:ascii="宋体" w:eastAsia="宋体"/>
                                  <w:spacing w:val="-9"/>
                                  <w:sz w:val="21"/>
                                </w:rPr>
                                <w:t xml:space="preserve"> 吨浮法玻璃生产</w:t>
                              </w:r>
                            </w:p>
                            <w:p w14:paraId="560510FB">
                              <w:pPr>
                                <w:spacing w:before="0" w:line="322" w:lineRule="auto"/>
                                <w:ind w:left="159" w:right="0" w:firstLine="0"/>
                                <w:jc w:val="left"/>
                                <w:rPr>
                                  <w:rFonts w:ascii="宋体" w:eastAsia="宋体"/>
                                  <w:sz w:val="21"/>
                                </w:rPr>
                              </w:pPr>
                              <w:r>
                                <w:rPr>
                                  <w:rFonts w:ascii="宋体" w:eastAsia="宋体"/>
                                  <w:spacing w:val="-5"/>
                                  <w:sz w:val="21"/>
                                </w:rPr>
                                <w:t xml:space="preserve">线建设项目、哈密双合碱业有限公司日产 </w:t>
                              </w:r>
                              <w:r>
                                <w:rPr>
                                  <w:rFonts w:ascii="宋体" w:eastAsia="宋体"/>
                                  <w:spacing w:val="-4"/>
                                  <w:sz w:val="21"/>
                                </w:rPr>
                                <w:t>600</w:t>
                              </w:r>
                              <w:r>
                                <w:rPr>
                                  <w:rFonts w:ascii="宋体" w:eastAsia="宋体"/>
                                  <w:spacing w:val="-9"/>
                                  <w:sz w:val="21"/>
                                </w:rPr>
                                <w:t xml:space="preserve"> 吨超白玻璃项目、新疆天山水泥有限公司</w:t>
                              </w:r>
                            </w:p>
                            <w:p w14:paraId="5648D88A">
                              <w:pPr>
                                <w:spacing w:before="0" w:line="322" w:lineRule="auto"/>
                                <w:ind w:left="159" w:right="158" w:firstLine="0"/>
                                <w:jc w:val="left"/>
                                <w:rPr>
                                  <w:rFonts w:ascii="宋体" w:eastAsia="宋体"/>
                                  <w:sz w:val="21"/>
                                </w:rPr>
                              </w:pPr>
                              <w:r>
                                <w:rPr>
                                  <w:rFonts w:ascii="宋体" w:eastAsia="宋体"/>
                                  <w:spacing w:val="-2"/>
                                  <w:sz w:val="21"/>
                                </w:rPr>
                                <w:t>5000</w:t>
                              </w:r>
                              <w:r>
                                <w:rPr>
                                  <w:rFonts w:ascii="宋体" w:eastAsia="宋体"/>
                                  <w:spacing w:val="-7"/>
                                  <w:sz w:val="21"/>
                                </w:rPr>
                                <w:t xml:space="preserve"> 吨/日新型干法水泥熟料生产线建设项目、潞新公司 </w:t>
                              </w:r>
                              <w:r>
                                <w:rPr>
                                  <w:rFonts w:ascii="宋体" w:eastAsia="宋体"/>
                                  <w:spacing w:val="-2"/>
                                  <w:sz w:val="21"/>
                                </w:rPr>
                                <w:t>2500</w:t>
                              </w:r>
                              <w:r>
                                <w:rPr>
                                  <w:rFonts w:ascii="宋体" w:eastAsia="宋体"/>
                                  <w:spacing w:val="-6"/>
                                  <w:sz w:val="21"/>
                                </w:rPr>
                                <w:t xml:space="preserve"> 吨/日新型干法水泥熟料</w:t>
                              </w:r>
                              <w:r>
                                <w:rPr>
                                  <w:rFonts w:ascii="宋体" w:eastAsia="宋体"/>
                                  <w:spacing w:val="-2"/>
                                  <w:sz w:val="21"/>
                                </w:rPr>
                                <w:t>生产线建设项目。</w:t>
                              </w:r>
                            </w:p>
                          </w:txbxContent>
                        </wps:txbx>
                        <wps:bodyPr lIns="0" tIns="0" rIns="0" bIns="0" upright="1"/>
                      </wps:wsp>
                    </wpg:wgp>
                  </a:graphicData>
                </a:graphic>
              </wp:inline>
            </w:drawing>
          </mc:Choice>
          <mc:Fallback>
            <w:pict>
              <v:group id="docshapegroup27" o:spid="_x0000_s1026" o:spt="203" style="height:145.85pt;width:415.5pt;" coordorigin="480,0" coordsize="8310,2917" o:gfxdata="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NuIKonVAAAA&#10;BQEAAA8AAAAAAAAAAQAgAAAAIgAAAGRycy9kb3ducmV2LnhtbFBLAQIUABQAAAAIAIdO4kD8iNSl&#10;rwMAAF0OAAAOAAAAAAAAAAEAIAAAACQBAABkcnMvZTJvRG9jLnhtbFBLBQYAAAAABgAGAFkBAABF&#10;BwAAAAA=&#10;">
                <o:lock v:ext="edit" aspectratio="f"/>
                <v:shape id="docshape28" o:spid="_x0000_s1026" o:spt="100" style="position:absolute;left:495;top:45;height:2872;width:8295;" fillcolor="#000000" filled="t" stroked="f" coordsize="8295,2872" o:gfxdata="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0zPBS5AAAA2wAA&#10;AA8AAAAAAAAAAQAgAAAAIgAAAGRycy9kb3ducmV2LnhtbFBLAQIUABQAAAAIAIdO4kAzLwWeOwAA&#10;ADkAAAAQAAAAAAAAAAEAIAAAAAgBAABkcnMvc2hhcGV4bWwueG1sUEsFBgAAAAAGAAYAWwEAALID&#10;AAAAAA==&#10;" path="m8295,2872l0,2872,0,0,8295,0,8295,8,15,8,8,15,15,15,15,2857,8,2857,15,2865,8295,2865,8295,2872xm15,15l8,15,15,8,15,15xm8280,15l15,15,15,8,8280,8,8280,15xm8280,2865l8280,8,8288,15,8295,15,8295,2857,8288,2857,8280,2865xm8295,15l8288,15,8280,8,8295,8,8295,15xm15,2865l8,2857,15,2857,15,2865xm8280,2865l15,2865,15,2857,8280,2857,8280,2865xm8295,2865l8280,2865,8288,2857,8295,2857,8295,2865xe">
                  <v:fill on="t" focussize="0,0"/>
                  <v:stroke on="f"/>
                  <v:imagedata o:title=""/>
                  <o:lock v:ext="edit" aspectratio="f"/>
                </v:shape>
                <v:shape id="docshape29" o:spid="_x0000_s1026" o:spt="202" type="#_x0000_t202" style="position:absolute;left:480;top:0;height:2872;width:8295;"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7EE07E1">
                        <w:pPr>
                          <w:spacing w:before="6" w:line="240" w:lineRule="auto"/>
                          <w:jc w:val="center"/>
                          <w:rPr>
                            <w:sz w:val="14"/>
                          </w:rPr>
                        </w:pPr>
                      </w:p>
                      <w:p w14:paraId="602DF763">
                        <w:pPr>
                          <w:spacing w:before="0"/>
                          <w:ind w:left="2799" w:right="2800"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z w:val="21"/>
                          </w:rPr>
                          <w:t>4-6</w:t>
                        </w:r>
                        <w:r>
                          <w:rPr>
                            <w:rFonts w:hint="eastAsia" w:ascii="黑体" w:eastAsia="黑体"/>
                            <w:b/>
                            <w:spacing w:val="5"/>
                            <w:sz w:val="21"/>
                          </w:rPr>
                          <w:t xml:space="preserve"> 建材行业重大项目</w:t>
                        </w:r>
                      </w:p>
                      <w:p w14:paraId="3F360F8E">
                        <w:pPr>
                          <w:spacing w:before="7" w:line="240" w:lineRule="auto"/>
                          <w:rPr>
                            <w:rFonts w:ascii="黑体"/>
                            <w:b/>
                            <w:sz w:val="15"/>
                          </w:rPr>
                        </w:pPr>
                      </w:p>
                      <w:p w14:paraId="223720ED">
                        <w:pPr>
                          <w:spacing w:before="0" w:line="322" w:lineRule="auto"/>
                          <w:ind w:left="159" w:right="158" w:firstLine="420"/>
                          <w:jc w:val="left"/>
                          <w:rPr>
                            <w:rFonts w:ascii="宋体" w:eastAsia="宋体"/>
                            <w:sz w:val="21"/>
                          </w:rPr>
                        </w:pPr>
                        <w:r>
                          <w:rPr>
                            <w:rFonts w:ascii="宋体" w:eastAsia="宋体"/>
                            <w:spacing w:val="-2"/>
                            <w:sz w:val="21"/>
                          </w:rPr>
                          <w:t>哈密建设集团与河南天丰集团合作建筑节能板材建设项目、新疆金域石材有限公司</w:t>
                        </w:r>
                        <w:r>
                          <w:rPr>
                            <w:rFonts w:ascii="宋体" w:eastAsia="宋体"/>
                            <w:spacing w:val="-5"/>
                            <w:sz w:val="21"/>
                          </w:rPr>
                          <w:t xml:space="preserve">下马崖乡大理石矿开采项目、新疆新晶华浮法玻璃有限公司日处理 </w:t>
                        </w:r>
                        <w:r>
                          <w:rPr>
                            <w:rFonts w:ascii="宋体" w:eastAsia="宋体"/>
                            <w:spacing w:val="-4"/>
                            <w:sz w:val="21"/>
                          </w:rPr>
                          <w:t>600</w:t>
                        </w:r>
                        <w:r>
                          <w:rPr>
                            <w:rFonts w:ascii="宋体" w:eastAsia="宋体"/>
                            <w:spacing w:val="-9"/>
                            <w:sz w:val="21"/>
                          </w:rPr>
                          <w:t xml:space="preserve"> 吨浮法玻璃生产</w:t>
                        </w:r>
                      </w:p>
                      <w:p w14:paraId="560510FB">
                        <w:pPr>
                          <w:spacing w:before="0" w:line="322" w:lineRule="auto"/>
                          <w:ind w:left="159" w:right="0" w:firstLine="0"/>
                          <w:jc w:val="left"/>
                          <w:rPr>
                            <w:rFonts w:ascii="宋体" w:eastAsia="宋体"/>
                            <w:sz w:val="21"/>
                          </w:rPr>
                        </w:pPr>
                        <w:r>
                          <w:rPr>
                            <w:rFonts w:ascii="宋体" w:eastAsia="宋体"/>
                            <w:spacing w:val="-5"/>
                            <w:sz w:val="21"/>
                          </w:rPr>
                          <w:t xml:space="preserve">线建设项目、哈密双合碱业有限公司日产 </w:t>
                        </w:r>
                        <w:r>
                          <w:rPr>
                            <w:rFonts w:ascii="宋体" w:eastAsia="宋体"/>
                            <w:spacing w:val="-4"/>
                            <w:sz w:val="21"/>
                          </w:rPr>
                          <w:t>600</w:t>
                        </w:r>
                        <w:r>
                          <w:rPr>
                            <w:rFonts w:ascii="宋体" w:eastAsia="宋体"/>
                            <w:spacing w:val="-9"/>
                            <w:sz w:val="21"/>
                          </w:rPr>
                          <w:t xml:space="preserve"> 吨超白玻璃项目、新疆天山水泥有限公司</w:t>
                        </w:r>
                      </w:p>
                      <w:p w14:paraId="5648D88A">
                        <w:pPr>
                          <w:spacing w:before="0" w:line="322" w:lineRule="auto"/>
                          <w:ind w:left="159" w:right="158" w:firstLine="0"/>
                          <w:jc w:val="left"/>
                          <w:rPr>
                            <w:rFonts w:ascii="宋体" w:eastAsia="宋体"/>
                            <w:sz w:val="21"/>
                          </w:rPr>
                        </w:pPr>
                        <w:r>
                          <w:rPr>
                            <w:rFonts w:ascii="宋体" w:eastAsia="宋体"/>
                            <w:spacing w:val="-2"/>
                            <w:sz w:val="21"/>
                          </w:rPr>
                          <w:t>5000</w:t>
                        </w:r>
                        <w:r>
                          <w:rPr>
                            <w:rFonts w:ascii="宋体" w:eastAsia="宋体"/>
                            <w:spacing w:val="-7"/>
                            <w:sz w:val="21"/>
                          </w:rPr>
                          <w:t xml:space="preserve"> 吨/日新型干法水泥熟料生产线建设项目、潞新公司 </w:t>
                        </w:r>
                        <w:r>
                          <w:rPr>
                            <w:rFonts w:ascii="宋体" w:eastAsia="宋体"/>
                            <w:spacing w:val="-2"/>
                            <w:sz w:val="21"/>
                          </w:rPr>
                          <w:t>2500</w:t>
                        </w:r>
                        <w:r>
                          <w:rPr>
                            <w:rFonts w:ascii="宋体" w:eastAsia="宋体"/>
                            <w:spacing w:val="-6"/>
                            <w:sz w:val="21"/>
                          </w:rPr>
                          <w:t xml:space="preserve"> 吨/日新型干法水泥熟料</w:t>
                        </w:r>
                        <w:r>
                          <w:rPr>
                            <w:rFonts w:ascii="宋体" w:eastAsia="宋体"/>
                            <w:spacing w:val="-2"/>
                            <w:sz w:val="21"/>
                          </w:rPr>
                          <w:t>生产线建设项目。</w:t>
                        </w:r>
                      </w:p>
                    </w:txbxContent>
                  </v:textbox>
                </v:shape>
                <w10:wrap type="none"/>
                <w10:anchorlock/>
              </v:group>
            </w:pict>
          </mc:Fallback>
        </mc:AlternateContent>
      </w:r>
    </w:p>
    <w:p w14:paraId="0FC5F35C">
      <w:pPr>
        <w:spacing w:after="0" w:line="240" w:lineRule="auto"/>
        <w:jc w:val="left"/>
        <w:rPr>
          <w:lang w:val="en-US" w:eastAsia="zh-CN"/>
        </w:rPr>
      </w:pPr>
    </w:p>
    <w:p w14:paraId="060A96CF">
      <w:pPr>
        <w:pStyle w:val="2"/>
        <w:tabs>
          <w:tab w:val="left" w:pos="1199"/>
        </w:tabs>
        <w:spacing w:before="229"/>
        <w:ind w:right="0"/>
      </w:pPr>
      <w:bookmarkStart w:id="96" w:name="_Toc1567163922"/>
      <w:bookmarkStart w:id="97" w:name="_Toc19273872"/>
      <w:bookmarkStart w:id="98" w:name="_Toc9973"/>
      <w:r>
        <w:t>第五</w:t>
      </w:r>
      <w:r>
        <w:rPr>
          <w:spacing w:val="-10"/>
        </w:rPr>
        <w:t>章</w:t>
      </w:r>
      <w:r>
        <w:tab/>
      </w:r>
      <w:r>
        <w:t>突出发展物流业和旅游业，提升现代服务业水</w:t>
      </w:r>
      <w:r>
        <w:rPr>
          <w:spacing w:val="-10"/>
        </w:rPr>
        <w:t>平</w:t>
      </w:r>
      <w:bookmarkEnd w:id="96"/>
      <w:bookmarkEnd w:id="97"/>
      <w:bookmarkEnd w:id="98"/>
    </w:p>
    <w:p w14:paraId="4BB30C92">
      <w:pPr>
        <w:pStyle w:val="5"/>
        <w:spacing w:before="5"/>
        <w:ind w:left="0"/>
        <w:rPr>
          <w:rFonts w:ascii="黑体"/>
          <w:sz w:val="33"/>
        </w:rPr>
      </w:pPr>
    </w:p>
    <w:p w14:paraId="6C632A27">
      <w:pPr>
        <w:pStyle w:val="5"/>
        <w:spacing w:line="363" w:lineRule="auto"/>
        <w:ind w:left="0" w:right="0" w:firstLine="552" w:firstLineChars="200"/>
        <w:jc w:val="both"/>
      </w:pPr>
      <w:r>
        <w:rPr>
          <w:spacing w:val="-2"/>
          <w:sz w:val="28"/>
          <w:szCs w:val="28"/>
        </w:rPr>
        <w:t>坚持把发展第三产业提高到“富民强区”的高度，以提高劳动生产率为目标，大力发展面向生产领域的服务业；以满足人民群众日益增长的物质文化需求为目标，积极发展面向消费领域的服务业；以提升第三产业层次和水平为重点，以文化特色为核心突出发展旅游业；以建设大型煤炭</w:t>
      </w:r>
      <w:r>
        <w:rPr>
          <w:spacing w:val="-2"/>
        </w:rPr>
        <w:t>交易市场为重点大力促进现代物流业的发展；保障房地产业的健康发展，积极打造高层次的产业专业化协作中介服务体系，壮大现代服务业，改造提升传统服务业，促进地区第三产业的发展和优化升级。</w:t>
      </w:r>
    </w:p>
    <w:p w14:paraId="1D4AE315">
      <w:pPr>
        <w:pStyle w:val="3"/>
        <w:spacing w:before="123"/>
        <w:ind w:left="0" w:right="0"/>
        <w:rPr>
          <w:i w:val="0"/>
          <w:iCs w:val="0"/>
        </w:rPr>
      </w:pPr>
      <w:bookmarkStart w:id="99" w:name="_bookmark21"/>
      <w:bookmarkEnd w:id="99"/>
      <w:bookmarkStart w:id="100" w:name="第一节  重点发展现代物流业，建设西北物流枢纽"/>
      <w:bookmarkEnd w:id="100"/>
      <w:bookmarkStart w:id="101" w:name="_Toc1168234052"/>
      <w:bookmarkStart w:id="102" w:name="_Toc524099355"/>
      <w:bookmarkStart w:id="103" w:name="_Toc584766161"/>
      <w:bookmarkStart w:id="104" w:name="_Toc520"/>
      <w:r>
        <w:rPr>
          <w:i w:val="0"/>
          <w:iCs w:val="0"/>
        </w:rPr>
        <w:t>第一</w:t>
      </w:r>
      <w:r>
        <w:rPr>
          <w:i w:val="0"/>
          <w:iCs w:val="0"/>
          <w:spacing w:val="23"/>
        </w:rPr>
        <w:t>节 重</w:t>
      </w:r>
      <w:r>
        <w:rPr>
          <w:i w:val="0"/>
          <w:iCs w:val="0"/>
        </w:rPr>
        <w:t>点发展现代物流业，建设西北物流枢</w:t>
      </w:r>
      <w:r>
        <w:rPr>
          <w:i w:val="0"/>
          <w:iCs w:val="0"/>
          <w:spacing w:val="-10"/>
        </w:rPr>
        <w:t>纽</w:t>
      </w:r>
      <w:bookmarkEnd w:id="101"/>
      <w:bookmarkEnd w:id="102"/>
      <w:bookmarkEnd w:id="103"/>
      <w:bookmarkEnd w:id="104"/>
    </w:p>
    <w:p w14:paraId="705072FC">
      <w:pPr>
        <w:pStyle w:val="5"/>
        <w:spacing w:before="4"/>
        <w:ind w:left="0"/>
        <w:rPr>
          <w:rFonts w:ascii="楷体_GB2312"/>
          <w:b/>
          <w:i/>
          <w:sz w:val="34"/>
        </w:rPr>
      </w:pPr>
    </w:p>
    <w:p w14:paraId="3FC57B95">
      <w:pPr>
        <w:pStyle w:val="5"/>
        <w:spacing w:before="0" w:line="363" w:lineRule="auto"/>
        <w:ind w:left="0" w:right="0" w:firstLine="552" w:firstLineChars="200"/>
        <w:jc w:val="both"/>
        <w:rPr>
          <w:spacing w:val="-2"/>
        </w:rPr>
      </w:pPr>
      <w:r>
        <w:rPr>
          <w:spacing w:val="-2"/>
        </w:rPr>
        <w:t>围绕“把哈密建成东联西出，西来东去，东西双向开放的重要枢纽和现代化的商品物流集散地”的目标，构筑面向中亚、西亚，连接内陆、沿海的东西双向次级对外开放平台。在扶持现有物流企业基础上，通过引进培育一批具有一定规模，集运输、仓储、包装、流通加工、配送等功能为一体的物流企业，建成各类综合性及专业化的物流中心或物流园区；整合兵团、铁路和地方的煤炭交易市场，通过构筑信息服务网，建设哈密煤炭交易中心及配套服务设施；加强与国内主要农产品经销市场的联系，建设粮棉油仓储、调运为一体的综合市场，促进城市商贸流通业的快速发展；大力培育有竞争力的第三方物流企业集团，积极推进和发展绿色物流，努力构建地区现代物流网络体系，发挥物流业在服务业体系中的领军作用。</w:t>
      </w:r>
    </w:p>
    <w:p w14:paraId="127EBFE7">
      <w:pPr>
        <w:spacing w:after="0" w:line="240" w:lineRule="auto"/>
        <w:jc w:val="left"/>
        <w:rPr>
          <w:rFonts w:ascii="仿宋_GB2312" w:hAnsi="仿宋_GB2312" w:eastAsia="仿宋_GB2312" w:cs="仿宋_GB2312"/>
          <w:sz w:val="22"/>
          <w:szCs w:val="22"/>
          <w:lang w:val="en-US" w:eastAsia="zh-CN" w:bidi="ar-SA"/>
        </w:rPr>
      </w:pPr>
      <w:r>
        <w:pict>
          <v:shape id="docshape30" o:spid="_x0000_s1049" o:spt="202" type="#_x0000_t202" style="position:absolute;left:0pt;margin-left:88.75pt;margin-top:1.5pt;height:122.4pt;width:425.35pt;mso-position-horizontal-relative:page;mso-wrap-distance-bottom:0pt;mso-wrap-distance-top:0pt;z-index:-251645952;mso-width-relative:page;mso-height-relative:page;" filled="f" stroked="t" coordsize="21600,21600">
            <v:path/>
            <v:fill on="f" focussize="0,0"/>
            <v:stroke weight="0.48pt" color="#000000"/>
            <v:imagedata o:title=""/>
            <o:lock v:ext="edit"/>
            <v:textbox inset="0mm,0mm,0mm,0mm">
              <w:txbxContent>
                <w:p w14:paraId="7DBF0E6B">
                  <w:pPr>
                    <w:spacing w:before="110"/>
                    <w:ind w:left="3051" w:right="3051" w:firstLine="0"/>
                    <w:jc w:val="center"/>
                    <w:rPr>
                      <w:rFonts w:hint="eastAsia" w:ascii="黑体" w:eastAsia="黑体"/>
                      <w:b/>
                      <w:sz w:val="21"/>
                    </w:rPr>
                  </w:pPr>
                  <w:r>
                    <w:rPr>
                      <w:rFonts w:hint="eastAsia" w:ascii="黑体" w:eastAsia="黑体"/>
                      <w:b/>
                      <w:spacing w:val="-17"/>
                      <w:sz w:val="21"/>
                    </w:rPr>
                    <w:t xml:space="preserve">专栏 </w:t>
                  </w:r>
                  <w:r>
                    <w:rPr>
                      <w:rFonts w:hint="eastAsia" w:ascii="黑体" w:eastAsia="黑体"/>
                      <w:b/>
                      <w:sz w:val="21"/>
                    </w:rPr>
                    <w:t>5-1</w:t>
                  </w:r>
                  <w:r>
                    <w:rPr>
                      <w:rFonts w:hint="eastAsia" w:ascii="黑体" w:eastAsia="黑体"/>
                      <w:b/>
                      <w:spacing w:val="-6"/>
                      <w:sz w:val="21"/>
                    </w:rPr>
                    <w:t xml:space="preserve"> 物</w:t>
                  </w:r>
                  <w:r>
                    <w:rPr>
                      <w:rFonts w:hint="eastAsia" w:ascii="黑体" w:eastAsia="黑体"/>
                      <w:b/>
                      <w:sz w:val="21"/>
                    </w:rPr>
                    <w:t>流业重大项</w:t>
                  </w:r>
                  <w:r>
                    <w:rPr>
                      <w:rFonts w:hint="eastAsia" w:ascii="黑体" w:eastAsia="黑体"/>
                      <w:b/>
                      <w:spacing w:val="-10"/>
                      <w:sz w:val="21"/>
                    </w:rPr>
                    <w:t>目</w:t>
                  </w:r>
                </w:p>
                <w:p w14:paraId="20D85713">
                  <w:pPr>
                    <w:spacing w:before="132" w:line="322" w:lineRule="auto"/>
                    <w:ind w:left="102" w:right="100" w:firstLine="420"/>
                    <w:jc w:val="left"/>
                    <w:rPr>
                      <w:rFonts w:ascii="宋体" w:eastAsia="宋体"/>
                      <w:sz w:val="21"/>
                    </w:rPr>
                  </w:pPr>
                  <w:r>
                    <w:rPr>
                      <w:rFonts w:ascii="宋体" w:eastAsia="宋体"/>
                      <w:spacing w:val="-2"/>
                      <w:sz w:val="21"/>
                    </w:rPr>
                    <w:t>哈密煤炭物流园及交易所建设项目、亚欧大陆桥（花园乡）铁路物流专用线、新疆天顺哈密物流园、伊吾县广汇物流园区、哈密长河畜产品冷链物流中心建设项目、哈密飞盛再生资源物流交易市场、哈密市东疆春农产品综合交易市场、哈密农资配送及网络建设项</w:t>
                  </w:r>
                  <w:r>
                    <w:rPr>
                      <w:rFonts w:ascii="宋体" w:eastAsia="宋体"/>
                      <w:sz w:val="21"/>
                    </w:rPr>
                    <w:t>目、哈密粮食仓储物流建设项目、哈密市丰盛农贸市场项目、巴里坤县奎苏镇农贸市</w:t>
                  </w:r>
                  <w:r>
                    <w:rPr>
                      <w:rFonts w:ascii="宋体" w:eastAsia="宋体"/>
                      <w:spacing w:val="-5"/>
                      <w:sz w:val="21"/>
                    </w:rPr>
                    <w:t>场基</w:t>
                  </w:r>
                </w:p>
                <w:p w14:paraId="28E84E8A">
                  <w:pPr>
                    <w:spacing w:before="0" w:line="322" w:lineRule="auto"/>
                    <w:ind w:left="102" w:right="0" w:firstLine="0"/>
                    <w:jc w:val="left"/>
                    <w:rPr>
                      <w:rFonts w:ascii="宋体" w:eastAsia="宋体"/>
                      <w:sz w:val="21"/>
                    </w:rPr>
                  </w:pPr>
                  <w:r>
                    <w:rPr>
                      <w:rFonts w:ascii="宋体" w:eastAsia="宋体"/>
                      <w:spacing w:val="-3"/>
                      <w:sz w:val="21"/>
                    </w:rPr>
                    <w:t>础设施建设项目、伊吾县盐池有机畜产品综合交易市场。</w:t>
                  </w:r>
                </w:p>
              </w:txbxContent>
            </v:textbox>
            <w10:wrap type="topAndBottom"/>
          </v:shape>
        </w:pict>
      </w:r>
    </w:p>
    <w:p w14:paraId="0FCCBFA5">
      <w:pPr>
        <w:pStyle w:val="5"/>
        <w:spacing w:before="0" w:line="363" w:lineRule="auto"/>
        <w:ind w:left="0" w:right="0" w:firstLine="552" w:firstLineChars="200"/>
        <w:jc w:val="both"/>
        <w:rPr>
          <w:spacing w:val="-2"/>
        </w:rPr>
      </w:pPr>
      <w:r>
        <w:rPr>
          <w:spacing w:val="-2"/>
        </w:rPr>
        <w:t>力争在“十二五”末，将哈密地区煤炭交易市场打造成新疆煤炭</w:t>
      </w:r>
      <w:r>
        <w:rPr>
          <w:spacing w:val="-20"/>
        </w:rPr>
        <w:t>交易市场的交易中心、价格中心和信息中心，将哈密地区建成新疆“疆</w:t>
      </w:r>
      <w:r>
        <w:rPr>
          <w:spacing w:val="-2"/>
        </w:rPr>
        <w:t>煤东运”的物流基地，将哈密市建成西北物流枢纽型城市，并带动巴里坤和伊吾两县的物流发展。</w:t>
      </w:r>
    </w:p>
    <w:p w14:paraId="273BD7E7">
      <w:pPr>
        <w:pStyle w:val="3"/>
        <w:spacing w:before="130"/>
        <w:ind w:left="0" w:right="0"/>
        <w:rPr>
          <w:i w:val="0"/>
          <w:iCs w:val="0"/>
        </w:rPr>
      </w:pPr>
      <w:bookmarkStart w:id="105" w:name="_Toc27452"/>
      <w:bookmarkStart w:id="106" w:name="_Toc1858497103"/>
      <w:bookmarkStart w:id="107" w:name="_Toc1709541747"/>
      <w:r>
        <w:rPr>
          <w:i w:val="0"/>
          <w:iCs w:val="0"/>
        </w:rPr>
        <w:t>第二</w:t>
      </w:r>
      <w:r>
        <w:rPr>
          <w:i w:val="0"/>
          <w:iCs w:val="0"/>
          <w:spacing w:val="23"/>
        </w:rPr>
        <w:t>节 突</w:t>
      </w:r>
      <w:r>
        <w:rPr>
          <w:i w:val="0"/>
          <w:iCs w:val="0"/>
        </w:rPr>
        <w:t>出发展现代旅游业，建设丝路旅游节</w:t>
      </w:r>
      <w:r>
        <w:rPr>
          <w:i w:val="0"/>
          <w:iCs w:val="0"/>
          <w:spacing w:val="-10"/>
        </w:rPr>
        <w:t>点</w:t>
      </w:r>
      <w:bookmarkEnd w:id="105"/>
      <w:bookmarkEnd w:id="106"/>
      <w:bookmarkEnd w:id="107"/>
    </w:p>
    <w:p w14:paraId="2D1B074D">
      <w:pPr>
        <w:pStyle w:val="5"/>
        <w:spacing w:before="12"/>
        <w:ind w:left="0"/>
        <w:rPr>
          <w:rFonts w:ascii="楷体_GB2312"/>
          <w:b/>
          <w:i/>
          <w:sz w:val="31"/>
        </w:rPr>
      </w:pPr>
    </w:p>
    <w:p w14:paraId="00AE8A36">
      <w:pPr>
        <w:tabs>
          <w:tab w:val="left" w:pos="742"/>
        </w:tabs>
        <w:spacing w:after="0" w:line="240" w:lineRule="auto"/>
        <w:jc w:val="left"/>
        <w:rPr>
          <w:lang w:val="en-US" w:eastAsia="zh-CN"/>
        </w:rPr>
        <w:sectPr>
          <w:pgSz w:w="11910" w:h="16840"/>
          <w:pgMar w:top="1540" w:right="1260" w:bottom="1180" w:left="1480" w:header="0" w:footer="993" w:gutter="0"/>
          <w:pgNumType w:fmt="decimal"/>
          <w:cols w:space="720" w:num="1"/>
        </w:sectPr>
      </w:pPr>
    </w:p>
    <w:p w14:paraId="79CD1371">
      <w:pPr>
        <w:pStyle w:val="5"/>
        <w:autoSpaceDE/>
        <w:autoSpaceDN/>
        <w:spacing w:before="0" w:line="363" w:lineRule="auto"/>
        <w:ind w:left="0" w:right="0" w:firstLine="640" w:firstLineChars="200"/>
        <w:jc w:val="both"/>
        <w:rPr>
          <w:spacing w:val="20"/>
        </w:rPr>
      </w:pPr>
      <w:r>
        <w:rPr>
          <w:spacing w:val="20"/>
        </w:rPr>
        <w:t>围绕建设“新疆风光旅游盆景、文化旅游长廊、休闲度假旅游乐园”的目标，加快完善“六大重点景区”基础设施，不断提升旅游景区基础设施建设水平、接待能力和服务水平，实现旅游产品文化品位、旅游经营组织形式、旅游市场产业化的突破。坚持把文化旅游业作为 “文化哈密、开放哈密、活力哈密”的载体和窗口，抓住内地旅游市场求新、求异和游客探游神秘新疆的大好机遇，充分发挥新疆东大门的区位优势和新疆缩影的资源优势，以哈密历史文化、民族文化和景观资源为支撑，高起点做好旅游策划和创意，宣传、推介和打造一批旅游精品线路，使哈密成为新疆旅游的游客集散地和目的地之一，使旅游业真正成为调结构、惠民生、促就业的朝阳产业。到 2015 年，争取把哈密市建设成为“中国最佳旅游城市”，积极申报巴里坤县成为“国家级历史文化名城”，把伊吾县建成为休闲度假与红色旅游基地。</w:t>
      </w:r>
    </w:p>
    <w:p w14:paraId="1DF61E2F">
      <w:pPr>
        <w:pStyle w:val="5"/>
        <w:autoSpaceDE/>
        <w:autoSpaceDN/>
        <w:spacing w:before="0" w:line="363" w:lineRule="auto"/>
        <w:ind w:left="0" w:right="0" w:firstLine="640" w:firstLineChars="200"/>
        <w:jc w:val="both"/>
        <w:rPr>
          <w:spacing w:val="20"/>
        </w:rPr>
      </w:pPr>
      <w:r>
        <w:rPr>
          <w:spacing w:val="20"/>
        </w:rPr>
        <w:t>以开发沙漠旅游生态游、东天山风光游、丝路新北道历史文化游、红色与科普教育游、荒漠戈壁探险游、自驾车休闲体验游的六大核心旅游产品为重点，建立生态、文化、特种旅游产品体系。积极培养旅游高素质人才，鼓励和支持区内外知名旅行社参与地区旅游的开发。以节庆活动为契机，加大旅游宣传的力度，加快地区旅游产业的市场化，提升地区旅游知名度。重视区域旅游合作，加强与吐鲁番、木垒、奇台、吉木萨尔以及敦煌等地区的旅游合作，巩固珠三角客源市场，积极开拓中原旅游市场。到 2015 年，接待游客 298 万人次以上，旅游收入达到 34 亿元以上，年均增长 20%</w:t>
      </w:r>
      <w:r>
        <w:rPr>
          <w:rFonts w:hint="default"/>
          <w:spacing w:val="20"/>
          <w:lang w:eastAsia="zh-CN"/>
        </w:rPr>
        <w:t>和</w:t>
      </w:r>
      <w:r>
        <w:rPr>
          <w:rFonts w:hint="default"/>
          <w:spacing w:val="20"/>
          <w:lang w:val="en-US" w:eastAsia="zh-CN"/>
        </w:rPr>
        <w:t>25%。旅游收入相当于</w:t>
      </w:r>
      <w:r>
        <w:rPr>
          <w:rFonts w:hint="default"/>
          <w:spacing w:val="20"/>
          <w:lang w:eastAsia="zh-CN"/>
        </w:rPr>
        <w:t>同期</w:t>
      </w:r>
      <w:r>
        <w:rPr>
          <w:rFonts w:hint="default"/>
          <w:spacing w:val="20"/>
          <w:lang w:val="en-US" w:eastAsia="zh-CN"/>
        </w:rPr>
        <w:t>GDP</w:t>
      </w:r>
      <w:r>
        <w:rPr>
          <w:spacing w:val="20"/>
        </w:rPr>
        <w:t>比重的 5.7％。</w:t>
      </w:r>
    </w:p>
    <w:p w14:paraId="11798D21">
      <w:pPr>
        <w:pStyle w:val="5"/>
        <w:autoSpaceDE/>
        <w:autoSpaceDN/>
        <w:spacing w:line="382" w:lineRule="auto"/>
        <w:ind w:left="0" w:firstLine="560" w:firstLineChars="200"/>
        <w:jc w:val="both"/>
        <w:sectPr>
          <w:pgSz w:w="11910" w:h="16840"/>
          <w:pgMar w:top="1540" w:right="1260" w:bottom="1180" w:left="1480" w:header="0" w:footer="993" w:gutter="0"/>
          <w:pgNumType w:fmt="decimal"/>
          <w:cols w:space="720" w:num="1"/>
        </w:sectPr>
      </w:pPr>
    </w:p>
    <w:p w14:paraId="403EAC71">
      <w:pPr>
        <w:pStyle w:val="5"/>
        <w:spacing w:before="44" w:line="240" w:lineRule="auto"/>
        <w:ind w:right="0" w:firstLine="0"/>
        <w:jc w:val="left"/>
      </w:pPr>
    </w:p>
    <w:p w14:paraId="6824D34C">
      <w:pPr>
        <w:pStyle w:val="5"/>
        <w:ind w:left="0"/>
        <w:rPr>
          <w:sz w:val="20"/>
        </w:rPr>
      </w:pPr>
      <w:r>
        <w:pict>
          <v:group id="docshapegroup31" o:spid="_x0000_s1050" o:spt="203" style="position:absolute;left:0pt;margin-left:85.75pt;margin-top:4.15pt;height:213.15pt;width:426.95pt;mso-position-horizontal-relative:page;z-index:-251652096;mso-width-relative:page;mso-height-relative:page;" coordorigin="1701,5470" coordsize="8539,4263">
            <o:lock v:ext="edit"/>
            <v:shape id="docshape32" o:spid="_x0000_s1051" style="position:absolute;left:1700;top:5470;height:4263;width:8539;" fillcolor="#000000" filled="t" stroked="f" coordorigin="1701,5470" coordsize="8539,4263" path="m10240,9733l1701,9733,1701,5470,10240,5470,10240,5478,1716,5478,1708,5485,1716,5485,1716,9718,1708,9718,1716,9726,10240,9726,10240,9733xm1716,5485l1708,5485,1716,5478,1716,5485xm10225,5485l1716,5485,1716,5478,10225,5478,10225,5485xm10225,9726l10225,5478,10232,5485,10240,5485,10240,9718,10232,9718,10225,9726xm10240,5485l10232,5485,10225,5478,10240,5478,10240,5485xm1716,9726l1708,9718,1716,9718,1716,9726xm10225,9726l1716,9726,1716,9718,10225,9718,10225,9726xm10240,9726l10225,9726,10232,9718,10240,9718,10240,9726xe">
              <v:path arrowok="t"/>
              <v:fill on="t" focussize="0,0"/>
              <v:stroke on="f"/>
              <v:imagedata o:title=""/>
              <o:lock v:ext="edit"/>
            </v:shape>
            <v:shape id="docshape33" o:spid="_x0000_s1052" o:spt="202" type="#_x0000_t202" style="position:absolute;left:1700;top:5470;height:4263;width:8539;" filled="f" stroked="f" coordsize="21600,21600">
              <v:path/>
              <v:fill on="f" focussize="0,0"/>
              <v:stroke on="f" joinstyle="miter"/>
              <v:imagedata o:title=""/>
              <o:lock v:ext="edit"/>
              <v:textbox inset="0mm,0mm,0mm,0mm">
                <w:txbxContent>
                  <w:p w14:paraId="02797FBE">
                    <w:pPr>
                      <w:spacing w:before="8" w:line="240" w:lineRule="auto"/>
                      <w:rPr>
                        <w:sz w:val="14"/>
                      </w:rPr>
                    </w:pPr>
                  </w:p>
                  <w:p w14:paraId="7CB3537E">
                    <w:pPr>
                      <w:spacing w:before="0" w:beforeLines="50" w:afterLines="50"/>
                      <w:ind w:left="2336" w:right="2336" w:firstLine="0"/>
                      <w:jc w:val="center"/>
                      <w:rPr>
                        <w:rFonts w:hint="eastAsia" w:ascii="黑体" w:hAnsi="黑体" w:eastAsia="黑体"/>
                        <w:b/>
                        <w:sz w:val="21"/>
                      </w:rPr>
                    </w:pPr>
                    <w:r>
                      <w:rPr>
                        <w:rFonts w:hint="eastAsia" w:ascii="黑体" w:hAnsi="黑体" w:eastAsia="黑体"/>
                        <w:b/>
                        <w:spacing w:val="-17"/>
                        <w:sz w:val="21"/>
                      </w:rPr>
                      <w:t xml:space="preserve">专栏 </w:t>
                    </w:r>
                    <w:r>
                      <w:rPr>
                        <w:rFonts w:hint="eastAsia" w:ascii="黑体" w:hAnsi="黑体" w:eastAsia="黑体"/>
                        <w:b/>
                        <w:sz w:val="21"/>
                      </w:rPr>
                      <w:t>5-2</w:t>
                    </w:r>
                    <w:r>
                      <w:rPr>
                        <w:rFonts w:hint="eastAsia" w:ascii="黑体" w:hAnsi="黑体" w:eastAsia="黑体"/>
                        <w:b/>
                        <w:spacing w:val="-7"/>
                        <w:sz w:val="21"/>
                      </w:rPr>
                      <w:t xml:space="preserve"> 旅</w:t>
                    </w:r>
                    <w:r>
                      <w:rPr>
                        <w:rFonts w:hint="eastAsia" w:ascii="黑体" w:hAnsi="黑体" w:eastAsia="黑体"/>
                        <w:b/>
                        <w:sz w:val="21"/>
                      </w:rPr>
                      <w:t>游业“十二五”基础设</w:t>
                    </w:r>
                    <w:r>
                      <w:rPr>
                        <w:rFonts w:hint="eastAsia" w:ascii="黑体" w:hAnsi="黑体" w:eastAsia="黑体"/>
                        <w:b/>
                        <w:spacing w:val="-4"/>
                        <w:sz w:val="21"/>
                      </w:rPr>
                      <w:t>施建设</w:t>
                    </w:r>
                  </w:p>
                  <w:p w14:paraId="62D9AC5D">
                    <w:pPr>
                      <w:spacing w:before="8" w:line="322" w:lineRule="auto"/>
                      <w:ind w:left="159" w:right="57" w:firstLine="420"/>
                      <w:jc w:val="left"/>
                      <w:rPr>
                        <w:rFonts w:ascii="宋体" w:eastAsia="宋体"/>
                        <w:sz w:val="21"/>
                      </w:rPr>
                    </w:pPr>
                    <w:r>
                      <w:rPr>
                        <w:rFonts w:ascii="宋体" w:eastAsia="宋体"/>
                        <w:spacing w:val="-3"/>
                        <w:w w:val="99"/>
                        <w:sz w:val="21"/>
                      </w:rPr>
                      <w:t>重点建设口门子－天山庙、南山口－天山庙、</w:t>
                    </w:r>
                    <w:r>
                      <w:rPr>
                        <w:rFonts w:ascii="宋体" w:eastAsia="宋体"/>
                        <w:spacing w:val="1"/>
                        <w:w w:val="99"/>
                        <w:sz w:val="21"/>
                      </w:rPr>
                      <w:t>30</w:t>
                    </w:r>
                    <w:r>
                      <w:rPr>
                        <w:rFonts w:ascii="宋体" w:eastAsia="宋体"/>
                        <w:w w:val="99"/>
                        <w:sz w:val="21"/>
                      </w:rPr>
                      <w:t>3</w:t>
                    </w:r>
                    <w:r>
                      <w:rPr>
                        <w:rFonts w:ascii="宋体" w:eastAsia="宋体"/>
                        <w:spacing w:val="-54"/>
                        <w:sz w:val="21"/>
                      </w:rPr>
                      <w:t xml:space="preserve"> </w:t>
                    </w:r>
                    <w:r>
                      <w:rPr>
                        <w:rFonts w:ascii="宋体" w:eastAsia="宋体"/>
                        <w:spacing w:val="-2"/>
                        <w:w w:val="99"/>
                        <w:sz w:val="21"/>
                      </w:rPr>
                      <w:t>省道－寒气沟、口伊公路－鸣沙山、</w:t>
                    </w:r>
                    <w:r>
                      <w:rPr>
                        <w:rFonts w:ascii="宋体" w:eastAsia="宋体"/>
                        <w:spacing w:val="-1"/>
                        <w:w w:val="99"/>
                        <w:sz w:val="21"/>
                      </w:rPr>
                      <w:t>哈密贡瓜园、白杨沟佛寺遗址－拉甫却克古城－五堡－魔鬼城环线、伊吾淖毛湖镇－胡杨</w:t>
                    </w:r>
                    <w:r>
                      <w:rPr>
                        <w:rFonts w:ascii="宋体" w:eastAsia="宋体"/>
                        <w:spacing w:val="-2"/>
                        <w:w w:val="99"/>
                        <w:sz w:val="21"/>
                      </w:rPr>
                      <w:t>林－万亩晚熟哈密瓜基地－红柳园环线、</w:t>
                    </w:r>
                    <w:r>
                      <w:rPr>
                        <w:rFonts w:ascii="宋体" w:eastAsia="宋体"/>
                        <w:spacing w:val="1"/>
                        <w:w w:val="99"/>
                        <w:sz w:val="21"/>
                      </w:rPr>
                      <w:t>30</w:t>
                    </w:r>
                    <w:r>
                      <w:rPr>
                        <w:rFonts w:ascii="宋体" w:eastAsia="宋体"/>
                        <w:w w:val="99"/>
                        <w:sz w:val="21"/>
                      </w:rPr>
                      <w:t>3</w:t>
                    </w:r>
                    <w:r>
                      <w:rPr>
                        <w:rFonts w:ascii="宋体" w:eastAsia="宋体"/>
                        <w:spacing w:val="-54"/>
                        <w:sz w:val="21"/>
                      </w:rPr>
                      <w:t xml:space="preserve"> </w:t>
                    </w:r>
                    <w:r>
                      <w:rPr>
                        <w:rFonts w:ascii="宋体" w:eastAsia="宋体"/>
                        <w:spacing w:val="-3"/>
                        <w:w w:val="99"/>
                        <w:sz w:val="21"/>
                      </w:rPr>
                      <w:t>省道-巴里坤怪石山、大河唐城、巴里坤湖等</w:t>
                    </w:r>
                    <w:r>
                      <w:rPr>
                        <w:rFonts w:ascii="宋体" w:eastAsia="宋体"/>
                        <w:spacing w:val="2"/>
                        <w:w w:val="99"/>
                        <w:sz w:val="21"/>
                      </w:rPr>
                      <w:t>旅游道路、</w:t>
                    </w:r>
                    <w:r>
                      <w:rPr>
                        <w:rFonts w:ascii="宋体" w:eastAsia="宋体"/>
                        <w:spacing w:val="1"/>
                        <w:w w:val="99"/>
                        <w:sz w:val="21"/>
                      </w:rPr>
                      <w:t>30</w:t>
                    </w:r>
                    <w:r>
                      <w:rPr>
                        <w:rFonts w:ascii="宋体" w:eastAsia="宋体"/>
                        <w:w w:val="99"/>
                        <w:sz w:val="21"/>
                      </w:rPr>
                      <w:t>3</w:t>
                    </w:r>
                    <w:r>
                      <w:rPr>
                        <w:rFonts w:ascii="宋体" w:eastAsia="宋体"/>
                        <w:spacing w:val="-52"/>
                        <w:sz w:val="21"/>
                      </w:rPr>
                      <w:t xml:space="preserve"> </w:t>
                    </w:r>
                    <w:r>
                      <w:rPr>
                        <w:rFonts w:ascii="宋体" w:eastAsia="宋体"/>
                        <w:spacing w:val="1"/>
                        <w:w w:val="99"/>
                        <w:sz w:val="21"/>
                      </w:rPr>
                      <w:t>省道－东黑沟古代匈奴王庭遗址、岳公台文化公园景区通达道路、松树塘</w:t>
                    </w:r>
                    <w:r>
                      <w:rPr>
                        <w:rFonts w:ascii="宋体" w:eastAsia="宋体"/>
                        <w:spacing w:val="-1"/>
                        <w:w w:val="99"/>
                        <w:sz w:val="21"/>
                      </w:rPr>
                      <w:t>旅游小镇基础设施、松树塘旅游小镇生态广场、旅游商业一条街、松树塘游客接待中心二期、哈密奇石文化馆、哈密瓜园景区基础设施、哈密王景区配套设施、巴里坤草原生态旅游区基础设施、岳公台文化公园二期、伊吾胡杨林生态园景区的旅游服务基础设施、国家级坎儿井保护及旅游项目。</w:t>
                    </w:r>
                  </w:p>
                </w:txbxContent>
              </v:textbox>
            </v:shape>
          </v:group>
        </w:pict>
      </w:r>
    </w:p>
    <w:p w14:paraId="42069803">
      <w:pPr>
        <w:pStyle w:val="5"/>
        <w:ind w:left="0"/>
        <w:rPr>
          <w:sz w:val="20"/>
        </w:rPr>
      </w:pPr>
    </w:p>
    <w:p w14:paraId="457C3C3D">
      <w:pPr>
        <w:pStyle w:val="5"/>
        <w:ind w:left="0"/>
        <w:rPr>
          <w:sz w:val="20"/>
        </w:rPr>
      </w:pPr>
    </w:p>
    <w:p w14:paraId="4FA886FE">
      <w:pPr>
        <w:pStyle w:val="5"/>
        <w:ind w:left="0"/>
        <w:rPr>
          <w:sz w:val="20"/>
        </w:rPr>
      </w:pPr>
    </w:p>
    <w:p w14:paraId="677E7BBE">
      <w:pPr>
        <w:pStyle w:val="5"/>
        <w:ind w:left="0"/>
        <w:rPr>
          <w:sz w:val="20"/>
        </w:rPr>
      </w:pPr>
    </w:p>
    <w:p w14:paraId="03E10187">
      <w:pPr>
        <w:pStyle w:val="5"/>
        <w:ind w:left="0"/>
        <w:rPr>
          <w:sz w:val="20"/>
        </w:rPr>
      </w:pPr>
    </w:p>
    <w:p w14:paraId="61AEAA53">
      <w:pPr>
        <w:pStyle w:val="5"/>
        <w:ind w:left="0"/>
        <w:rPr>
          <w:sz w:val="20"/>
        </w:rPr>
      </w:pPr>
    </w:p>
    <w:p w14:paraId="3C6ABCDB">
      <w:pPr>
        <w:pStyle w:val="5"/>
        <w:ind w:left="0"/>
        <w:rPr>
          <w:sz w:val="20"/>
        </w:rPr>
      </w:pPr>
    </w:p>
    <w:p w14:paraId="56E40D95">
      <w:pPr>
        <w:pStyle w:val="5"/>
        <w:ind w:left="0"/>
        <w:rPr>
          <w:sz w:val="20"/>
        </w:rPr>
      </w:pPr>
    </w:p>
    <w:p w14:paraId="65A80562">
      <w:pPr>
        <w:pStyle w:val="5"/>
        <w:ind w:left="0"/>
        <w:rPr>
          <w:sz w:val="20"/>
        </w:rPr>
      </w:pPr>
    </w:p>
    <w:p w14:paraId="5A9ECCA7">
      <w:pPr>
        <w:pStyle w:val="5"/>
        <w:ind w:left="0"/>
        <w:rPr>
          <w:sz w:val="20"/>
        </w:rPr>
      </w:pPr>
    </w:p>
    <w:p w14:paraId="41D99B0B">
      <w:pPr>
        <w:pStyle w:val="5"/>
        <w:ind w:left="0"/>
        <w:rPr>
          <w:sz w:val="20"/>
        </w:rPr>
      </w:pPr>
    </w:p>
    <w:p w14:paraId="11E194ED">
      <w:pPr>
        <w:pStyle w:val="5"/>
        <w:ind w:left="0"/>
        <w:rPr>
          <w:sz w:val="20"/>
        </w:rPr>
      </w:pPr>
    </w:p>
    <w:p w14:paraId="4A0CB7A2">
      <w:pPr>
        <w:pStyle w:val="5"/>
        <w:ind w:left="0"/>
        <w:rPr>
          <w:sz w:val="20"/>
        </w:rPr>
      </w:pPr>
    </w:p>
    <w:p w14:paraId="560441CC">
      <w:pPr>
        <w:pStyle w:val="5"/>
        <w:ind w:left="0"/>
        <w:rPr>
          <w:sz w:val="20"/>
        </w:rPr>
      </w:pPr>
    </w:p>
    <w:p w14:paraId="0AF592CB">
      <w:pPr>
        <w:pStyle w:val="5"/>
        <w:ind w:left="0"/>
        <w:rPr>
          <w:sz w:val="20"/>
        </w:rPr>
      </w:pPr>
    </w:p>
    <w:p w14:paraId="31840C83">
      <w:pPr>
        <w:pStyle w:val="5"/>
        <w:spacing w:before="6"/>
        <w:ind w:left="0"/>
        <w:rPr>
          <w:sz w:val="25"/>
        </w:rPr>
      </w:pPr>
    </w:p>
    <w:p w14:paraId="1C35FD37">
      <w:pPr>
        <w:pStyle w:val="3"/>
        <w:spacing w:before="62"/>
        <w:ind w:left="0" w:right="0"/>
        <w:rPr>
          <w:i w:val="0"/>
          <w:iCs w:val="0"/>
        </w:rPr>
      </w:pPr>
      <w:bookmarkStart w:id="108" w:name="第三节  积极培育文化产业，全力建设文化哈密"/>
      <w:bookmarkEnd w:id="108"/>
      <w:bookmarkStart w:id="109" w:name="_bookmark23"/>
      <w:bookmarkEnd w:id="109"/>
      <w:bookmarkStart w:id="110" w:name="_Toc20103"/>
      <w:bookmarkStart w:id="111" w:name="_Toc2051108350"/>
      <w:bookmarkStart w:id="112" w:name="_Toc1855363186"/>
      <w:bookmarkStart w:id="113" w:name="_Toc1167610653"/>
      <w:r>
        <w:rPr>
          <w:i w:val="0"/>
          <w:iCs w:val="0"/>
        </w:rPr>
        <w:t>第三</w:t>
      </w:r>
      <w:r>
        <w:rPr>
          <w:i w:val="0"/>
          <w:iCs w:val="0"/>
          <w:spacing w:val="24"/>
        </w:rPr>
        <w:t>节 积</w:t>
      </w:r>
      <w:r>
        <w:rPr>
          <w:i w:val="0"/>
          <w:iCs w:val="0"/>
        </w:rPr>
        <w:t>极培育文化产业，全力建设文化哈</w:t>
      </w:r>
      <w:r>
        <w:rPr>
          <w:i w:val="0"/>
          <w:iCs w:val="0"/>
          <w:spacing w:val="-10"/>
        </w:rPr>
        <w:t>密</w:t>
      </w:r>
      <w:bookmarkEnd w:id="110"/>
      <w:bookmarkEnd w:id="111"/>
      <w:bookmarkEnd w:id="112"/>
      <w:bookmarkEnd w:id="113"/>
    </w:p>
    <w:p w14:paraId="7AAE6D7F">
      <w:pPr>
        <w:pStyle w:val="5"/>
        <w:spacing w:before="4"/>
        <w:ind w:left="0"/>
        <w:rPr>
          <w:rFonts w:ascii="楷体_GB2312"/>
          <w:b/>
          <w:i/>
          <w:sz w:val="34"/>
        </w:rPr>
      </w:pPr>
    </w:p>
    <w:p w14:paraId="34433E2D">
      <w:pPr>
        <w:pStyle w:val="5"/>
        <w:adjustRightInd w:val="0"/>
        <w:snapToGrid w:val="0"/>
        <w:spacing w:before="0" w:line="363" w:lineRule="auto"/>
        <w:ind w:left="0" w:right="0" w:firstLine="528" w:firstLineChars="200"/>
        <w:jc w:val="both"/>
        <w:rPr>
          <w:spacing w:val="-2"/>
        </w:rPr>
      </w:pPr>
      <w:r>
        <w:rPr>
          <w:spacing w:val="-8"/>
          <w:w w:val="100"/>
        </w:rPr>
        <w:t>按照建设“文化哈密”的要求，培育区域性特色文化产业，充分</w:t>
      </w:r>
      <w:r>
        <w:rPr>
          <w:spacing w:val="-5"/>
          <w:w w:val="100"/>
        </w:rPr>
        <w:t>挖掘和利用现有文化资源，积极探索推进文化产业发展模式，突出打</w:t>
      </w:r>
      <w:r>
        <w:rPr>
          <w:spacing w:val="-15"/>
          <w:w w:val="100"/>
        </w:rPr>
        <w:t>造特色文化品牌，切实把文化优势转化为经济优势，以现代文化引领，</w:t>
      </w:r>
      <w:r>
        <w:rPr>
          <w:spacing w:val="6"/>
          <w:w w:val="100"/>
        </w:rPr>
        <w:t>把以爱国主义为核心的民族精神和以改革创新为核心的时代精神作</w:t>
      </w:r>
      <w:r>
        <w:rPr>
          <w:spacing w:val="-6"/>
          <w:w w:val="100"/>
        </w:rPr>
        <w:t>为基本内涵，努力形成爱国、感恩、勤劳、互助、开放、包容、进取</w:t>
      </w:r>
      <w:r>
        <w:rPr>
          <w:spacing w:val="-2"/>
        </w:rPr>
        <w:t>的精神，不断增强向心力和凝聚力，推进哈密大建设大开放大发展。</w:t>
      </w:r>
    </w:p>
    <w:p w14:paraId="50851C8C">
      <w:pPr>
        <w:pStyle w:val="5"/>
        <w:adjustRightInd w:val="0"/>
        <w:snapToGrid w:val="0"/>
        <w:spacing w:line="363" w:lineRule="auto"/>
        <w:ind w:left="0" w:right="0" w:firstLine="552" w:firstLineChars="200"/>
        <w:jc w:val="both"/>
      </w:pPr>
      <w:r>
        <w:rPr>
          <w:spacing w:val="-2"/>
        </w:rPr>
        <w:t>以现代文化为引领，发扬优秀历史文化传统，推进文化创新，彰显哈密品牌文化个性。积极推进文化</w:t>
      </w:r>
      <w:r>
        <w:rPr>
          <w:rFonts w:hint="eastAsia"/>
          <w:spacing w:val="-2"/>
          <w:lang w:eastAsia="zh-CN"/>
        </w:rPr>
        <w:t>与</w:t>
      </w:r>
      <w:r>
        <w:rPr>
          <w:spacing w:val="-2"/>
        </w:rPr>
        <w:t>经济社会发展相融合，以现代的、科学的、先进的文化全面引领地区经济社会发展，以文化力提升发展力，形成核心竞争力。提高哈密文化品位，充分挖掘民族文化和多元文化资源，培育具有时代特色、地方特色、民族特色的文化产业</w:t>
      </w:r>
      <w:r>
        <w:rPr>
          <w:spacing w:val="-6"/>
        </w:rPr>
        <w:t>体系，营造良好的社会人文环境，展示哈密文明、开放、活力、自信、</w:t>
      </w:r>
      <w:r>
        <w:rPr>
          <w:spacing w:val="-2"/>
        </w:rPr>
        <w:t>稳定、和谐的新形象。</w:t>
      </w:r>
    </w:p>
    <w:p w14:paraId="5477751E">
      <w:pPr>
        <w:pStyle w:val="5"/>
        <w:spacing w:line="363" w:lineRule="auto"/>
        <w:ind w:left="0" w:right="0" w:firstLine="552" w:firstLineChars="200"/>
      </w:pPr>
      <w:r>
        <w:rPr>
          <w:spacing w:val="-2"/>
        </w:rPr>
        <w:t>完善文化产业发展政策，鼓励非公有资本进入文化产业，扶持一批龙头文化企业，组建一批重点文化企业集团，培育一批重点文化产业功能区。加快特色文化“走出去、引进来”步伐，逐步将古伊州乐</w:t>
      </w:r>
      <w:r>
        <w:rPr>
          <w:spacing w:val="-4"/>
        </w:rPr>
        <w:t>舞、回王历史、哈</w:t>
      </w:r>
    </w:p>
    <w:p w14:paraId="6AD48034">
      <w:pPr>
        <w:spacing w:after="0" w:line="362" w:lineRule="auto"/>
        <w:sectPr>
          <w:pgSz w:w="11910" w:h="16840"/>
          <w:pgMar w:top="1500" w:right="1260" w:bottom="1180" w:left="1480" w:header="0" w:footer="993" w:gutter="0"/>
          <w:pgNumType w:fmt="decimal"/>
          <w:cols w:space="720" w:num="1"/>
        </w:sectPr>
      </w:pPr>
    </w:p>
    <w:p w14:paraId="061148AE">
      <w:pPr>
        <w:pStyle w:val="5"/>
        <w:spacing w:line="363" w:lineRule="auto"/>
        <w:ind w:left="0" w:right="0" w:firstLine="0" w:firstLineChars="0"/>
        <w:jc w:val="both"/>
      </w:pPr>
      <w:r>
        <w:rPr>
          <w:spacing w:val="-4"/>
        </w:rPr>
        <w:t xml:space="preserve">密瓜、巴里坤汉文化、伊吾 </w:t>
      </w:r>
      <w:r>
        <w:t>40</w:t>
      </w:r>
      <w:r>
        <w:rPr>
          <w:spacing w:val="-9"/>
        </w:rPr>
        <w:t xml:space="preserve"> 天保卫战、西路军进</w:t>
      </w:r>
      <w:r>
        <w:rPr>
          <w:spacing w:val="-2"/>
        </w:rPr>
        <w:t>疆、西部大开发、优势资源转换等历史文化资源和现代题材，以</w:t>
      </w:r>
      <w:r>
        <w:rPr>
          <w:spacing w:val="-6"/>
        </w:rPr>
        <w:t>歌舞剧、话剧、电视剧、电影等戏剧和纪实文学形式搬上荧屏和舞台，</w:t>
      </w:r>
      <w:r>
        <w:rPr>
          <w:spacing w:val="-2"/>
        </w:rPr>
        <w:t>创作生产更多更好适应各族群众需求的优秀文化产品，打造在新疆乃</w:t>
      </w:r>
      <w:r>
        <w:rPr>
          <w:spacing w:val="-11"/>
        </w:rPr>
        <w:t>至全国都有影响力的“特色文化品牌”。</w:t>
      </w:r>
    </w:p>
    <w:p w14:paraId="459877E0">
      <w:pPr>
        <w:pStyle w:val="5"/>
        <w:spacing w:line="363" w:lineRule="auto"/>
        <w:ind w:left="0" w:right="0" w:firstLine="552" w:firstLineChars="200"/>
        <w:jc w:val="both"/>
      </w:pPr>
      <w:r>
        <w:rPr>
          <w:spacing w:val="-2"/>
        </w:rPr>
        <w:t>积极培育发展新闻出版、影像制品、民族工艺、奇石文化、演艺娱乐、体育竞技、文化旅游、动漫游戏、网络文化等文化创意产业。鼓励发展大众文化娱乐、营业性演出等文化经营活动。鼓励发展特色手工业，将民族手工艺品推向市场。积极举办各类大型展览和艺术品拍卖，发展艺术品展览业。加强体育经营设施、俱乐部和经营人才队伍建设，开发体育健身、休闲和竞赛表演市场，形成以健身服务、竞赛表演、体育彩票、体育用品、体育培训和对外交流为主要内容的体育营销体系。</w:t>
      </w:r>
    </w:p>
    <w:p w14:paraId="01F85DA0">
      <w:pPr>
        <w:pStyle w:val="5"/>
        <w:spacing w:before="0" w:line="363" w:lineRule="auto"/>
        <w:ind w:left="0" w:right="0" w:firstLine="524" w:firstLineChars="200"/>
        <w:jc w:val="both"/>
      </w:pPr>
      <w:r>
        <w:rPr>
          <w:spacing w:val="-9"/>
        </w:rPr>
        <w:t>建立健全依法经营、违法必究、公平交易、诚实守信的市场秩序，</w:t>
      </w:r>
      <w:r>
        <w:rPr>
          <w:spacing w:val="-6"/>
        </w:rPr>
        <w:t>创造公开、公平、公正的市场竞争环境，形成文化市场管理长效机制，</w:t>
      </w:r>
      <w:r>
        <w:rPr>
          <w:spacing w:val="-2"/>
        </w:rPr>
        <w:t>进一步规范和完善文化娱乐市场，把市场经济的机制有效移植到文化产业机制中，基本建成与经济社会发展水平相适应、具有哈密特色的</w:t>
      </w:r>
      <w:r>
        <w:rPr>
          <w:spacing w:val="-15"/>
        </w:rPr>
        <w:t>文化产业体系，形成以公有制为主体、多种所有制文化企业有序竞争、</w:t>
      </w:r>
      <w:r>
        <w:rPr>
          <w:spacing w:val="-2"/>
        </w:rPr>
        <w:t>共同发展的文化产业发展格局。</w:t>
      </w:r>
    </w:p>
    <w:p w14:paraId="178B57C5">
      <w:pPr>
        <w:pStyle w:val="5"/>
        <w:spacing w:before="0" w:line="363" w:lineRule="auto"/>
        <w:ind w:left="0" w:firstLine="618" w:firstLineChars="300"/>
        <w:jc w:val="both"/>
      </w:pPr>
      <w:r>
        <w:rPr>
          <w:spacing w:val="-37"/>
        </w:rPr>
        <w:t xml:space="preserve">到 </w:t>
      </w:r>
      <w:r>
        <w:rPr>
          <w:spacing w:val="-4"/>
        </w:rPr>
        <w:t>2015</w:t>
      </w:r>
      <w:r>
        <w:rPr>
          <w:spacing w:val="-17"/>
        </w:rPr>
        <w:t xml:space="preserve"> 年，文化产业年均增长速度达到 </w:t>
      </w:r>
      <w:r>
        <w:rPr>
          <w:spacing w:val="-4"/>
        </w:rPr>
        <w:t>18%</w:t>
      </w:r>
      <w:r>
        <w:rPr>
          <w:spacing w:val="-5"/>
        </w:rPr>
        <w:t>以上，城乡居民人均</w:t>
      </w:r>
      <w:r>
        <w:rPr>
          <w:spacing w:val="-6"/>
        </w:rPr>
        <w:t xml:space="preserve">文化体育服务消费支出占整个消费支出的 </w:t>
      </w:r>
      <w:r>
        <w:rPr>
          <w:spacing w:val="-2"/>
        </w:rPr>
        <w:t>5</w:t>
      </w:r>
      <w:r>
        <w:rPr>
          <w:spacing w:val="-4"/>
        </w:rPr>
        <w:t>%以上。</w:t>
      </w:r>
    </w:p>
    <w:p w14:paraId="57196384">
      <w:pPr>
        <w:pStyle w:val="5"/>
        <w:spacing w:line="345" w:lineRule="exact"/>
        <w:ind w:left="780"/>
      </w:pPr>
    </w:p>
    <w:p w14:paraId="32351381">
      <w:pPr>
        <w:pStyle w:val="3"/>
        <w:ind w:left="0" w:right="0"/>
        <w:rPr>
          <w:i w:val="0"/>
          <w:iCs w:val="0"/>
        </w:rPr>
      </w:pPr>
      <w:bookmarkStart w:id="114" w:name="_Toc1087115545"/>
      <w:bookmarkStart w:id="115" w:name="_Toc1566700410"/>
      <w:bookmarkStart w:id="116" w:name="_Toc23907"/>
      <w:r>
        <w:rPr>
          <w:i w:val="0"/>
          <w:iCs w:val="0"/>
        </w:rPr>
        <w:t>第四</w:t>
      </w:r>
      <w:r>
        <w:rPr>
          <w:i w:val="0"/>
          <w:iCs w:val="0"/>
          <w:spacing w:val="21"/>
        </w:rPr>
        <w:t>节 大</w:t>
      </w:r>
      <w:r>
        <w:rPr>
          <w:i w:val="0"/>
          <w:iCs w:val="0"/>
        </w:rPr>
        <w:t>力发展保障性住房，严格规范房地产发</w:t>
      </w:r>
      <w:r>
        <w:rPr>
          <w:i w:val="0"/>
          <w:iCs w:val="0"/>
          <w:spacing w:val="-10"/>
        </w:rPr>
        <w:t>展</w:t>
      </w:r>
      <w:bookmarkEnd w:id="114"/>
      <w:bookmarkEnd w:id="115"/>
      <w:bookmarkEnd w:id="116"/>
    </w:p>
    <w:p w14:paraId="21BBEBD6">
      <w:pPr>
        <w:pStyle w:val="5"/>
        <w:spacing w:before="12"/>
        <w:ind w:left="0"/>
        <w:rPr>
          <w:rFonts w:ascii="楷体_GB2312"/>
          <w:b/>
          <w:i/>
          <w:sz w:val="31"/>
        </w:rPr>
      </w:pPr>
    </w:p>
    <w:p w14:paraId="2FF5F87B">
      <w:pPr>
        <w:pStyle w:val="5"/>
        <w:spacing w:line="363" w:lineRule="auto"/>
        <w:ind w:left="0" w:right="0" w:firstLine="564" w:firstLineChars="200"/>
        <w:jc w:val="both"/>
      </w:pPr>
      <w:r>
        <w:rPr>
          <w:spacing w:val="1"/>
          <w:w w:val="100"/>
        </w:rPr>
        <w:t>按照国家、自治区房地产业发展的政策措施，增强税收、信贷、</w:t>
      </w:r>
      <w:r>
        <w:rPr>
          <w:spacing w:val="-6"/>
          <w:w w:val="100"/>
        </w:rPr>
        <w:t>规划及土地的引导和调控作用，加大廉租房、公共租赁住房建设及棚</w:t>
      </w:r>
      <w:r>
        <w:rPr>
          <w:spacing w:val="-8"/>
          <w:w w:val="100"/>
        </w:rPr>
        <w:t>户区改造力度，积极发展经济适用房，增加普通商品房供给，满足城</w:t>
      </w:r>
      <w:r>
        <w:rPr>
          <w:spacing w:val="1"/>
          <w:w w:val="100"/>
        </w:rPr>
        <w:t>乡居民的住房需求。</w:t>
      </w:r>
    </w:p>
    <w:p w14:paraId="57667EA6">
      <w:pPr>
        <w:spacing w:after="0" w:line="363" w:lineRule="auto"/>
        <w:ind w:firstLine="536" w:firstLineChars="200"/>
        <w:jc w:val="both"/>
        <w:rPr>
          <w:spacing w:val="-6"/>
          <w:sz w:val="28"/>
          <w:szCs w:val="28"/>
        </w:rPr>
        <w:sectPr>
          <w:pgSz w:w="11910" w:h="16840"/>
          <w:pgMar w:top="1540" w:right="1260" w:bottom="1180" w:left="1480" w:header="0" w:footer="993" w:gutter="0"/>
          <w:pgNumType w:fmt="decimal"/>
          <w:cols w:space="720" w:num="1"/>
        </w:sectPr>
      </w:pPr>
      <w:r>
        <w:rPr>
          <w:spacing w:val="-6"/>
          <w:sz w:val="28"/>
          <w:szCs w:val="28"/>
        </w:rPr>
        <w:t>建立健全城乡住房保障体系。认真落实国家、自治区和地区出台的各项优惠政策，切实保障土地供应，统建和配建相结合，有序开发，规范管理。</w:t>
      </w:r>
    </w:p>
    <w:p w14:paraId="354D70ED">
      <w:pPr>
        <w:pStyle w:val="5"/>
        <w:spacing w:before="0" w:line="363" w:lineRule="auto"/>
        <w:ind w:left="0" w:right="0" w:firstLine="0" w:firstLineChars="0"/>
        <w:jc w:val="both"/>
      </w:pPr>
      <w:r>
        <w:rPr>
          <w:spacing w:val="-2"/>
        </w:rPr>
        <w:t>强化政府责任，调动各方面力量，加大保障性安居工程建设力度。通过大力建设廉租住房、因地制宜发展经济适用住房，切实解决城市低保、低收入家庭住房困难问题；通过实施棚户区改造，改善城市和工矿棚户区的住房条件；通过发展公共租赁住房，解决城镇 “夹心层”群体住房困难问题；通过全面实施农村“安居富民、定居兴牧”工程，彻底改善农牧民住房条件和居住环境。</w:t>
      </w:r>
    </w:p>
    <w:p w14:paraId="35724B40">
      <w:pPr>
        <w:pStyle w:val="5"/>
        <w:spacing w:before="0" w:line="363" w:lineRule="auto"/>
        <w:ind w:left="0" w:right="0" w:firstLine="552" w:firstLineChars="200"/>
        <w:jc w:val="both"/>
      </w:pPr>
      <w:r>
        <w:rPr>
          <w:spacing w:val="-2"/>
        </w:rPr>
        <w:t>优化商品房结构，促进商品房健康有序发展，完善住房市场供应体系，增加普通商品房供给。进一步加大房地产市场监管力度，严格依法查处土地闲置及炒地行为，继续整顿规范</w:t>
      </w:r>
      <w:r>
        <w:rPr>
          <w:rFonts w:hint="eastAsia"/>
          <w:spacing w:val="-2"/>
          <w:lang w:eastAsia="zh-CN"/>
        </w:rPr>
        <w:t>房</w:t>
      </w:r>
      <w:r>
        <w:rPr>
          <w:spacing w:val="-2"/>
        </w:rPr>
        <w:t>地产市场秩序，规范发展租赁市场，完善房地产市场体系和信息披露制度，切实稳定房地产市场价格，满足居民合理住房需求，促进房地产市场健康发展。</w:t>
      </w:r>
    </w:p>
    <w:p w14:paraId="6F889CDA">
      <w:pPr>
        <w:pStyle w:val="5"/>
        <w:spacing w:before="0" w:line="363" w:lineRule="auto"/>
        <w:ind w:left="0" w:firstLine="552" w:firstLineChars="200"/>
        <w:jc w:val="both"/>
        <w:rPr>
          <w:spacing w:val="-2"/>
        </w:rPr>
      </w:pPr>
      <w:r>
        <w:rPr>
          <w:spacing w:val="-2"/>
        </w:rPr>
        <w:t>到 2015 年，通过房地产开发企业代建、政府投资新建等方式建设廉租房 7700 套，新建公共租赁住房 6831 套，完成棚户区改造 7164 户，在县（市）城镇和乡（镇）分期规划建设周转安置房 3000 套，安居富民 30880 套，定居兴牧 4830 套。</w:t>
      </w:r>
    </w:p>
    <w:p w14:paraId="65D41528">
      <w:pPr>
        <w:pStyle w:val="5"/>
        <w:spacing w:before="11"/>
        <w:ind w:left="0"/>
        <w:rPr>
          <w:sz w:val="24"/>
        </w:rPr>
      </w:pPr>
    </w:p>
    <w:p w14:paraId="5155432B">
      <w:pPr>
        <w:pStyle w:val="3"/>
        <w:ind w:left="0" w:right="0"/>
        <w:rPr>
          <w:i w:val="0"/>
          <w:iCs w:val="0"/>
        </w:rPr>
      </w:pPr>
      <w:bookmarkStart w:id="117" w:name="_Toc1987418632"/>
      <w:bookmarkStart w:id="118" w:name="_Toc1611"/>
      <w:bookmarkStart w:id="119" w:name="_Toc38404338"/>
      <w:r>
        <w:rPr>
          <w:i w:val="0"/>
          <w:iCs w:val="0"/>
        </w:rPr>
        <w:t>第</w:t>
      </w:r>
      <w:r>
        <w:rPr>
          <w:rFonts w:hint="eastAsia"/>
          <w:i w:val="0"/>
          <w:iCs w:val="0"/>
          <w:lang w:eastAsia="zh-CN"/>
        </w:rPr>
        <w:t>五</w:t>
      </w:r>
      <w:r>
        <w:rPr>
          <w:i w:val="0"/>
          <w:iCs w:val="0"/>
          <w:spacing w:val="24"/>
        </w:rPr>
        <w:t>节 完</w:t>
      </w:r>
      <w:r>
        <w:rPr>
          <w:i w:val="0"/>
          <w:iCs w:val="0"/>
        </w:rPr>
        <w:t>善现代服务体系，提高服务业综合水</w:t>
      </w:r>
      <w:r>
        <w:rPr>
          <w:i w:val="0"/>
          <w:iCs w:val="0"/>
          <w:spacing w:val="-10"/>
        </w:rPr>
        <w:t>平</w:t>
      </w:r>
      <w:bookmarkEnd w:id="117"/>
      <w:bookmarkEnd w:id="118"/>
      <w:bookmarkEnd w:id="119"/>
    </w:p>
    <w:p w14:paraId="7A3A8CC9">
      <w:pPr>
        <w:pStyle w:val="5"/>
        <w:spacing w:before="12"/>
        <w:ind w:left="0"/>
        <w:rPr>
          <w:rFonts w:ascii="楷体_GB2312"/>
          <w:b/>
          <w:i/>
          <w:sz w:val="31"/>
        </w:rPr>
      </w:pPr>
    </w:p>
    <w:p w14:paraId="2A39DBD2">
      <w:pPr>
        <w:pStyle w:val="5"/>
        <w:spacing w:line="363" w:lineRule="auto"/>
        <w:ind w:left="0" w:right="0" w:firstLine="552" w:firstLineChars="200"/>
        <w:jc w:val="both"/>
      </w:pPr>
      <w:r>
        <w:rPr>
          <w:spacing w:val="-2"/>
        </w:rPr>
        <w:t>坚持把促进服务业大发展作为推进新型工业化、新型城镇化、农牧业现代化的重要保障，以市场化、产业化和社会化为方向，大力发展生产、生活性服务业。不断拓展现代服务业的发展空间，鼓励发展信息、金融、保险、法律、节能等现代服务业，加快发展托幼养老、家政服务、职业介绍等社区服务业，积极发展文化娱乐、体育健身等休闲产业，在发展经济、扩大就业的同时，最大限度地满足人民群众对社会服务的消费需求。</w:t>
      </w:r>
    </w:p>
    <w:p w14:paraId="53E2E4BC">
      <w:pPr>
        <w:pStyle w:val="5"/>
        <w:spacing w:before="0" w:line="363" w:lineRule="auto"/>
        <w:ind w:left="0" w:right="0" w:firstLine="508" w:firstLineChars="200"/>
        <w:jc w:val="both"/>
      </w:pPr>
      <w:r>
        <w:rPr>
          <w:spacing w:val="-13"/>
        </w:rPr>
        <w:t>以哈密市为主体，建设商品集散枢纽与消费中心，规范现有批发、</w:t>
      </w:r>
      <w:r>
        <w:rPr>
          <w:spacing w:val="-2"/>
        </w:rPr>
        <w:t>零售市场，大力推动便利店、专业店等新兴商贸业态发展，依托小城镇形成城乡商品汇集与交流的集散中心。</w:t>
      </w:r>
    </w:p>
    <w:p w14:paraId="0EA275CD">
      <w:pPr>
        <w:spacing w:after="0" w:line="350" w:lineRule="exact"/>
        <w:jc w:val="both"/>
        <w:rPr>
          <w:sz w:val="28"/>
          <w:szCs w:val="28"/>
        </w:rPr>
        <w:sectPr>
          <w:pgSz w:w="11910" w:h="16840"/>
          <w:pgMar w:top="1540" w:right="1260" w:bottom="1180" w:left="1480" w:header="0" w:footer="993" w:gutter="0"/>
          <w:pgNumType w:fmt="decimal"/>
          <w:cols w:space="720" w:num="1"/>
        </w:sectPr>
      </w:pPr>
    </w:p>
    <w:p w14:paraId="2AFED3AB">
      <w:pPr>
        <w:pStyle w:val="5"/>
        <w:spacing w:line="363" w:lineRule="auto"/>
        <w:ind w:left="0" w:right="0" w:firstLine="552" w:firstLineChars="200"/>
        <w:jc w:val="both"/>
        <w:rPr>
          <w:spacing w:val="-2"/>
        </w:rPr>
      </w:pPr>
      <w:r>
        <w:rPr>
          <w:spacing w:val="-2"/>
        </w:rPr>
        <w:t>完善社区服务功能，加快社区商业网点建设，发展社区卫生、文化娱乐、家政保洁、养老托幼、食品配送等便民服务，满足城镇多层次的消费需求。加强社区管理，推进社区服务规范化和网络化建设。</w:t>
      </w:r>
    </w:p>
    <w:p w14:paraId="45A211F5">
      <w:pPr>
        <w:pStyle w:val="5"/>
        <w:spacing w:line="363" w:lineRule="auto"/>
        <w:ind w:left="0" w:right="0" w:firstLine="552" w:firstLineChars="200"/>
        <w:jc w:val="both"/>
      </w:pPr>
      <w:r>
        <w:rPr>
          <w:spacing w:val="-2"/>
        </w:rPr>
        <w:t>积极发展金融保险业，鼓励各商业银行完善服务功能，鼓励和支持银行机构在偏远地区设立服务网点，力争三年内实现乡镇基础金融服务全覆盖。围绕保障性住房和中小企业发展，积极探索在哈密建立保障性住房和中小企业的融资平台。加快发展保险业，推进保险市场主体多元化，规范发展保险中介机构服务，提高农业保险覆盖面。</w:t>
      </w:r>
    </w:p>
    <w:p w14:paraId="2A10E2EB">
      <w:pPr>
        <w:pStyle w:val="5"/>
        <w:spacing w:before="0" w:line="363" w:lineRule="auto"/>
        <w:ind w:left="0" w:right="0" w:firstLine="552" w:firstLineChars="200"/>
        <w:jc w:val="both"/>
        <w:rPr>
          <w:spacing w:val="-2"/>
        </w:rPr>
      </w:pPr>
      <w:r>
        <w:rPr>
          <w:spacing w:val="-2"/>
        </w:rPr>
        <w:t>拓展和规范法律、会计、审计、税务、评估等中介服务业，积极培育和发展投资顾问、广告、形象设计、策划、市场研究等咨询服务业。</w:t>
      </w:r>
    </w:p>
    <w:p w14:paraId="0B0757FC">
      <w:pPr>
        <w:pStyle w:val="5"/>
        <w:spacing w:before="0" w:line="363" w:lineRule="auto"/>
        <w:ind w:left="0" w:right="0" w:firstLine="552" w:firstLineChars="200"/>
        <w:jc w:val="both"/>
        <w:rPr>
          <w:spacing w:val="-2"/>
        </w:rPr>
      </w:pPr>
      <w:r>
        <w:rPr>
          <w:spacing w:val="-2"/>
        </w:rPr>
        <w:t>加快现代信息服务建设，开展电子商务工程、电子政务信息系统、科教信息系统、空间信息工程、劳动社会保障系统的建设。</w:t>
      </w:r>
    </w:p>
    <w:p w14:paraId="44A1B3C6">
      <w:pPr>
        <w:pStyle w:val="5"/>
        <w:ind w:left="0"/>
      </w:pPr>
    </w:p>
    <w:p w14:paraId="6BB31A4C">
      <w:pPr>
        <w:pStyle w:val="5"/>
        <w:spacing w:before="7"/>
        <w:ind w:left="0"/>
        <w:rPr>
          <w:sz w:val="23"/>
        </w:rPr>
      </w:pPr>
    </w:p>
    <w:p w14:paraId="53020766">
      <w:pPr>
        <w:pStyle w:val="2"/>
        <w:tabs>
          <w:tab w:val="left" w:pos="1199"/>
        </w:tabs>
        <w:ind w:right="0"/>
      </w:pPr>
      <w:bookmarkStart w:id="120" w:name="_Toc209810267"/>
      <w:bookmarkStart w:id="121" w:name="_Toc19472"/>
      <w:bookmarkStart w:id="122" w:name="_Toc1211569343"/>
      <w:r>
        <w:t>第六</w:t>
      </w:r>
      <w:r>
        <w:rPr>
          <w:spacing w:val="-10"/>
        </w:rPr>
        <w:t>章</w:t>
      </w:r>
      <w:r>
        <w:tab/>
      </w:r>
      <w:r>
        <w:t>推进新型城镇化进程，促进城乡统筹发</w:t>
      </w:r>
      <w:r>
        <w:rPr>
          <w:spacing w:val="-10"/>
        </w:rPr>
        <w:t>展</w:t>
      </w:r>
      <w:bookmarkEnd w:id="120"/>
      <w:bookmarkEnd w:id="121"/>
      <w:bookmarkEnd w:id="122"/>
    </w:p>
    <w:p w14:paraId="29783100">
      <w:pPr>
        <w:pStyle w:val="5"/>
        <w:spacing w:before="4"/>
        <w:ind w:left="0"/>
        <w:rPr>
          <w:rFonts w:ascii="黑体"/>
          <w:sz w:val="33"/>
        </w:rPr>
      </w:pPr>
    </w:p>
    <w:p w14:paraId="30BF9440">
      <w:pPr>
        <w:pStyle w:val="5"/>
        <w:spacing w:before="0" w:line="363" w:lineRule="auto"/>
        <w:ind w:left="0" w:right="0" w:firstLine="552" w:firstLineChars="200"/>
        <w:jc w:val="both"/>
      </w:pPr>
      <w:r>
        <w:rPr>
          <w:spacing w:val="-2"/>
        </w:rPr>
        <w:t>加快推进新型城镇化进程，构建合理的城镇体系，发挥中心城市的带动作用，重视小城镇和新农村建设，提高城镇综合承载能力，优化人居环境，促进城乡统筹协调发展，率先实现新型城镇化。启动并积极推进撤地改市。</w:t>
      </w:r>
    </w:p>
    <w:p w14:paraId="67AD033B">
      <w:pPr>
        <w:pStyle w:val="3"/>
        <w:spacing w:before="130"/>
        <w:ind w:left="0" w:right="0"/>
        <w:rPr>
          <w:i w:val="0"/>
          <w:iCs w:val="0"/>
        </w:rPr>
      </w:pPr>
      <w:bookmarkStart w:id="123" w:name="_Toc1099806846"/>
      <w:bookmarkStart w:id="124" w:name="_Toc13943"/>
      <w:bookmarkStart w:id="125" w:name="_Toc785988147"/>
      <w:r>
        <w:rPr>
          <w:i w:val="0"/>
          <w:iCs w:val="0"/>
        </w:rPr>
        <w:t>第一</w:t>
      </w:r>
      <w:r>
        <w:rPr>
          <w:i w:val="0"/>
          <w:iCs w:val="0"/>
          <w:spacing w:val="26"/>
        </w:rPr>
        <w:t>节 加</w:t>
      </w:r>
      <w:r>
        <w:rPr>
          <w:i w:val="0"/>
          <w:iCs w:val="0"/>
        </w:rPr>
        <w:t>快城镇化进程，构建合理城镇体</w:t>
      </w:r>
      <w:r>
        <w:rPr>
          <w:i w:val="0"/>
          <w:iCs w:val="0"/>
          <w:spacing w:val="-10"/>
        </w:rPr>
        <w:t>系</w:t>
      </w:r>
      <w:bookmarkEnd w:id="123"/>
      <w:bookmarkEnd w:id="124"/>
      <w:bookmarkEnd w:id="125"/>
    </w:p>
    <w:p w14:paraId="405FB9C0">
      <w:pPr>
        <w:pStyle w:val="5"/>
        <w:spacing w:before="4"/>
        <w:ind w:left="0"/>
        <w:rPr>
          <w:rFonts w:ascii="楷体_GB2312"/>
          <w:b/>
          <w:i/>
          <w:sz w:val="34"/>
        </w:rPr>
      </w:pPr>
    </w:p>
    <w:p w14:paraId="34F0919E">
      <w:pPr>
        <w:pStyle w:val="5"/>
        <w:spacing w:line="363" w:lineRule="auto"/>
        <w:ind w:left="0" w:right="0" w:firstLine="552" w:firstLineChars="200"/>
        <w:jc w:val="both"/>
      </w:pPr>
      <w:r>
        <w:rPr>
          <w:spacing w:val="-2"/>
        </w:rPr>
        <w:t>坚持以人为本、规划先行、产业支撑、统筹兼顾的原则，以发展优势产业、培育新的经济增长点为抓手，以基础设施建设为切入点，充分体现现代文化、历史文化、地域特色，增强中心城镇集聚辐射功能，积极发展各具特色小城镇，提高城市承载和增加就业的能力，构建布局合理、特色鲜明、优势互补、支撑功能强大的城镇格局，全面提高城镇建设的整体水平，在全疆率先实现新型城镇化。</w:t>
      </w:r>
    </w:p>
    <w:p w14:paraId="2F952927">
      <w:pPr>
        <w:spacing w:after="0" w:line="362" w:lineRule="auto"/>
        <w:jc w:val="both"/>
        <w:sectPr>
          <w:pgSz w:w="11910" w:h="16840"/>
          <w:pgMar w:top="1540" w:right="1260" w:bottom="1180" w:left="1480" w:header="0" w:footer="993" w:gutter="0"/>
          <w:pgNumType w:fmt="decimal"/>
          <w:cols w:space="720" w:num="1"/>
        </w:sectPr>
      </w:pPr>
    </w:p>
    <w:p w14:paraId="0A555FB7">
      <w:pPr>
        <w:pStyle w:val="5"/>
        <w:spacing w:line="363" w:lineRule="auto"/>
        <w:ind w:left="0" w:right="0" w:firstLine="552" w:firstLineChars="200"/>
        <w:jc w:val="both"/>
        <w:rPr>
          <w:spacing w:val="-2"/>
        </w:rPr>
      </w:pPr>
      <w:r>
        <w:rPr>
          <w:spacing w:val="-2"/>
        </w:rPr>
        <w:t>构建合理的城镇体系。逐步建立以哈密市为中心，以巴里坤镇和伊吾镇、三道岭为副中心的城镇体系格局。“十二五”期间，积极推进哈密市五堡乡、陶家宫乡、大泉湾乡、花园乡、白石头乡，巴里坤县三塘湖乡，伊吾县盐池乡撤乡设镇。</w:t>
      </w:r>
    </w:p>
    <w:p w14:paraId="13BD042E">
      <w:pPr>
        <w:pStyle w:val="3"/>
        <w:spacing w:before="120"/>
        <w:ind w:left="0" w:right="0"/>
        <w:rPr>
          <w:i w:val="0"/>
          <w:iCs w:val="0"/>
        </w:rPr>
      </w:pPr>
      <w:bookmarkStart w:id="126" w:name="_bookmark28"/>
      <w:bookmarkEnd w:id="126"/>
      <w:bookmarkStart w:id="127" w:name="第二节  强化中心城市功能，发挥集聚扩散作用"/>
      <w:bookmarkEnd w:id="127"/>
      <w:bookmarkStart w:id="128" w:name="_Toc3212"/>
      <w:bookmarkStart w:id="129" w:name="_Toc297570393"/>
      <w:bookmarkStart w:id="130" w:name="_Toc757024855"/>
      <w:bookmarkStart w:id="131" w:name="_Toc2100271934"/>
      <w:r>
        <w:rPr>
          <w:i w:val="0"/>
          <w:iCs w:val="0"/>
        </w:rPr>
        <w:t>第二</w:t>
      </w:r>
      <w:r>
        <w:rPr>
          <w:i w:val="0"/>
          <w:iCs w:val="0"/>
          <w:spacing w:val="24"/>
        </w:rPr>
        <w:t>节 强</w:t>
      </w:r>
      <w:r>
        <w:rPr>
          <w:i w:val="0"/>
          <w:iCs w:val="0"/>
        </w:rPr>
        <w:t>化中心城市功能，发挥集聚扩散作</w:t>
      </w:r>
      <w:r>
        <w:rPr>
          <w:i w:val="0"/>
          <w:iCs w:val="0"/>
          <w:spacing w:val="-10"/>
        </w:rPr>
        <w:t>用</w:t>
      </w:r>
      <w:bookmarkEnd w:id="128"/>
      <w:bookmarkEnd w:id="129"/>
      <w:bookmarkEnd w:id="130"/>
      <w:bookmarkEnd w:id="131"/>
    </w:p>
    <w:p w14:paraId="17370090">
      <w:pPr>
        <w:pStyle w:val="5"/>
        <w:spacing w:before="5"/>
        <w:ind w:left="0"/>
        <w:rPr>
          <w:rFonts w:ascii="楷体_GB2312"/>
          <w:b/>
          <w:i/>
          <w:sz w:val="34"/>
        </w:rPr>
      </w:pPr>
    </w:p>
    <w:p w14:paraId="2F44FCF3">
      <w:pPr>
        <w:pStyle w:val="5"/>
        <w:spacing w:line="363" w:lineRule="auto"/>
        <w:ind w:left="0" w:right="0" w:firstLine="552" w:firstLineChars="200"/>
        <w:jc w:val="both"/>
        <w:rPr>
          <w:spacing w:val="-2"/>
        </w:rPr>
      </w:pPr>
      <w:r>
        <w:rPr>
          <w:spacing w:val="-2"/>
        </w:rPr>
        <w:t>积极推进撤地改市，发挥区域中心城市在地区经济发展中的辐射带动作用。撤销哈密地区建制和县级哈密市，设立地级哈密市，新设地级哈密市辖两区、两县，即伊州区、三道岭区和巴里坤县、伊吾县。</w:t>
      </w:r>
    </w:p>
    <w:p w14:paraId="56124E44">
      <w:pPr>
        <w:pStyle w:val="5"/>
        <w:spacing w:before="0" w:line="363" w:lineRule="auto"/>
        <w:ind w:left="0" w:right="0" w:firstLine="552" w:firstLineChars="200"/>
        <w:jc w:val="both"/>
      </w:pPr>
      <w:r>
        <w:rPr>
          <w:spacing w:val="-2"/>
        </w:rPr>
        <w:t>进一步突出哈密市在新疆东部区域开发中的引领作用，加强哈密市建设。按照“西进、北拓”的发展方向，实施区域统筹规划，稳妥推进老城区改造，适度超前规划建设新城区，着力拓展城市空间，增强城市聚集辐射功能，做大城市规模、做强经济实力、提升城市发展水平。充分发挥哈密市在经济、科技、文化、社会等各个方面优势，有效带动地区资源开发、旅游业、物流业发展，促进区域经济与社会协调发展。加强哈密市基础设施、市政设施和商业环境建设，建设宜居环境，提升城市综合服务功能和吸纳就业能力。从多方融合发展的需要出发，推动</w:t>
      </w:r>
      <w:r>
        <w:rPr>
          <w:rFonts w:hint="default"/>
          <w:spacing w:val="-2"/>
          <w:lang w:eastAsia="zh-CN"/>
        </w:rPr>
        <w:t>新疆生产建设兵团</w:t>
      </w:r>
      <w:r>
        <w:rPr>
          <w:spacing w:val="-2"/>
        </w:rPr>
        <w:t>农十三师大营房区与哈密城区的协调统一发展。到 2015 年，把哈密市建成城市人口 50 万以上的中国西部明珠城市，建设成为国家最佳旅游城市、新疆综合交通枢纽城市、新型工业化城市和东疆有影响力的中心城市。</w:t>
      </w:r>
    </w:p>
    <w:p w14:paraId="46D5A9E3">
      <w:pPr>
        <w:pStyle w:val="5"/>
        <w:spacing w:before="0" w:line="363" w:lineRule="auto"/>
        <w:ind w:left="0" w:right="0" w:firstLine="552" w:firstLineChars="200"/>
        <w:jc w:val="both"/>
        <w:rPr>
          <w:spacing w:val="-2"/>
        </w:rPr>
      </w:pPr>
      <w:r>
        <w:rPr>
          <w:spacing w:val="-2"/>
        </w:rPr>
        <w:t>重点支持巴里坤</w:t>
      </w:r>
      <w:r>
        <w:rPr>
          <w:rFonts w:hint="default"/>
          <w:spacing w:val="-2"/>
          <w:lang w:eastAsia="zh-CN"/>
        </w:rPr>
        <w:t>县</w:t>
      </w:r>
      <w:r>
        <w:rPr>
          <w:spacing w:val="-2"/>
        </w:rPr>
        <w:t>、伊吾县城及三道岭区，按照高标准的小城市进行规划建设。把巴里坤县逐步建设成为新疆草原生态城市、文化旅游城市和地区副中心城市，县域经济进入或达到全疆中等发展水平；伊吾县逐步建设成为全疆的休闲度假旅游城市、山水生态宜居城市以及地区副中心城市，成为新疆首富县，率先进入全国“百强县”；三道岭区逐步建设为地级哈密市的西部工业区。</w:t>
      </w:r>
    </w:p>
    <w:p w14:paraId="371A146D">
      <w:pPr>
        <w:spacing w:after="0" w:line="362" w:lineRule="auto"/>
        <w:jc w:val="both"/>
        <w:sectPr>
          <w:pgSz w:w="11910" w:h="16840"/>
          <w:pgMar w:top="1540" w:right="1260" w:bottom="1180" w:left="1480" w:header="0" w:footer="993" w:gutter="0"/>
          <w:pgNumType w:fmt="decimal"/>
          <w:cols w:space="720" w:num="1"/>
        </w:sectPr>
      </w:pPr>
    </w:p>
    <w:p w14:paraId="02D0B018">
      <w:pPr>
        <w:pStyle w:val="3"/>
        <w:spacing w:before="128"/>
        <w:ind w:left="0" w:right="0"/>
        <w:rPr>
          <w:i w:val="0"/>
          <w:iCs w:val="0"/>
        </w:rPr>
      </w:pPr>
      <w:bookmarkStart w:id="132" w:name="_bookmark29"/>
      <w:bookmarkEnd w:id="132"/>
      <w:bookmarkStart w:id="133" w:name="第三节  加快特色小城镇建设，增强辐射带动作用"/>
      <w:bookmarkEnd w:id="133"/>
      <w:bookmarkStart w:id="134" w:name="_Toc12576"/>
      <w:bookmarkStart w:id="135" w:name="_Toc1579340251"/>
      <w:bookmarkStart w:id="136" w:name="_Toc1861179065"/>
      <w:bookmarkStart w:id="137" w:name="_Toc1661460850"/>
      <w:r>
        <w:rPr>
          <w:i w:val="0"/>
          <w:iCs w:val="0"/>
        </w:rPr>
        <w:t>第三</w:t>
      </w:r>
      <w:r>
        <w:rPr>
          <w:i w:val="0"/>
          <w:iCs w:val="0"/>
          <w:spacing w:val="23"/>
        </w:rPr>
        <w:t>节 加</w:t>
      </w:r>
      <w:r>
        <w:rPr>
          <w:i w:val="0"/>
          <w:iCs w:val="0"/>
        </w:rPr>
        <w:t>快特色小城镇建设，增强辐射带动作</w:t>
      </w:r>
      <w:r>
        <w:rPr>
          <w:i w:val="0"/>
          <w:iCs w:val="0"/>
          <w:spacing w:val="-10"/>
        </w:rPr>
        <w:t>用</w:t>
      </w:r>
      <w:bookmarkEnd w:id="134"/>
      <w:bookmarkEnd w:id="135"/>
      <w:bookmarkEnd w:id="136"/>
      <w:bookmarkEnd w:id="137"/>
    </w:p>
    <w:p w14:paraId="4CD95B71">
      <w:pPr>
        <w:pStyle w:val="5"/>
        <w:spacing w:before="5"/>
        <w:ind w:left="0"/>
        <w:rPr>
          <w:rFonts w:ascii="楷体_GB2312"/>
          <w:b/>
          <w:i/>
          <w:sz w:val="34"/>
        </w:rPr>
      </w:pPr>
    </w:p>
    <w:p w14:paraId="64750B6D">
      <w:pPr>
        <w:pStyle w:val="5"/>
        <w:spacing w:line="363" w:lineRule="auto"/>
        <w:ind w:left="0" w:right="0" w:firstLine="552" w:firstLineChars="200"/>
        <w:jc w:val="both"/>
        <w:rPr>
          <w:spacing w:val="-2"/>
        </w:rPr>
      </w:pPr>
      <w:r>
        <w:rPr>
          <w:spacing w:val="-2"/>
        </w:rPr>
        <w:t>按照“超前、现代、生态、文化、民本、和谐”的理念，注重统筹城乡布局，注重尊重群众意愿，注重突出地域和民族特色，注重体现现代文明、历史文化和现代风格，高起点、高水平、高效益地推动小城镇建设，着力提升小城镇建设的品位和水平。</w:t>
      </w:r>
    </w:p>
    <w:p w14:paraId="46360936">
      <w:pPr>
        <w:pStyle w:val="5"/>
        <w:spacing w:before="0" w:line="363" w:lineRule="auto"/>
        <w:ind w:left="0" w:right="0" w:firstLine="552" w:firstLineChars="200"/>
        <w:jc w:val="both"/>
      </w:pPr>
      <w:r>
        <w:rPr>
          <w:spacing w:val="-2"/>
        </w:rPr>
        <w:t>积极打造各具特色的小城镇。以新型工业化发展为依托，全力打造以淖毛湖镇、三塘湖镇、雅满苏镇</w:t>
      </w:r>
      <w:r>
        <w:rPr>
          <w:b w:val="0"/>
          <w:i w:val="0"/>
          <w:spacing w:val="-2"/>
        </w:rPr>
        <w:t>、</w:t>
      </w:r>
      <w:r>
        <w:rPr>
          <w:spacing w:val="-2"/>
        </w:rPr>
        <w:t>博尔羌吉镇为主的“工业强镇”，推进煤炭开采加工、煤电煤化工、石油石化、新能源、黑色有色金属采选、现代物流业、综合服务业等产业有序发展；以特色农业产业发展为依托，全力打造以陶家宫乡、二堡镇、五堡乡、大河镇、奎苏镇、盐池乡为主的“特色农牧业镇”，大力发展设施农业、园艺业、养殖业、林果业、农牧产品加工业、有机和绿色食品加工业，积极培育龙头企业和农产品专业市场，形成规模化、集约化经营；以特色旅游业发展为依托，着力打造以哈密市回城乡、巴里坤镇为主的文化旅游镇。以哈密市白石头乡、五堡镇为主的特色旅游镇。以伊吾镇为主的休闲度假和红色旅游镇，搭建地区完善的旅游平台，与旅游经济有机结合，形成新的旅游产业增长极；坚持以产业集聚为依托，大力发展第三产业。将哈密市陶家宫乡、巴里坤县奎苏镇打造成为现代物流镇，使小城镇成为各类商品集散的枢纽，成为城乡信息交流的平台。</w:t>
      </w:r>
    </w:p>
    <w:p w14:paraId="1C6E4045">
      <w:pPr>
        <w:pStyle w:val="5"/>
        <w:spacing w:before="0" w:line="363" w:lineRule="auto"/>
        <w:ind w:left="0" w:right="0" w:firstLine="552" w:firstLineChars="200"/>
        <w:jc w:val="both"/>
        <w:rPr>
          <w:spacing w:val="-2"/>
        </w:rPr>
      </w:pPr>
      <w:r>
        <w:rPr>
          <w:spacing w:val="-2"/>
        </w:rPr>
        <w:t>创新城镇建设管理体制机制。建立多元化的城镇建设投融资体制机制，不断增强城镇化发展的持久动力。积极争取国家和自治区对小城镇基础设施建设项目资金支持，加快道路、给排水、供热、绿化等基础设施和市政设施建设，实施城镇基础设施向农村的延伸，推动城乡协调发展。“十二五”期间，地区小城镇（含乡）人均住房面积达到 32 平方米。</w:t>
      </w:r>
    </w:p>
    <w:p w14:paraId="6B70FBD0">
      <w:pPr>
        <w:pStyle w:val="5"/>
        <w:spacing w:line="363" w:lineRule="auto"/>
        <w:ind w:left="0" w:right="0" w:firstLine="552" w:firstLineChars="200"/>
        <w:jc w:val="both"/>
        <w:rPr>
          <w:spacing w:val="-2"/>
        </w:rPr>
      </w:pPr>
      <w:r>
        <w:rPr>
          <w:spacing w:val="-2"/>
        </w:rPr>
        <w:t>加快户籍制度改革，积极推进农民工市民化，鼓励有条件的农民工到城</w:t>
      </w:r>
    </w:p>
    <w:p w14:paraId="78853478">
      <w:pPr>
        <w:spacing w:after="0" w:line="362" w:lineRule="auto"/>
        <w:jc w:val="both"/>
        <w:rPr>
          <w:sz w:val="28"/>
          <w:szCs w:val="28"/>
        </w:rPr>
        <w:sectPr>
          <w:pgSz w:w="11910" w:h="16840"/>
          <w:pgMar w:top="1540" w:right="1260" w:bottom="1180" w:left="1480" w:header="0" w:footer="993" w:gutter="0"/>
          <w:pgNumType w:fmt="decimal"/>
          <w:cols w:space="720" w:num="1"/>
        </w:sectPr>
      </w:pPr>
    </w:p>
    <w:p w14:paraId="7008D9B3">
      <w:pPr>
        <w:pStyle w:val="5"/>
        <w:spacing w:before="0" w:line="363" w:lineRule="auto"/>
        <w:ind w:left="0" w:right="0" w:firstLine="0" w:firstLineChars="0"/>
        <w:jc w:val="both"/>
        <w:rPr>
          <w:spacing w:val="-2"/>
        </w:rPr>
      </w:pPr>
      <w:r>
        <w:rPr>
          <w:spacing w:val="-2"/>
        </w:rPr>
        <w:t>镇安居乐业，确保农民有尊严、有保障、有秩序地转为市民。制定优惠政策，使农民工在城镇住房租购、社会保障和子女教育等方面与城镇居民享受同等的权益。</w:t>
      </w:r>
    </w:p>
    <w:p w14:paraId="6A538449">
      <w:pPr>
        <w:pStyle w:val="5"/>
        <w:spacing w:before="6"/>
        <w:ind w:left="0"/>
        <w:rPr>
          <w:sz w:val="21"/>
        </w:rPr>
      </w:pPr>
    </w:p>
    <w:p w14:paraId="02F031AB">
      <w:pPr>
        <w:pStyle w:val="3"/>
        <w:ind w:left="0" w:right="0"/>
        <w:rPr>
          <w:i w:val="0"/>
          <w:iCs w:val="0"/>
        </w:rPr>
      </w:pPr>
      <w:bookmarkStart w:id="138" w:name="第四节  采取不同统筹模式，实现城乡协调发展"/>
      <w:bookmarkEnd w:id="138"/>
      <w:bookmarkStart w:id="139" w:name="_bookmark30"/>
      <w:bookmarkEnd w:id="139"/>
      <w:bookmarkStart w:id="140" w:name="_Toc939770459"/>
      <w:bookmarkStart w:id="141" w:name="_Toc1364160337"/>
      <w:bookmarkStart w:id="142" w:name="_Toc23261"/>
      <w:bookmarkStart w:id="143" w:name="_Toc1432204759"/>
      <w:r>
        <w:rPr>
          <w:i w:val="0"/>
          <w:iCs w:val="0"/>
        </w:rPr>
        <w:t>第四</w:t>
      </w:r>
      <w:r>
        <w:rPr>
          <w:i w:val="0"/>
          <w:iCs w:val="0"/>
          <w:spacing w:val="24"/>
        </w:rPr>
        <w:t>节 采</w:t>
      </w:r>
      <w:r>
        <w:rPr>
          <w:i w:val="0"/>
          <w:iCs w:val="0"/>
        </w:rPr>
        <w:t>取不同统筹模式，实现城乡协调发</w:t>
      </w:r>
      <w:r>
        <w:rPr>
          <w:i w:val="0"/>
          <w:iCs w:val="0"/>
          <w:spacing w:val="-10"/>
        </w:rPr>
        <w:t>展</w:t>
      </w:r>
      <w:bookmarkEnd w:id="140"/>
      <w:bookmarkEnd w:id="141"/>
      <w:bookmarkEnd w:id="142"/>
      <w:bookmarkEnd w:id="143"/>
    </w:p>
    <w:p w14:paraId="38A1B5D5">
      <w:pPr>
        <w:pStyle w:val="5"/>
        <w:ind w:left="0"/>
        <w:rPr>
          <w:rFonts w:ascii="楷体_GB2312"/>
          <w:b/>
          <w:i/>
        </w:rPr>
      </w:pPr>
    </w:p>
    <w:tbl>
      <w:tblPr>
        <w:tblStyle w:val="12"/>
        <w:tblpPr w:leftFromText="180" w:rightFromText="180" w:vertAnchor="text" w:horzAnchor="page" w:tblpX="1948" w:tblpY="470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0"/>
        <w:gridCol w:w="7020"/>
      </w:tblGrid>
      <w:tr w14:paraId="0ED30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280" w:type="dxa"/>
            <w:gridSpan w:val="2"/>
          </w:tcPr>
          <w:p w14:paraId="4E388879">
            <w:pPr>
              <w:pStyle w:val="16"/>
              <w:spacing w:before="21"/>
              <w:ind w:left="0" w:right="2411"/>
              <w:rPr>
                <w:rFonts w:hint="eastAsia" w:ascii="黑体" w:eastAsia="黑体"/>
                <w:b/>
                <w:sz w:val="21"/>
              </w:rPr>
            </w:pPr>
            <w:r>
              <w:rPr>
                <w:rFonts w:hint="eastAsia" w:ascii="黑体" w:eastAsia="黑体"/>
                <w:b/>
                <w:spacing w:val="-18"/>
                <w:sz w:val="21"/>
              </w:rPr>
              <w:t xml:space="preserve">专栏 </w:t>
            </w:r>
            <w:r>
              <w:rPr>
                <w:rFonts w:hint="eastAsia" w:ascii="黑体" w:eastAsia="黑体"/>
                <w:b/>
                <w:sz w:val="21"/>
              </w:rPr>
              <w:t>6-1</w:t>
            </w:r>
            <w:r>
              <w:rPr>
                <w:rFonts w:hint="eastAsia" w:ascii="黑体" w:eastAsia="黑体"/>
                <w:b/>
                <w:spacing w:val="-7"/>
                <w:sz w:val="21"/>
              </w:rPr>
              <w:t xml:space="preserve"> 哈</w:t>
            </w:r>
            <w:r>
              <w:rPr>
                <w:rFonts w:hint="eastAsia" w:ascii="黑体" w:eastAsia="黑体"/>
                <w:b/>
                <w:sz w:val="21"/>
              </w:rPr>
              <w:t>密地区城乡统筹发</w:t>
            </w:r>
            <w:r>
              <w:rPr>
                <w:rFonts w:hint="eastAsia" w:ascii="黑体" w:eastAsia="黑体"/>
                <w:b/>
                <w:spacing w:val="-4"/>
                <w:sz w:val="21"/>
              </w:rPr>
              <w:t>展模式</w:t>
            </w:r>
          </w:p>
        </w:tc>
      </w:tr>
      <w:tr w14:paraId="05864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260" w:type="dxa"/>
          </w:tcPr>
          <w:p w14:paraId="080100D7">
            <w:pPr>
              <w:pStyle w:val="16"/>
              <w:spacing w:before="1"/>
              <w:ind w:left="209"/>
              <w:jc w:val="left"/>
              <w:rPr>
                <w:rFonts w:ascii="黑体" w:eastAsia="黑体"/>
                <w:sz w:val="21"/>
              </w:rPr>
            </w:pPr>
            <w:r>
              <w:rPr>
                <w:rFonts w:ascii="黑体" w:eastAsia="黑体"/>
                <w:spacing w:val="-7"/>
                <w:sz w:val="21"/>
              </w:rPr>
              <w:t>现代绿洲</w:t>
            </w:r>
          </w:p>
          <w:p w14:paraId="16D46A93">
            <w:pPr>
              <w:pStyle w:val="16"/>
              <w:spacing w:before="139"/>
              <w:ind w:left="209"/>
              <w:jc w:val="left"/>
              <w:rPr>
                <w:rFonts w:ascii="黑体" w:eastAsia="黑体"/>
                <w:sz w:val="21"/>
              </w:rPr>
            </w:pPr>
            <w:r>
              <w:rPr>
                <w:rFonts w:ascii="黑体" w:eastAsia="黑体"/>
                <w:spacing w:val="-7"/>
                <w:sz w:val="21"/>
              </w:rPr>
              <w:t>农业模式</w:t>
            </w:r>
          </w:p>
        </w:tc>
        <w:tc>
          <w:tcPr>
            <w:tcW w:w="7020" w:type="dxa"/>
          </w:tcPr>
          <w:p w14:paraId="46354437">
            <w:pPr>
              <w:pStyle w:val="16"/>
              <w:spacing w:before="117" w:line="278" w:lineRule="auto"/>
              <w:ind w:left="108" w:right="97"/>
              <w:jc w:val="left"/>
              <w:rPr>
                <w:rFonts w:ascii="宋体" w:hAnsi="宋体" w:eastAsia="宋体"/>
                <w:sz w:val="21"/>
              </w:rPr>
            </w:pPr>
            <w:r>
              <w:rPr>
                <w:rFonts w:ascii="宋体" w:hAnsi="宋体" w:eastAsia="宋体"/>
                <w:spacing w:val="-12"/>
                <w:sz w:val="21"/>
              </w:rPr>
              <w:t>通过土地流转、专业种植和大户承包等方式，“公司+经</w:t>
            </w:r>
            <w:r>
              <w:rPr>
                <w:rFonts w:ascii="宋体" w:hAnsi="宋体" w:eastAsia="宋体"/>
                <w:spacing w:val="-4"/>
                <w:sz w:val="21"/>
              </w:rPr>
              <w:t>纪人+农户”的“订</w:t>
            </w:r>
            <w:r>
              <w:rPr>
                <w:rFonts w:ascii="宋体" w:hAnsi="宋体" w:eastAsia="宋体"/>
                <w:spacing w:val="-2"/>
                <w:sz w:val="21"/>
              </w:rPr>
              <w:t>单农业”经营方式，实现农业生产的规模化与专业化。</w:t>
            </w:r>
          </w:p>
        </w:tc>
      </w:tr>
      <w:tr w14:paraId="60E00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260" w:type="dxa"/>
          </w:tcPr>
          <w:p w14:paraId="096A51C8">
            <w:pPr>
              <w:pStyle w:val="16"/>
              <w:spacing w:before="60" w:line="364" w:lineRule="auto"/>
              <w:ind w:left="420" w:right="201" w:hanging="212"/>
              <w:jc w:val="left"/>
              <w:rPr>
                <w:rFonts w:ascii="黑体" w:eastAsia="黑体"/>
                <w:sz w:val="21"/>
              </w:rPr>
            </w:pPr>
            <w:r>
              <w:rPr>
                <w:rFonts w:ascii="黑体" w:eastAsia="黑体"/>
                <w:spacing w:val="-4"/>
                <w:sz w:val="21"/>
              </w:rPr>
              <w:t>就业安置</w:t>
            </w:r>
            <w:r>
              <w:rPr>
                <w:rFonts w:ascii="黑体" w:eastAsia="黑体"/>
                <w:spacing w:val="-6"/>
                <w:sz w:val="21"/>
              </w:rPr>
              <w:t>模式</w:t>
            </w:r>
          </w:p>
        </w:tc>
        <w:tc>
          <w:tcPr>
            <w:tcW w:w="7020" w:type="dxa"/>
          </w:tcPr>
          <w:p w14:paraId="45CDB790">
            <w:pPr>
              <w:pStyle w:val="16"/>
              <w:spacing w:before="21" w:line="278" w:lineRule="auto"/>
              <w:ind w:left="108" w:right="181"/>
              <w:jc w:val="left"/>
              <w:rPr>
                <w:rFonts w:ascii="宋体" w:hAnsi="宋体" w:eastAsia="宋体"/>
                <w:sz w:val="21"/>
              </w:rPr>
            </w:pPr>
            <w:r>
              <w:rPr>
                <w:rFonts w:ascii="宋体" w:hAnsi="宋体" w:eastAsia="宋体"/>
                <w:spacing w:val="-2"/>
                <w:sz w:val="21"/>
              </w:rPr>
              <w:t>建立乡村队劳务输出组织机构，成立专门劳务经纪人协会，建立地区“培</w:t>
            </w:r>
            <w:r>
              <w:rPr>
                <w:rFonts w:ascii="宋体" w:hAnsi="宋体" w:eastAsia="宋体"/>
                <w:spacing w:val="-3"/>
                <w:sz w:val="21"/>
              </w:rPr>
              <w:t>训、就业、维权”三位一体的新工作模式，为农民提供转移就业信息，促</w:t>
            </w:r>
          </w:p>
          <w:p w14:paraId="6A12D04E">
            <w:pPr>
              <w:pStyle w:val="16"/>
              <w:spacing w:before="0" w:line="269" w:lineRule="exact"/>
              <w:ind w:left="108"/>
              <w:jc w:val="left"/>
              <w:rPr>
                <w:rFonts w:ascii="宋体" w:eastAsia="宋体"/>
                <w:sz w:val="21"/>
              </w:rPr>
            </w:pPr>
            <w:r>
              <w:rPr>
                <w:rFonts w:ascii="宋体" w:eastAsia="宋体"/>
                <w:spacing w:val="-3"/>
                <w:sz w:val="21"/>
              </w:rPr>
              <w:t>进农村劳动力合理有序流动，拓宽农民增收渠道。</w:t>
            </w:r>
          </w:p>
        </w:tc>
      </w:tr>
      <w:tr w14:paraId="24C66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260" w:type="dxa"/>
          </w:tcPr>
          <w:p w14:paraId="5145E82E">
            <w:pPr>
              <w:pStyle w:val="16"/>
              <w:spacing w:before="10"/>
              <w:jc w:val="left"/>
              <w:rPr>
                <w:sz w:val="16"/>
              </w:rPr>
            </w:pPr>
          </w:p>
          <w:p w14:paraId="6126CCBE">
            <w:pPr>
              <w:pStyle w:val="16"/>
              <w:spacing w:before="1" w:line="364" w:lineRule="auto"/>
              <w:ind w:left="420" w:right="201" w:hanging="212"/>
              <w:jc w:val="left"/>
              <w:rPr>
                <w:rFonts w:ascii="黑体" w:eastAsia="黑体"/>
                <w:sz w:val="21"/>
              </w:rPr>
            </w:pPr>
            <w:r>
              <w:rPr>
                <w:rFonts w:ascii="黑体" w:eastAsia="黑体"/>
                <w:spacing w:val="-4"/>
                <w:sz w:val="21"/>
              </w:rPr>
              <w:t>工业主导</w:t>
            </w:r>
            <w:r>
              <w:rPr>
                <w:rFonts w:ascii="黑体" w:eastAsia="黑体"/>
                <w:spacing w:val="-6"/>
                <w:sz w:val="21"/>
              </w:rPr>
              <w:t>模式</w:t>
            </w:r>
          </w:p>
        </w:tc>
        <w:tc>
          <w:tcPr>
            <w:tcW w:w="7020" w:type="dxa"/>
          </w:tcPr>
          <w:p w14:paraId="7405601D">
            <w:pPr>
              <w:pStyle w:val="16"/>
              <w:spacing w:before="21" w:line="278" w:lineRule="auto"/>
              <w:ind w:left="108" w:right="-15"/>
              <w:jc w:val="left"/>
              <w:rPr>
                <w:rFonts w:ascii="宋体" w:hAnsi="宋体" w:eastAsia="宋体"/>
                <w:sz w:val="21"/>
              </w:rPr>
            </w:pPr>
            <w:r>
              <w:rPr>
                <w:rFonts w:ascii="宋体" w:hAnsi="宋体" w:eastAsia="宋体"/>
                <w:spacing w:val="-2"/>
                <w:sz w:val="21"/>
              </w:rPr>
              <w:t xml:space="preserve">按照“工业反哺农业，农业支持工业”思路，增强工业园区与农村区域的 相互帮助。工业企业的就业机会和岗位应向附近农区有重点的倾斜，鼓励 </w:t>
            </w:r>
            <w:r>
              <w:rPr>
                <w:rFonts w:ascii="宋体" w:hAnsi="宋体" w:eastAsia="宋体"/>
                <w:spacing w:val="-5"/>
                <w:sz w:val="21"/>
              </w:rPr>
              <w:t>园区驻地企业和地方职教中心合作，培训农民从事园区的生产和服务技能；</w:t>
            </w:r>
          </w:p>
          <w:p w14:paraId="141B2C76">
            <w:pPr>
              <w:pStyle w:val="16"/>
              <w:spacing w:before="0" w:line="269" w:lineRule="exact"/>
              <w:ind w:left="108" w:right="-15"/>
              <w:jc w:val="left"/>
              <w:rPr>
                <w:rFonts w:ascii="宋体" w:eastAsia="宋体"/>
                <w:sz w:val="21"/>
              </w:rPr>
            </w:pPr>
            <w:r>
              <w:rPr>
                <w:rFonts w:ascii="宋体" w:eastAsia="宋体"/>
                <w:spacing w:val="-4"/>
                <w:sz w:val="21"/>
              </w:rPr>
              <w:t>农村居民为企业提供必要的生活和后勤服务，协调水资源</w:t>
            </w:r>
            <w:r>
              <w:rPr>
                <w:rFonts w:ascii="宋体" w:eastAsia="宋体"/>
                <w:spacing w:val="-5"/>
                <w:sz w:val="21"/>
              </w:rPr>
              <w:t>、土地资源共享。</w:t>
            </w:r>
          </w:p>
        </w:tc>
      </w:tr>
      <w:tr w14:paraId="0A3E4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260" w:type="dxa"/>
          </w:tcPr>
          <w:p w14:paraId="09D1A5C8">
            <w:pPr>
              <w:pStyle w:val="16"/>
              <w:spacing w:before="59" w:line="364" w:lineRule="auto"/>
              <w:ind w:left="420" w:right="201" w:hanging="212"/>
              <w:jc w:val="left"/>
              <w:rPr>
                <w:rFonts w:ascii="黑体" w:eastAsia="黑体"/>
                <w:sz w:val="21"/>
              </w:rPr>
            </w:pPr>
            <w:r>
              <w:rPr>
                <w:rFonts w:ascii="黑体" w:eastAsia="黑体"/>
                <w:spacing w:val="-4"/>
                <w:sz w:val="21"/>
              </w:rPr>
              <w:t>旅游开发</w:t>
            </w:r>
            <w:r>
              <w:rPr>
                <w:rFonts w:ascii="黑体" w:eastAsia="黑体"/>
                <w:spacing w:val="-6"/>
                <w:sz w:val="21"/>
              </w:rPr>
              <w:t>模式</w:t>
            </w:r>
          </w:p>
        </w:tc>
        <w:tc>
          <w:tcPr>
            <w:tcW w:w="7020" w:type="dxa"/>
          </w:tcPr>
          <w:p w14:paraId="5A7E9675">
            <w:pPr>
              <w:pStyle w:val="16"/>
              <w:spacing w:before="21" w:line="278" w:lineRule="auto"/>
              <w:ind w:left="108" w:right="182"/>
              <w:jc w:val="left"/>
              <w:rPr>
                <w:rFonts w:ascii="宋体" w:eastAsia="宋体"/>
                <w:sz w:val="21"/>
              </w:rPr>
            </w:pPr>
            <w:r>
              <w:rPr>
                <w:rFonts w:ascii="宋体" w:eastAsia="宋体"/>
                <w:spacing w:val="-2"/>
                <w:sz w:val="21"/>
              </w:rPr>
              <w:t>通过开发设计独具特色的旅游产品，加强餐饮、购物、娱乐、交通等配套</w:t>
            </w:r>
            <w:r>
              <w:rPr>
                <w:rFonts w:ascii="宋体" w:eastAsia="宋体"/>
                <w:spacing w:val="-3"/>
                <w:sz w:val="21"/>
              </w:rPr>
              <w:t>设施建设，以游促农促工，提高农产品、工业品的销售量，带动小城镇社</w:t>
            </w:r>
          </w:p>
          <w:p w14:paraId="4A66D375">
            <w:pPr>
              <w:pStyle w:val="16"/>
              <w:spacing w:before="0" w:line="269" w:lineRule="exact"/>
              <w:ind w:left="108"/>
              <w:jc w:val="left"/>
              <w:rPr>
                <w:rFonts w:ascii="宋体" w:eastAsia="宋体"/>
                <w:sz w:val="21"/>
              </w:rPr>
            </w:pPr>
            <w:r>
              <w:rPr>
                <w:rFonts w:ascii="宋体" w:eastAsia="宋体"/>
                <w:spacing w:val="-4"/>
                <w:sz w:val="21"/>
              </w:rPr>
              <w:t>会经济发展。</w:t>
            </w:r>
          </w:p>
        </w:tc>
      </w:tr>
      <w:tr w14:paraId="3C4E8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260" w:type="dxa"/>
          </w:tcPr>
          <w:p w14:paraId="23B826D9">
            <w:pPr>
              <w:pStyle w:val="16"/>
              <w:spacing w:before="1"/>
              <w:ind w:left="202" w:right="196"/>
              <w:rPr>
                <w:rFonts w:ascii="黑体" w:eastAsia="黑体"/>
                <w:sz w:val="21"/>
              </w:rPr>
            </w:pPr>
            <w:r>
              <w:rPr>
                <w:rFonts w:ascii="黑体" w:eastAsia="黑体"/>
                <w:spacing w:val="-7"/>
                <w:sz w:val="21"/>
              </w:rPr>
              <w:t>生态移民</w:t>
            </w:r>
          </w:p>
          <w:p w14:paraId="2072EA11">
            <w:pPr>
              <w:pStyle w:val="16"/>
              <w:spacing w:before="139"/>
              <w:ind w:left="202" w:right="194"/>
              <w:rPr>
                <w:rFonts w:ascii="黑体" w:eastAsia="黑体"/>
                <w:sz w:val="21"/>
              </w:rPr>
            </w:pPr>
            <w:r>
              <w:rPr>
                <w:rFonts w:ascii="黑体" w:eastAsia="黑体"/>
                <w:spacing w:val="-8"/>
                <w:sz w:val="21"/>
              </w:rPr>
              <w:t>模式</w:t>
            </w:r>
          </w:p>
        </w:tc>
        <w:tc>
          <w:tcPr>
            <w:tcW w:w="7020" w:type="dxa"/>
          </w:tcPr>
          <w:p w14:paraId="253A3527">
            <w:pPr>
              <w:pStyle w:val="16"/>
              <w:spacing w:before="116" w:line="278" w:lineRule="auto"/>
              <w:ind w:left="108" w:right="182"/>
              <w:jc w:val="left"/>
              <w:rPr>
                <w:rFonts w:ascii="宋体" w:eastAsia="宋体"/>
                <w:sz w:val="21"/>
              </w:rPr>
            </w:pPr>
            <w:r>
              <w:rPr>
                <w:rFonts w:ascii="宋体" w:eastAsia="宋体"/>
                <w:spacing w:val="-2"/>
                <w:sz w:val="21"/>
              </w:rPr>
              <w:t>通过政府集资，把农牧民搬迁至条件较好的地方，统一进行基础设施，统一安排生产生活建设，改善农牧民生产生活条件。</w:t>
            </w:r>
          </w:p>
        </w:tc>
      </w:tr>
      <w:tr w14:paraId="7DAC0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260" w:type="dxa"/>
          </w:tcPr>
          <w:p w14:paraId="541D5854">
            <w:pPr>
              <w:pStyle w:val="16"/>
              <w:spacing w:before="7"/>
              <w:jc w:val="left"/>
              <w:rPr>
                <w:sz w:val="20"/>
              </w:rPr>
            </w:pPr>
          </w:p>
          <w:p w14:paraId="08AF0A0A">
            <w:pPr>
              <w:pStyle w:val="16"/>
              <w:spacing w:before="0"/>
              <w:ind w:left="209"/>
              <w:jc w:val="left"/>
              <w:rPr>
                <w:rFonts w:ascii="黑体" w:eastAsia="黑体"/>
                <w:sz w:val="21"/>
              </w:rPr>
            </w:pPr>
            <w:r>
              <w:rPr>
                <w:rFonts w:ascii="黑体" w:eastAsia="黑体"/>
                <w:spacing w:val="-7"/>
                <w:sz w:val="21"/>
              </w:rPr>
              <w:t>城郊模式</w:t>
            </w:r>
          </w:p>
        </w:tc>
        <w:tc>
          <w:tcPr>
            <w:tcW w:w="7020" w:type="dxa"/>
          </w:tcPr>
          <w:p w14:paraId="0D322900">
            <w:pPr>
              <w:pStyle w:val="16"/>
              <w:spacing w:before="21" w:line="278" w:lineRule="auto"/>
              <w:ind w:left="108" w:right="181"/>
              <w:jc w:val="left"/>
              <w:rPr>
                <w:rFonts w:ascii="宋体" w:eastAsia="宋体"/>
                <w:sz w:val="21"/>
              </w:rPr>
            </w:pPr>
            <w:r>
              <w:rPr>
                <w:rFonts w:ascii="宋体" w:eastAsia="宋体"/>
                <w:spacing w:val="-2"/>
                <w:sz w:val="21"/>
              </w:rPr>
              <w:t>依托中心城镇，提升自身的非农产业和经济实力，进行合理的行政区划调</w:t>
            </w:r>
            <w:r>
              <w:rPr>
                <w:rFonts w:ascii="宋体" w:eastAsia="宋体"/>
                <w:spacing w:val="-3"/>
                <w:sz w:val="21"/>
              </w:rPr>
              <w:t>整。在供排水、道路、生活设施等方面与城市统一考虑，在建筑等领域按</w:t>
            </w:r>
          </w:p>
          <w:p w14:paraId="0045686C">
            <w:pPr>
              <w:pStyle w:val="16"/>
              <w:spacing w:before="0" w:line="269" w:lineRule="exact"/>
              <w:ind w:left="108"/>
              <w:jc w:val="left"/>
              <w:rPr>
                <w:rFonts w:ascii="宋体" w:eastAsia="宋体"/>
                <w:sz w:val="21"/>
              </w:rPr>
            </w:pPr>
            <w:r>
              <w:rPr>
                <w:rFonts w:ascii="宋体" w:eastAsia="宋体"/>
                <w:spacing w:val="-3"/>
                <w:sz w:val="21"/>
              </w:rPr>
              <w:t>照城市规划的要求进行一体化建设。</w:t>
            </w:r>
          </w:p>
        </w:tc>
      </w:tr>
    </w:tbl>
    <w:p w14:paraId="39DA2CC3">
      <w:pPr>
        <w:pStyle w:val="5"/>
        <w:spacing w:before="0" w:line="363" w:lineRule="auto"/>
        <w:ind w:left="0" w:right="0" w:firstLine="652" w:firstLineChars="200"/>
        <w:jc w:val="both"/>
        <w:rPr>
          <w:spacing w:val="23"/>
        </w:rPr>
      </w:pPr>
      <w:r>
        <w:rPr>
          <w:spacing w:val="23"/>
        </w:rPr>
        <w:t>建立以工促农、以城带乡长效机制，实现各具特色的城乡统筹发展。采取现代绿洲农业模式的乡镇为二堡镇、陶家宫乡、回城乡、奎苏镇、石人子乡和吐葫芦乡；就业安置模式的乡镇为奎苏镇、大河镇、萨尔乔克乡、石人子乡、下涝坝乡、南湖乡和吐葫芦乡；工业主导模式的乡镇为雅满苏镇、七角井镇、博尔羌吉镇、淖毛湖镇和三塘湖乡；旅游开发模式的乡镇为巴里坤镇、白石头乡和天山乡；生态移民（扶贫）模式的乡镇为前山乡；城郊一体化模式的乡镇为花园乡、回城乡、陶家宫乡和吐葫芦乡。</w:t>
      </w:r>
    </w:p>
    <w:p w14:paraId="5BABFF2C">
      <w:pPr>
        <w:spacing w:after="0" w:line="362" w:lineRule="auto"/>
        <w:sectPr>
          <w:pgSz w:w="11910" w:h="16840"/>
          <w:pgMar w:top="1540" w:right="1260" w:bottom="1180" w:left="1480" w:header="0" w:footer="993" w:gutter="0"/>
          <w:pgNumType w:fmt="decimal"/>
          <w:cols w:space="720" w:num="1"/>
        </w:sectPr>
      </w:pPr>
    </w:p>
    <w:p w14:paraId="7149CB37">
      <w:pPr>
        <w:pStyle w:val="2"/>
        <w:tabs>
          <w:tab w:val="left" w:pos="2021"/>
        </w:tabs>
        <w:spacing w:before="186"/>
        <w:ind w:left="0" w:right="0"/>
        <w:jc w:val="center"/>
      </w:pPr>
      <w:bookmarkStart w:id="144" w:name="第七章  推进农牧业现代化进程，建设社会主义新农村"/>
      <w:bookmarkEnd w:id="144"/>
      <w:bookmarkStart w:id="145" w:name="_Toc13162"/>
      <w:bookmarkStart w:id="146" w:name="_Toc1639530461"/>
      <w:bookmarkStart w:id="147" w:name="_Toc62293235"/>
      <w:bookmarkStart w:id="148" w:name="_Toc1981560562"/>
      <w:r>
        <w:t>第七</w:t>
      </w:r>
      <w:r>
        <w:rPr>
          <w:spacing w:val="-10"/>
        </w:rPr>
        <w:t>章</w:t>
      </w:r>
      <w:r>
        <w:rPr>
          <w:rFonts w:hint="eastAsia"/>
          <w:spacing w:val="-10"/>
          <w:lang w:val="en-US" w:eastAsia="zh-CN"/>
        </w:rPr>
        <w:t xml:space="preserve"> </w:t>
      </w:r>
      <w:r>
        <w:t>推进农牧业现代</w:t>
      </w:r>
      <w:bookmarkStart w:id="149" w:name="_bookmark31"/>
      <w:bookmarkEnd w:id="149"/>
      <w:r>
        <w:t>化进程，建设社会主义新农</w:t>
      </w:r>
      <w:r>
        <w:rPr>
          <w:spacing w:val="-10"/>
        </w:rPr>
        <w:t>村</w:t>
      </w:r>
      <w:bookmarkEnd w:id="145"/>
      <w:bookmarkEnd w:id="146"/>
      <w:bookmarkEnd w:id="147"/>
      <w:bookmarkEnd w:id="148"/>
    </w:p>
    <w:p w14:paraId="49067A2F">
      <w:pPr>
        <w:pStyle w:val="5"/>
        <w:spacing w:before="12"/>
        <w:ind w:left="0"/>
        <w:rPr>
          <w:rFonts w:ascii="黑体"/>
          <w:sz w:val="30"/>
        </w:rPr>
      </w:pPr>
    </w:p>
    <w:p w14:paraId="40CF189B">
      <w:pPr>
        <w:pStyle w:val="5"/>
        <w:spacing w:line="363" w:lineRule="auto"/>
        <w:ind w:left="0" w:right="0" w:firstLine="552" w:firstLineChars="200"/>
        <w:jc w:val="both"/>
        <w:rPr>
          <w:spacing w:val="-2"/>
        </w:rPr>
      </w:pPr>
      <w:r>
        <w:rPr>
          <w:spacing w:val="-2"/>
        </w:rPr>
        <w:t>按照服务于新型工业化和城镇化及城乡统筹发展的要求，以加快转变农业发展方式为主线，用发展工业的理念谋划现代农牧业发展，按照“收缩转移、集约发展”的原则，走节水、优质、高效、集约、生态、标准、精品、安全的农业发展之路。加大强农惠农力度，夯实农业农村发展基础，努力推进社会主义新农村建设。</w:t>
      </w:r>
    </w:p>
    <w:p w14:paraId="2C5C5A98">
      <w:pPr>
        <w:pStyle w:val="3"/>
        <w:spacing w:before="35"/>
        <w:ind w:left="0" w:right="0"/>
        <w:jc w:val="center"/>
        <w:rPr>
          <w:i w:val="0"/>
          <w:iCs w:val="0"/>
        </w:rPr>
      </w:pPr>
      <w:bookmarkStart w:id="150" w:name="_Toc1828177367"/>
      <w:bookmarkStart w:id="151" w:name="_Toc1864686690"/>
      <w:bookmarkStart w:id="152" w:name="_Toc5095"/>
      <w:r>
        <w:rPr>
          <w:i w:val="0"/>
          <w:iCs w:val="0"/>
        </w:rPr>
        <w:t>第一</w:t>
      </w:r>
      <w:r>
        <w:rPr>
          <w:i w:val="0"/>
          <w:iCs w:val="0"/>
          <w:spacing w:val="19"/>
        </w:rPr>
        <w:t>节 调</w:t>
      </w:r>
      <w:r>
        <w:rPr>
          <w:i w:val="0"/>
          <w:iCs w:val="0"/>
        </w:rPr>
        <w:t>整优化农业产业结构，加快农牧业现代化步</w:t>
      </w:r>
      <w:r>
        <w:rPr>
          <w:i w:val="0"/>
          <w:iCs w:val="0"/>
          <w:spacing w:val="-10"/>
        </w:rPr>
        <w:t>伐</w:t>
      </w:r>
      <w:bookmarkEnd w:id="150"/>
      <w:bookmarkEnd w:id="151"/>
      <w:bookmarkEnd w:id="152"/>
    </w:p>
    <w:p w14:paraId="3D0580D1">
      <w:pPr>
        <w:pStyle w:val="5"/>
        <w:spacing w:before="5"/>
        <w:ind w:left="0"/>
        <w:rPr>
          <w:rFonts w:ascii="楷体_GB2312"/>
          <w:b/>
          <w:i/>
          <w:sz w:val="34"/>
        </w:rPr>
      </w:pPr>
    </w:p>
    <w:p w14:paraId="2C18B01E">
      <w:pPr>
        <w:pStyle w:val="5"/>
        <w:spacing w:line="363" w:lineRule="auto"/>
        <w:ind w:left="0" w:right="0" w:firstLine="552" w:firstLineChars="200"/>
        <w:jc w:val="both"/>
        <w:rPr>
          <w:spacing w:val="-2"/>
        </w:rPr>
      </w:pPr>
      <w:r>
        <w:rPr>
          <w:spacing w:val="-2"/>
        </w:rPr>
        <w:t>进一步加强农业的基础地位。按照“调粮、退棉、增经、扩草”农业产业结构调整方针，以保障城乡居民有效供给，服务于二三产业为主导，加快农牧业的现代化步伐。</w:t>
      </w:r>
    </w:p>
    <w:p w14:paraId="53753476">
      <w:pPr>
        <w:pStyle w:val="5"/>
        <w:spacing w:line="363" w:lineRule="auto"/>
        <w:ind w:left="0" w:firstLine="552" w:firstLineChars="200"/>
        <w:jc w:val="both"/>
        <w:rPr>
          <w:spacing w:val="-2"/>
        </w:rPr>
      </w:pPr>
      <w:r>
        <w:rPr>
          <w:spacing w:val="-2"/>
          <w:w w:val="100"/>
        </w:rPr>
        <w:t>继续加大结构调整力度。种植业重点发展以大枣为主的特色林果业及设施农业。在哈密市及各县城近郊的乡镇利用丰富的光热资源，重点发展设施农业，培育无公害、绿色蔬菜生产基地，抓好菜篮子产品基地建设；在哈密市五堡、二堡、西戈壁开发区、花园等乡镇，发展大枣种植；在哈密市南湖乡、伊吾县淖毛湖镇、巴里坤县三</w:t>
      </w:r>
      <w:r>
        <w:rPr>
          <w:rFonts w:hint="eastAsia"/>
          <w:spacing w:val="-2"/>
          <w:w w:val="100"/>
          <w:lang w:eastAsia="zh-CN"/>
        </w:rPr>
        <w:t>塘</w:t>
      </w:r>
      <w:r>
        <w:rPr>
          <w:spacing w:val="-2"/>
          <w:w w:val="100"/>
        </w:rPr>
        <w:t>湖乡，开发特色品种，发展高品质哈密瓜生产；在巴里坤县奎苏镇、石人子乡、伊吾县吐葫芦乡发展无公害、绿色马铃薯生产。到</w:t>
      </w:r>
      <w:r>
        <w:rPr>
          <w:spacing w:val="-2"/>
        </w:rPr>
        <w:t xml:space="preserve"> </w:t>
      </w:r>
      <w:r>
        <w:rPr>
          <w:spacing w:val="-2"/>
          <w:w w:val="100"/>
        </w:rPr>
        <w:t>2015</w:t>
      </w:r>
      <w:r>
        <w:rPr>
          <w:spacing w:val="-2"/>
        </w:rPr>
        <w:t xml:space="preserve"> </w:t>
      </w:r>
      <w:r>
        <w:rPr>
          <w:spacing w:val="-2"/>
          <w:w w:val="100"/>
        </w:rPr>
        <w:t>年，大枣</w:t>
      </w:r>
      <w:r>
        <w:rPr>
          <w:spacing w:val="-2"/>
        </w:rPr>
        <w:t>种植面积稳定在 30 万亩，哈密瓜 6 万亩，商品率达到 70%；葡萄种植面积稳定在 7 万亩，商品率 85%；标准日光温室蔬菜大棚达到 3 万座；大陆蔬菜 6 万亩。畜牧养殖业突出发展优质奶牛、牛羊育肥业，积极发展生猪、土鸡、蛋鸡养殖，进一步开发马鹿、肉狗、肉鸽等特色养殖业，加快畜禽品种改良速度，提高畜产品的数量和质量，提升奶牛业在畜牧业中的比重和标准化规模养殖在养殖业中的比重，全面提高畜牧业整体生产效益。到 2015 年，产肉 6.5 万吨、牛奶 8 万吨、禽蛋1.01 万吨。</w:t>
      </w:r>
    </w:p>
    <w:p w14:paraId="1BC26CBB">
      <w:pPr>
        <w:spacing w:after="0" w:line="333" w:lineRule="auto"/>
        <w:jc w:val="both"/>
        <w:sectPr>
          <w:pgSz w:w="11910" w:h="16840"/>
          <w:pgMar w:top="1540" w:right="1260" w:bottom="1180" w:left="1480" w:header="0" w:footer="993" w:gutter="0"/>
          <w:pgNumType w:fmt="decimal"/>
          <w:cols w:space="720" w:num="1"/>
        </w:sectPr>
      </w:pPr>
    </w:p>
    <w:p w14:paraId="75D32DE8">
      <w:pPr>
        <w:pStyle w:val="5"/>
        <w:spacing w:line="363" w:lineRule="auto"/>
        <w:ind w:left="0" w:right="0" w:firstLine="552" w:firstLineChars="200"/>
        <w:jc w:val="both"/>
        <w:rPr>
          <w:spacing w:val="-7"/>
        </w:rPr>
      </w:pPr>
      <w:bookmarkStart w:id="153" w:name="第一节  调整优化农业产业结构，加快农牧业现代化步伐"/>
      <w:bookmarkEnd w:id="153"/>
      <w:bookmarkStart w:id="154" w:name="_bookmark32"/>
      <w:bookmarkEnd w:id="154"/>
      <w:r>
        <w:rPr>
          <w:spacing w:val="-2"/>
        </w:rPr>
        <w:t>大力发展高效节水农业。坚持把发展高效节水农业作为提高水土资源承载能力、加快现代农牧业进程、实现水资源效益最大化的重要举措，围绕在全疆率先建成节水型农业发展目标，大力推广高效农业节水，加大标准化、规范化高效节水综合示范区建设力度，严格执行土地“零开荒”制度，建立与水资源状况相适应的高效节水型农业结构。到 2015 年，以滴灌为主的高效节水面积达到 100 万亩以上，占地</w:t>
      </w:r>
      <w:r>
        <w:rPr>
          <w:spacing w:val="-5"/>
        </w:rPr>
        <w:t xml:space="preserve">区总灌溉面积的 </w:t>
      </w:r>
      <w:r>
        <w:t>75%以上，实现定额管理全覆盖。农业灌溉有效利用</w:t>
      </w:r>
      <w:r>
        <w:rPr>
          <w:spacing w:val="-5"/>
        </w:rPr>
        <w:t xml:space="preserve">系数提高到 </w:t>
      </w:r>
      <w:r>
        <w:t>0.6</w:t>
      </w:r>
      <w:r>
        <w:rPr>
          <w:spacing w:val="-2"/>
        </w:rPr>
        <w:t xml:space="preserve">，全地区农业平均单方水产出量达到 </w:t>
      </w:r>
      <w:r>
        <w:t>4.35</w:t>
      </w:r>
      <w:r>
        <w:rPr>
          <w:spacing w:val="-7"/>
        </w:rPr>
        <w:t xml:space="preserve"> 元。</w:t>
      </w:r>
    </w:p>
    <w:p w14:paraId="6F094DCF">
      <w:pPr>
        <w:pStyle w:val="5"/>
        <w:spacing w:line="363" w:lineRule="auto"/>
        <w:ind w:left="0" w:right="0" w:firstLine="552" w:firstLineChars="200"/>
        <w:jc w:val="both"/>
      </w:pPr>
      <w:r>
        <w:rPr>
          <w:spacing w:val="-2"/>
        </w:rPr>
        <w:t>大力推进农业产业化经营。加大农业科技创新和现代农业示范区建设，提高农业机械化、信息化和市场服务水平，促进农业生产经营</w:t>
      </w:r>
      <w:r>
        <w:rPr>
          <w:spacing w:val="-6"/>
        </w:rPr>
        <w:t>专业化、标准化、规模化、集约化。引进、扶持、壮大农业龙头企业，</w:t>
      </w:r>
      <w:r>
        <w:rPr>
          <w:spacing w:val="-2"/>
        </w:rPr>
        <w:t>大力支持农民专业合作组织发展，努力形成公司+基地+农户的产业格局，带动农牧民生产方式转变；积极培育和规范发展农村土地流转市</w:t>
      </w:r>
      <w:r>
        <w:rPr>
          <w:spacing w:val="-6"/>
        </w:rPr>
        <w:t>场化服务，积极探索灵活的土地流转模式，引导大泉湾乡、陶家宫乡、</w:t>
      </w:r>
      <w:r>
        <w:rPr>
          <w:spacing w:val="-2"/>
        </w:rPr>
        <w:t>二堡镇、大河镇、淖毛湖镇、大南湖乡等农村地区的土地有序流转，整合土地资源，提高产出效益；加强农牧区防疫体系和灾害性天气预警预报体系建设，着力提高农牧业生产防灾减灾能力；加强集镇市场建设，突出抓好五堡乡、淖毛湖镇等特色农产品市场建设；进一步加强哈密特色农产品和绿色（有机）食品的原产地商标和品牌保护。</w:t>
      </w:r>
    </w:p>
    <w:p w14:paraId="75932BB4">
      <w:pPr>
        <w:spacing w:after="0" w:line="362" w:lineRule="auto"/>
        <w:jc w:val="both"/>
      </w:pPr>
    </w:p>
    <w:p w14:paraId="37DF8D23">
      <w:pPr>
        <w:pStyle w:val="3"/>
        <w:spacing w:before="114"/>
        <w:ind w:left="0" w:right="0"/>
        <w:rPr>
          <w:i w:val="0"/>
          <w:iCs w:val="0"/>
        </w:rPr>
      </w:pPr>
      <w:bookmarkStart w:id="155" w:name="_Toc681602974"/>
      <w:bookmarkStart w:id="156" w:name="_Toc593909755"/>
      <w:bookmarkStart w:id="157" w:name="_Toc12726"/>
      <w:r>
        <w:rPr>
          <w:i w:val="0"/>
          <w:iCs w:val="0"/>
        </w:rPr>
        <w:t>第二</w:t>
      </w:r>
      <w:r>
        <w:rPr>
          <w:i w:val="0"/>
          <w:iCs w:val="0"/>
          <w:spacing w:val="26"/>
        </w:rPr>
        <w:t>节 加</w:t>
      </w:r>
      <w:r>
        <w:rPr>
          <w:i w:val="0"/>
          <w:iCs w:val="0"/>
        </w:rPr>
        <w:t>强农村基础设施，推进新农村建</w:t>
      </w:r>
      <w:r>
        <w:rPr>
          <w:i w:val="0"/>
          <w:iCs w:val="0"/>
          <w:spacing w:val="-10"/>
        </w:rPr>
        <w:t>设</w:t>
      </w:r>
      <w:bookmarkEnd w:id="155"/>
      <w:bookmarkEnd w:id="156"/>
      <w:bookmarkEnd w:id="157"/>
    </w:p>
    <w:p w14:paraId="3D92B791">
      <w:pPr>
        <w:pStyle w:val="5"/>
        <w:spacing w:before="5"/>
        <w:ind w:left="0"/>
        <w:rPr>
          <w:rFonts w:ascii="楷体_GB2312"/>
          <w:b/>
          <w:i/>
          <w:sz w:val="34"/>
        </w:rPr>
      </w:pPr>
    </w:p>
    <w:p w14:paraId="14587089">
      <w:pPr>
        <w:pStyle w:val="5"/>
        <w:spacing w:line="363" w:lineRule="auto"/>
        <w:ind w:left="0" w:right="0" w:firstLine="528" w:firstLineChars="200"/>
        <w:jc w:val="both"/>
      </w:pPr>
      <w:r>
        <w:rPr>
          <w:spacing w:val="-8"/>
        </w:rPr>
        <w:t xml:space="preserve">加快农村“水、电、路、气、房”及公益性事业等基础设施建设，不断提高农村生产生活条件和人居环境质量。到 </w:t>
      </w:r>
      <w:r>
        <w:t>2013</w:t>
      </w:r>
      <w:r>
        <w:rPr>
          <w:spacing w:val="-5"/>
        </w:rPr>
        <w:t xml:space="preserve"> 年实现地区农村</w:t>
      </w:r>
      <w:r>
        <w:rPr>
          <w:spacing w:val="-19"/>
        </w:rPr>
        <w:t xml:space="preserve">电网全覆盖，农村饮水安全覆盖率 </w:t>
      </w:r>
      <w:r>
        <w:rPr>
          <w:spacing w:val="18"/>
        </w:rPr>
        <w:t>1</w:t>
      </w:r>
      <w:r>
        <w:rPr>
          <w:spacing w:val="15"/>
        </w:rPr>
        <w:t>00%</w:t>
      </w:r>
      <w:r>
        <w:rPr>
          <w:spacing w:val="-14"/>
        </w:rPr>
        <w:t>，逐步形成城乡公交相互衔接、</w:t>
      </w:r>
      <w:r>
        <w:rPr>
          <w:spacing w:val="-2"/>
        </w:rPr>
        <w:t>方便快捷的客运网络，引导农村广大居民利用沼气、太阳能等新型清</w:t>
      </w:r>
      <w:r>
        <w:rPr>
          <w:spacing w:val="-4"/>
        </w:rPr>
        <w:t xml:space="preserve">洁能源，农村环境达标率达到 </w:t>
      </w:r>
      <w:r>
        <w:t>100%。</w:t>
      </w:r>
    </w:p>
    <w:p w14:paraId="2088A378">
      <w:pPr>
        <w:pStyle w:val="5"/>
        <w:spacing w:before="0" w:line="363" w:lineRule="auto"/>
        <w:ind w:left="0" w:right="0" w:firstLine="484" w:firstLineChars="200"/>
        <w:jc w:val="both"/>
      </w:pPr>
      <w:r>
        <w:rPr>
          <w:spacing w:val="-19"/>
        </w:rPr>
        <w:t>按照“四个不落后”、“合村并居、规模建设”、“尊重群众意愿、不搞行政命令”的要求，推进安居富民和定居兴牧工程，推动小村向大村（中心村）集中、向人口集中区域集中、向小城镇集中。采取就近就地安置和异地搬迁等方式分类搬迁；对农牧区无生产条件、无劳动力的贫困人口，采取连片开发、产业扶贫、劳务输出、插花安置、设施农业小区安置、城镇安置、民政救助等方式，解决其</w:t>
      </w:r>
      <w:r>
        <w:rPr>
          <w:rFonts w:hint="eastAsia"/>
          <w:spacing w:val="-19"/>
          <w:lang w:eastAsia="zh-CN"/>
        </w:rPr>
        <w:t>生产</w:t>
      </w:r>
      <w:r>
        <w:rPr>
          <w:spacing w:val="-19"/>
        </w:rPr>
        <w:t>生</w:t>
      </w:r>
      <w:r>
        <w:rPr>
          <w:spacing w:val="-4"/>
        </w:rPr>
        <w:t>活问题。2015</w:t>
      </w:r>
      <w:r>
        <w:rPr>
          <w:spacing w:val="-10"/>
        </w:rPr>
        <w:t xml:space="preserve"> 年，按照自治区安居富民和定居兴牧工程要求，全面完</w:t>
      </w:r>
      <w:r>
        <w:rPr>
          <w:spacing w:val="-2"/>
        </w:rPr>
        <w:t>成建设任务。</w:t>
      </w:r>
    </w:p>
    <w:p w14:paraId="5A72B20F">
      <w:pPr>
        <w:pStyle w:val="5"/>
        <w:spacing w:line="363" w:lineRule="auto"/>
        <w:ind w:left="0" w:right="0" w:firstLine="552" w:firstLineChars="200"/>
        <w:jc w:val="both"/>
      </w:pPr>
      <w:r>
        <w:rPr>
          <w:spacing w:val="-2"/>
        </w:rPr>
        <w:t>加强农村医疗、卫生机构的建设，健全新型农村合作医疗体系，改善农村医疗服务水平；加大对农村教育资源的投入，逐步提高城市近郊区农民享受城市公共服务设施的标准。</w:t>
      </w:r>
    </w:p>
    <w:p w14:paraId="1C96EAEA">
      <w:pPr>
        <w:pStyle w:val="3"/>
        <w:spacing w:before="128"/>
        <w:ind w:left="0" w:right="0"/>
        <w:rPr>
          <w:i w:val="0"/>
          <w:iCs w:val="0"/>
        </w:rPr>
      </w:pPr>
      <w:bookmarkStart w:id="158" w:name="_Toc1328734587"/>
      <w:bookmarkStart w:id="159" w:name="_Toc1991834870"/>
      <w:bookmarkStart w:id="160" w:name="_Toc24938"/>
      <w:r>
        <w:rPr>
          <w:i w:val="0"/>
          <w:iCs w:val="0"/>
        </w:rPr>
        <w:t>第三节</w:t>
      </w:r>
      <w:r>
        <w:rPr>
          <w:i w:val="0"/>
          <w:iCs w:val="0"/>
          <w:spacing w:val="12"/>
          <w:w w:val="150"/>
        </w:rPr>
        <w:t xml:space="preserve"> </w:t>
      </w:r>
      <w:r>
        <w:rPr>
          <w:i w:val="0"/>
          <w:iCs w:val="0"/>
        </w:rPr>
        <w:t>提高农牧民收入，缩小城乡</w:t>
      </w:r>
      <w:r>
        <w:rPr>
          <w:i w:val="0"/>
          <w:iCs w:val="0"/>
          <w:spacing w:val="-4"/>
        </w:rPr>
        <w:t>间差距</w:t>
      </w:r>
      <w:bookmarkEnd w:id="158"/>
      <w:bookmarkEnd w:id="159"/>
      <w:bookmarkEnd w:id="160"/>
    </w:p>
    <w:p w14:paraId="4CB322ED">
      <w:pPr>
        <w:pStyle w:val="5"/>
        <w:spacing w:before="5"/>
        <w:ind w:left="0"/>
        <w:rPr>
          <w:rFonts w:ascii="楷体_GB2312"/>
          <w:b/>
          <w:i/>
          <w:sz w:val="34"/>
        </w:rPr>
      </w:pPr>
    </w:p>
    <w:p w14:paraId="6BDF74EB">
      <w:pPr>
        <w:pStyle w:val="5"/>
        <w:spacing w:line="363" w:lineRule="auto"/>
        <w:ind w:left="0" w:firstLine="552" w:firstLineChars="200"/>
        <w:jc w:val="both"/>
      </w:pPr>
      <w:r>
        <w:rPr>
          <w:spacing w:val="-2"/>
        </w:rPr>
        <w:t>拓展农牧民增收途径，不断提高农牧民收入。实施增收人才工程，多途径培育一批想致富、会致富、能致富的新型农民；实施增收产业工程，多领域拓展新渠道，做大做强农业促增收、做优劳务产业促增收、做大创业产业促增收；实施增收助推工程，加快农村土地规模流转、金融组织创新、农业科技创新和农民合作组织发展，多举措完善新机制，构建农民增收长效管理机制。到 2015 年，大幅提高农牧民收入在二、三产业中的比重，农牧民人均纯收入达到 12000 元以上。 落实各项强农惠农政策，注重强化农村金融政策支持，完善政策性农业保险制度，为农村经济发展提供保障。统筹教育、卫生、文化、社会保障等公共资源在城乡间的均衡配置，使公共服务和福利向农村倾斜，加快形成完备的公共服务体系，推进农村繁荣和谐稳定，努力缩小城乡间的差距。</w:t>
      </w:r>
    </w:p>
    <w:p w14:paraId="5B21EFC7">
      <w:pPr>
        <w:pStyle w:val="2"/>
        <w:tabs>
          <w:tab w:val="left" w:pos="1199"/>
        </w:tabs>
        <w:spacing w:before="103"/>
        <w:ind w:right="0"/>
      </w:pPr>
      <w:bookmarkStart w:id="161" w:name="_Toc8729"/>
      <w:bookmarkStart w:id="162" w:name="_Toc1601907040"/>
      <w:bookmarkStart w:id="163" w:name="_Toc444612783"/>
      <w:r>
        <w:t>第八</w:t>
      </w:r>
      <w:r>
        <w:rPr>
          <w:spacing w:val="-10"/>
        </w:rPr>
        <w:t>章</w:t>
      </w:r>
      <w:r>
        <w:tab/>
      </w:r>
      <w:r>
        <w:t>加强基础设施建设，支撑科学跨越发</w:t>
      </w:r>
      <w:r>
        <w:rPr>
          <w:spacing w:val="-10"/>
        </w:rPr>
        <w:t>展</w:t>
      </w:r>
      <w:bookmarkEnd w:id="161"/>
      <w:bookmarkEnd w:id="162"/>
      <w:bookmarkEnd w:id="163"/>
    </w:p>
    <w:p w14:paraId="55521DC1">
      <w:pPr>
        <w:pStyle w:val="5"/>
        <w:spacing w:before="5"/>
        <w:ind w:left="0"/>
        <w:rPr>
          <w:rFonts w:ascii="黑体"/>
          <w:sz w:val="33"/>
        </w:rPr>
      </w:pPr>
    </w:p>
    <w:p w14:paraId="16F32A8D">
      <w:pPr>
        <w:pStyle w:val="5"/>
        <w:spacing w:line="362" w:lineRule="auto"/>
        <w:ind w:left="0" w:right="0" w:firstLine="0"/>
        <w:jc w:val="both"/>
      </w:pPr>
      <w:r>
        <w:rPr>
          <w:rFonts w:hint="eastAsia" w:ascii="黑体"/>
          <w:sz w:val="33"/>
          <w:lang w:val="en-US" w:eastAsia="zh-CN"/>
        </w:rPr>
        <w:t xml:space="preserve">    </w:t>
      </w:r>
      <w:r>
        <w:rPr>
          <w:spacing w:val="-2"/>
        </w:rPr>
        <w:t>按照“统筹规划、合理布局、优化配套、适度超前”的原则，继续加强水利、交通、信息等基础设施建设，为地区经济社会跨越式发展提供强有力的支撑。</w:t>
      </w:r>
    </w:p>
    <w:p w14:paraId="3CD455D1">
      <w:pPr>
        <w:spacing w:after="0" w:line="362" w:lineRule="auto"/>
        <w:jc w:val="both"/>
      </w:pPr>
    </w:p>
    <w:p w14:paraId="3229C338">
      <w:pPr>
        <w:pStyle w:val="3"/>
        <w:spacing w:before="35"/>
        <w:ind w:left="0" w:right="0"/>
        <w:rPr>
          <w:i w:val="0"/>
          <w:iCs w:val="0"/>
        </w:rPr>
      </w:pPr>
      <w:bookmarkStart w:id="164" w:name="_Toc1015796832"/>
      <w:bookmarkStart w:id="165" w:name="_Toc28436"/>
      <w:bookmarkStart w:id="166" w:name="_Toc1420148667"/>
      <w:r>
        <w:rPr>
          <w:i w:val="0"/>
          <w:iCs w:val="0"/>
        </w:rPr>
        <w:t>第一节</w:t>
      </w:r>
      <w:r>
        <w:rPr>
          <w:i w:val="0"/>
          <w:iCs w:val="0"/>
          <w:spacing w:val="12"/>
          <w:w w:val="150"/>
        </w:rPr>
        <w:t xml:space="preserve"> </w:t>
      </w:r>
      <w:r>
        <w:rPr>
          <w:i w:val="0"/>
          <w:iCs w:val="0"/>
        </w:rPr>
        <w:t>加强水利建设，打造安全供</w:t>
      </w:r>
      <w:r>
        <w:rPr>
          <w:i w:val="0"/>
          <w:iCs w:val="0"/>
          <w:spacing w:val="-4"/>
        </w:rPr>
        <w:t>水体系</w:t>
      </w:r>
      <w:bookmarkEnd w:id="164"/>
      <w:bookmarkEnd w:id="165"/>
      <w:bookmarkEnd w:id="166"/>
    </w:p>
    <w:p w14:paraId="7827ECE6">
      <w:pPr>
        <w:pStyle w:val="5"/>
        <w:spacing w:before="5"/>
        <w:ind w:left="0"/>
        <w:rPr>
          <w:rFonts w:ascii="楷体_GB2312"/>
          <w:b/>
          <w:i/>
          <w:sz w:val="34"/>
        </w:rPr>
      </w:pPr>
    </w:p>
    <w:p w14:paraId="557FC0BF">
      <w:pPr>
        <w:pStyle w:val="5"/>
        <w:autoSpaceDE/>
        <w:autoSpaceDN/>
        <w:spacing w:line="363" w:lineRule="auto"/>
        <w:ind w:left="0" w:right="0" w:firstLine="552" w:firstLineChars="200"/>
        <w:jc w:val="both"/>
        <w:rPr>
          <w:spacing w:val="-2"/>
        </w:rPr>
      </w:pPr>
      <w:r>
        <w:rPr>
          <w:spacing w:val="-2"/>
        </w:rPr>
        <w:t>继续加强水利基础设施建设，保障地区供水安全。加快地区流域综合治理、山区控制性水利工程建设和病险水库除险加固，抓紧城镇防洪、主要河流险段堤防工程建设，大力实施万亩以上灌区续建配套与节水改造和农业节水灌溉工程。以牧区水利建设为契机，加强城乡饮用水水源工程建设和水源地保护。</w:t>
      </w:r>
    </w:p>
    <w:p w14:paraId="65D6F931">
      <w:pPr>
        <w:pStyle w:val="5"/>
        <w:autoSpaceDE/>
        <w:autoSpaceDN/>
        <w:spacing w:line="363" w:lineRule="auto"/>
        <w:ind w:left="0" w:right="0" w:firstLine="552" w:firstLineChars="200"/>
        <w:jc w:val="both"/>
        <w:rPr>
          <w:spacing w:val="-2"/>
        </w:rPr>
      </w:pPr>
      <w:r>
        <w:rPr>
          <w:spacing w:val="-2"/>
        </w:rPr>
        <w:t>“十二五”期间，以保障地区新型工业化发展用水为目标，开工建设哈密市三道沟、柳树沟、安拉沟、乌拉台，巴里坤县二道沟、二道白杨沟，伊吾县四道白杨沟等 7 座水库，统筹配置地区现有控制性水库，形成向沙尔湖、大南湖、淖毛湖、三塘湖等工矿区的控制性工程供水网络。</w:t>
      </w:r>
    </w:p>
    <w:p w14:paraId="493172BA">
      <w:pPr>
        <w:pStyle w:val="5"/>
        <w:autoSpaceDE/>
        <w:autoSpaceDN/>
        <w:spacing w:line="363" w:lineRule="auto"/>
        <w:ind w:left="0" w:right="0" w:firstLine="552" w:firstLineChars="200"/>
        <w:jc w:val="both"/>
        <w:rPr>
          <w:spacing w:val="-2"/>
        </w:rPr>
      </w:pPr>
      <w:r>
        <w:rPr>
          <w:spacing w:val="-2"/>
        </w:rPr>
        <w:t>不断完善城乡防洪体系建设。到 2015 年，哈密市、巴里坤县和伊吾县基本具备防御 50 年一遇洪水能力。加快建设以防洪治理为主的中小河流综合治理工程，重点对哈密市三四道沟流域、乌拉台流域，巴里坤县西黑沟流域、柳条河流域，伊吾县伊吾河流域实施综合治理。提高农牧业现代化用水保障。完成巴里坤小柳沟等 12 座小二型水库除险加固工程，建设石城子等 15 座中型水闸除险加固工程，建设石城子灌区、柳条河灌区、西黑沟灌区等大中型灌区节水改造工程。</w:t>
      </w:r>
    </w:p>
    <w:p w14:paraId="70D5AE92">
      <w:pPr>
        <w:pStyle w:val="5"/>
        <w:autoSpaceDE/>
        <w:autoSpaceDN/>
        <w:spacing w:line="363" w:lineRule="auto"/>
        <w:ind w:left="0" w:right="0" w:firstLine="552" w:firstLineChars="200"/>
        <w:jc w:val="both"/>
        <w:rPr>
          <w:spacing w:val="-2"/>
        </w:rPr>
      </w:pPr>
      <w:r>
        <w:rPr>
          <w:spacing w:val="-2"/>
        </w:rPr>
        <w:t>加快牧区水利建设。重点新建、改建一批以小水库和塘坝为主的牧区水利水源工程和田间节水工程，完成哈密市乌拉台、巴里坤县大柳沟、伊吾县阿拉通盖水库等定居兴牧水利工程建设。结合地区农业种植业结构调</w:t>
      </w:r>
      <w:bookmarkStart w:id="167" w:name="_bookmark36"/>
      <w:bookmarkEnd w:id="167"/>
      <w:bookmarkStart w:id="168" w:name="第一节  加强水利建设，打造安全供水体系"/>
      <w:bookmarkEnd w:id="168"/>
      <w:r>
        <w:rPr>
          <w:spacing w:val="-2"/>
        </w:rPr>
        <w:t>整，到 2015 年建设节水型、优质饲草料地 20 万亩。</w:t>
      </w:r>
    </w:p>
    <w:p w14:paraId="74644762">
      <w:pPr>
        <w:pStyle w:val="5"/>
        <w:spacing w:before="0" w:line="362" w:lineRule="auto"/>
        <w:ind w:left="0" w:right="539" w:firstLine="512" w:firstLineChars="200"/>
        <w:jc w:val="both"/>
        <w:rPr>
          <w:spacing w:val="-12"/>
        </w:rPr>
      </w:pPr>
      <w:r>
        <w:rPr>
          <w:spacing w:val="-12"/>
        </w:rPr>
        <w:t>推进农村饮水安全工程建设。到 2013 年全面解决全地区 94 个村（搬迁点）9.94 万人的饮水安全问题。</w:t>
      </w:r>
    </w:p>
    <w:p w14:paraId="315D0F52">
      <w:pPr>
        <w:spacing w:after="0"/>
        <w:jc w:val="both"/>
      </w:pPr>
    </w:p>
    <w:p w14:paraId="6AFC5D63">
      <w:pPr>
        <w:pStyle w:val="3"/>
        <w:spacing w:before="35"/>
        <w:ind w:left="0" w:right="0"/>
        <w:rPr>
          <w:i w:val="0"/>
          <w:iCs w:val="0"/>
        </w:rPr>
      </w:pPr>
      <w:bookmarkStart w:id="169" w:name="_Toc1026793909"/>
      <w:bookmarkStart w:id="170" w:name="_Toc8119"/>
      <w:bookmarkStart w:id="171" w:name="_Toc1753779482"/>
      <w:r>
        <w:rPr>
          <w:i w:val="0"/>
          <w:iCs w:val="0"/>
        </w:rPr>
        <w:t>第二节</w:t>
      </w:r>
      <w:r>
        <w:rPr>
          <w:i w:val="0"/>
          <w:iCs w:val="0"/>
          <w:spacing w:val="12"/>
          <w:w w:val="150"/>
        </w:rPr>
        <w:t xml:space="preserve"> </w:t>
      </w:r>
      <w:r>
        <w:rPr>
          <w:i w:val="0"/>
          <w:iCs w:val="0"/>
        </w:rPr>
        <w:t>完善交通网络，构建立体通</w:t>
      </w:r>
      <w:r>
        <w:rPr>
          <w:i w:val="0"/>
          <w:iCs w:val="0"/>
          <w:spacing w:val="-4"/>
        </w:rPr>
        <w:t>达系统</w:t>
      </w:r>
      <w:bookmarkEnd w:id="169"/>
      <w:bookmarkEnd w:id="170"/>
      <w:bookmarkEnd w:id="171"/>
    </w:p>
    <w:p w14:paraId="0D9CA8FA">
      <w:pPr>
        <w:pStyle w:val="5"/>
        <w:spacing w:before="5"/>
        <w:ind w:left="0"/>
        <w:rPr>
          <w:rFonts w:ascii="楷体_GB2312"/>
          <w:b/>
          <w:i/>
          <w:sz w:val="34"/>
        </w:rPr>
      </w:pPr>
    </w:p>
    <w:p w14:paraId="16DD9F1E">
      <w:pPr>
        <w:pStyle w:val="5"/>
        <w:autoSpaceDE/>
        <w:autoSpaceDN/>
        <w:spacing w:line="363" w:lineRule="auto"/>
        <w:ind w:left="0" w:right="0" w:firstLine="552" w:firstLineChars="200"/>
        <w:jc w:val="both"/>
      </w:pPr>
      <w:r>
        <w:rPr>
          <w:spacing w:val="-2"/>
        </w:rPr>
        <w:t>围绕自治区“57712”立体交通格局规划，优先布局对国民经济社会发展有重大影响的运输通道，加快跨区域公路、铁路建设，发展航空、管道运输，大力改善广大农牧区的交通条件，整合运输资源，优化网络布局，提升综合交通运输能力和服务水平。“十二五”期间，紧紧抓住公路、铁路快速发展的机遇，加快交通基础设施建设，构建铁路、航空、公路为一体的综合运输枢纽体系，实现客运“零距离换</w:t>
      </w:r>
      <w:r>
        <w:rPr>
          <w:spacing w:val="-6"/>
        </w:rPr>
        <w:t>乘”、货运“无缝衔接”。充分发挥哈密交通优势，凸显哈密在新疆、</w:t>
      </w:r>
      <w:r>
        <w:rPr>
          <w:spacing w:val="-2"/>
        </w:rPr>
        <w:t>西部乃至全国的重要交通枢纽地位。加快公路建设步伐，特别是加快打通制约优势资源开发的“瓶颈路”。</w:t>
      </w:r>
    </w:p>
    <w:p w14:paraId="0EBFE71D">
      <w:pPr>
        <w:pStyle w:val="5"/>
        <w:spacing w:before="0" w:line="363" w:lineRule="auto"/>
        <w:ind w:left="0" w:right="0" w:firstLine="556" w:firstLineChars="200"/>
        <w:jc w:val="both"/>
      </w:pPr>
      <w:r>
        <w:rPr>
          <w:spacing w:val="-1"/>
        </w:rPr>
        <w:t>“十二五”期间，全力推进新建兰新铁路第二双线、红乌铁路电</w:t>
      </w:r>
      <w:r>
        <w:rPr>
          <w:spacing w:val="-2"/>
        </w:rPr>
        <w:t>气化改造、哈密—罗中、哈密货场南环线、哈密铁路枢纽引入工程等铁路项目的建设进程，重点加快哈密—将军庙、哈密—额济纳、淖毛湖—兰新线、沙尔湖—敦煌等铁路的开工建设，争取启动将军庙－三塘湖－淖毛湖－兰新铁路前期工作；重点加快连霍高速公路哈密段、京新高速公路（骆驼圈子－明水，伊吾－明水）、南湖－沙尔湖、三</w:t>
      </w:r>
      <w:r>
        <w:rPr>
          <w:spacing w:val="-14"/>
        </w:rPr>
        <w:t>塘湖－老爷庙、下涝坝－红山口等国省道建设项目，加强东天山隧道、</w:t>
      </w:r>
      <w:r>
        <w:rPr>
          <w:spacing w:val="3"/>
        </w:rPr>
        <w:t>哈密南部外环快速通道、大南湖煤矿至</w:t>
      </w:r>
      <w:r>
        <w:t>G30</w:t>
      </w:r>
      <w:r>
        <w:rPr>
          <w:spacing w:val="-7"/>
        </w:rPr>
        <w:t xml:space="preserve"> 等公路建设。加快对连接</w:t>
      </w:r>
      <w:r>
        <w:rPr>
          <w:spacing w:val="-6"/>
        </w:rPr>
        <w:t xml:space="preserve">中心城镇的主干道、省道 </w:t>
      </w:r>
      <w:r>
        <w:t>302、303</w:t>
      </w:r>
      <w:r>
        <w:rPr>
          <w:spacing w:val="-9"/>
        </w:rPr>
        <w:t xml:space="preserve"> 以及哈罗公路的提升改造，加大县</w:t>
      </w:r>
      <w:r>
        <w:rPr>
          <w:spacing w:val="-2"/>
        </w:rPr>
        <w:t>乡道路的建设力度，加快重要农村公路、通村油路、矿区资源公路的建设；加快哈密机场飞行区改扩建工程，争取再开通乌鲁木齐经停哈</w:t>
      </w:r>
      <w:r>
        <w:rPr>
          <w:spacing w:val="-4"/>
        </w:rPr>
        <w:t xml:space="preserve">密通往内地的 </w:t>
      </w:r>
      <w:r>
        <w:t>2—4</w:t>
      </w:r>
      <w:r>
        <w:rPr>
          <w:spacing w:val="-14"/>
        </w:rPr>
        <w:t xml:space="preserve"> 条航线；积极支持输油气管道建设，加快淖毛湖与</w:t>
      </w:r>
      <w:r>
        <w:rPr>
          <w:spacing w:val="-13"/>
        </w:rPr>
        <w:t>西气东输管道的连接，支持第二条出疆成品油、西气东输三线等项目。</w:t>
      </w:r>
    </w:p>
    <w:p w14:paraId="61A71F9B">
      <w:pPr>
        <w:spacing w:after="0"/>
        <w:jc w:val="both"/>
        <w:sectPr>
          <w:pgSz w:w="11910" w:h="16840"/>
          <w:pgMar w:top="1520" w:right="1260" w:bottom="1180" w:left="1480" w:header="0" w:footer="993" w:gutter="0"/>
          <w:pgNumType w:fmt="decimal"/>
          <w:cols w:space="720" w:num="1"/>
        </w:sectPr>
      </w:pPr>
    </w:p>
    <w:p w14:paraId="15FA2148">
      <w:pPr>
        <w:pStyle w:val="5"/>
        <w:spacing w:before="3"/>
        <w:ind w:left="0"/>
        <w:rPr>
          <w:sz w:val="10"/>
        </w:rPr>
      </w:pPr>
      <w:bookmarkStart w:id="172" w:name="第二节  完善交通网络，构建立体通达系统"/>
      <w:bookmarkEnd w:id="172"/>
      <w:bookmarkStart w:id="173" w:name="_bookmark37"/>
      <w:bookmarkEnd w:id="173"/>
    </w:p>
    <w:p w14:paraId="536D0CFD">
      <w:pPr>
        <w:spacing w:before="70" w:afterLines="50"/>
        <w:ind w:left="867" w:right="1298" w:firstLine="0"/>
        <w:jc w:val="center"/>
        <w:rPr>
          <w:rFonts w:hint="eastAsia" w:ascii="黑体" w:hAnsi="黑体" w:eastAsia="黑体"/>
          <w:b/>
          <w:sz w:val="21"/>
        </w:rPr>
      </w:pPr>
      <w:r>
        <w:pict>
          <v:shape id="docshape34" o:spid="_x0000_s1053" style="position:absolute;left:0pt;margin-left:85.05pt;margin-top:-6.3pt;height:384.25pt;width:414.75pt;mso-position-horizontal-relative:page;z-index:-251651072;mso-width-relative:page;mso-height-relative:page;" fillcolor="#000000" filled="t" stroked="f" coordorigin="1701,0" coordsize="8295,7739" path="m9996,7739l1701,7739,1701,-126,9996,-126,9996,-119,1716,-119,1709,-111,1716,-111,1716,7724,1709,7724,1716,7731,9996,7731,9996,7739xm1716,-111l1709,-111,1716,-119,1716,-111xm9981,-111l1716,-111,1716,-119,9981,-119,9981,-111xm9981,7731l9981,-119,9989,-111,9996,-111,9996,7724,9989,7724,9981,7731xm9996,-111l9989,-111,9981,-119,9996,-119,9996,-111xm1716,7731l1709,7724,1716,7724,1716,7731xm9981,7731l1716,7731,1716,7724,9981,7724,9981,7731xm9996,7731l9981,7731,9989,7724,9996,7724,9996,7731xe">
            <v:path arrowok="t"/>
            <v:fill on="t" color2="#FFFFFF" focussize="0,0"/>
            <v:stroke on="f"/>
            <v:imagedata o:title=""/>
            <o:lock v:ext="edit" aspectratio="f"/>
          </v:shape>
        </w:pict>
      </w:r>
      <w:r>
        <w:rPr>
          <w:rFonts w:hint="eastAsia" w:ascii="黑体" w:hAnsi="黑体" w:eastAsia="黑体"/>
          <w:b/>
          <w:spacing w:val="-17"/>
          <w:sz w:val="21"/>
        </w:rPr>
        <w:t xml:space="preserve">专栏 </w:t>
      </w:r>
      <w:r>
        <w:rPr>
          <w:rFonts w:hint="eastAsia" w:ascii="黑体" w:hAnsi="黑体" w:eastAsia="黑体"/>
          <w:b/>
          <w:sz w:val="21"/>
        </w:rPr>
        <w:t>8-1</w:t>
      </w:r>
      <w:r>
        <w:rPr>
          <w:rFonts w:hint="eastAsia" w:ascii="黑体" w:hAnsi="黑体" w:eastAsia="黑体"/>
          <w:b/>
          <w:spacing w:val="-7"/>
          <w:sz w:val="21"/>
        </w:rPr>
        <w:t xml:space="preserve"> “</w:t>
      </w:r>
      <w:r>
        <w:rPr>
          <w:rFonts w:hint="eastAsia" w:ascii="黑体" w:hAnsi="黑体" w:eastAsia="黑体"/>
          <w:b/>
          <w:sz w:val="21"/>
        </w:rPr>
        <w:t>57712”工</w:t>
      </w:r>
      <w:r>
        <w:rPr>
          <w:rFonts w:hint="eastAsia" w:ascii="黑体" w:hAnsi="黑体" w:eastAsia="黑体"/>
          <w:b/>
          <w:spacing w:val="-10"/>
          <w:sz w:val="21"/>
        </w:rPr>
        <w:t>程</w:t>
      </w:r>
    </w:p>
    <w:p w14:paraId="0733EE49">
      <w:pPr>
        <w:spacing w:before="131" w:line="322" w:lineRule="auto"/>
        <w:ind w:left="380" w:right="808" w:firstLine="420"/>
        <w:jc w:val="left"/>
        <w:rPr>
          <w:rFonts w:ascii="宋体" w:hAnsi="宋体" w:eastAsia="宋体"/>
          <w:sz w:val="21"/>
        </w:rPr>
      </w:pPr>
      <w:r>
        <w:rPr>
          <w:rFonts w:ascii="宋体" w:hAnsi="宋体" w:eastAsia="宋体"/>
          <w:spacing w:val="-2"/>
          <w:sz w:val="21"/>
        </w:rPr>
        <w:t>是指构筑“五横七纵”高速、高等级公路网，建设七大国家级公路运输枢纽，建成四条东联内地和八条西出国际共计十二条通道。</w:t>
      </w:r>
    </w:p>
    <w:p w14:paraId="55173D6A">
      <w:pPr>
        <w:spacing w:before="0" w:line="322" w:lineRule="auto"/>
        <w:ind w:left="792" w:right="0" w:firstLine="0"/>
        <w:jc w:val="left"/>
        <w:rPr>
          <w:rFonts w:ascii="宋体" w:hAnsi="宋体" w:eastAsia="宋体"/>
          <w:sz w:val="21"/>
        </w:rPr>
      </w:pPr>
      <w:r>
        <w:rPr>
          <w:rFonts w:hint="eastAsia" w:ascii="黑体" w:hAnsi="黑体" w:eastAsia="黑体"/>
          <w:b/>
          <w:spacing w:val="-2"/>
          <w:sz w:val="21"/>
        </w:rPr>
        <w:t>“5</w:t>
      </w:r>
      <w:r>
        <w:rPr>
          <w:rFonts w:hint="eastAsia" w:ascii="黑体" w:hAnsi="黑体" w:eastAsia="黑体"/>
          <w:b/>
          <w:spacing w:val="-41"/>
          <w:sz w:val="21"/>
        </w:rPr>
        <w:t xml:space="preserve"> 横”</w:t>
      </w:r>
      <w:r>
        <w:rPr>
          <w:rFonts w:ascii="宋体" w:hAnsi="宋体" w:eastAsia="宋体"/>
          <w:spacing w:val="-2"/>
          <w:sz w:val="21"/>
        </w:rPr>
        <w:t>分别是</w:t>
      </w:r>
      <w:r>
        <w:rPr>
          <w:rFonts w:ascii="宋体" w:hAnsi="宋体" w:eastAsia="宋体"/>
          <w:spacing w:val="-14"/>
          <w:sz w:val="21"/>
        </w:rPr>
        <w:t>：华东—星星峡—乌鲁木齐—霍尔果斯口岸高速公路</w:t>
      </w:r>
      <w:r>
        <w:rPr>
          <w:rFonts w:ascii="宋体" w:hAnsi="宋体" w:eastAsia="宋体"/>
          <w:spacing w:val="-2"/>
          <w:sz w:val="21"/>
        </w:rPr>
        <w:t>（区</w:t>
      </w:r>
      <w:r>
        <w:rPr>
          <w:rFonts w:ascii="宋体" w:hAnsi="宋体" w:eastAsia="宋体"/>
          <w:spacing w:val="-14"/>
          <w:sz w:val="21"/>
        </w:rPr>
        <w:t xml:space="preserve">内里程 </w:t>
      </w:r>
      <w:r>
        <w:rPr>
          <w:rFonts w:ascii="宋体" w:hAnsi="宋体" w:eastAsia="宋体"/>
          <w:spacing w:val="-4"/>
          <w:sz w:val="21"/>
        </w:rPr>
        <w:t>1431</w:t>
      </w:r>
    </w:p>
    <w:p w14:paraId="72EF77C4">
      <w:pPr>
        <w:spacing w:before="132" w:line="322" w:lineRule="auto"/>
        <w:ind w:left="380" w:right="808" w:firstLine="0"/>
        <w:jc w:val="left"/>
        <w:rPr>
          <w:rFonts w:ascii="宋体" w:hAnsi="宋体" w:eastAsia="宋体"/>
          <w:sz w:val="21"/>
        </w:rPr>
      </w:pPr>
      <w:r>
        <w:rPr>
          <w:rFonts w:ascii="宋体" w:hAnsi="宋体" w:eastAsia="宋体"/>
          <w:spacing w:val="-6"/>
          <w:sz w:val="21"/>
        </w:rPr>
        <w:t>公里</w:t>
      </w:r>
      <w:r>
        <w:rPr>
          <w:rFonts w:ascii="宋体" w:hAnsi="宋体" w:eastAsia="宋体"/>
          <w:spacing w:val="-59"/>
          <w:sz w:val="21"/>
        </w:rPr>
        <w:t>）</w:t>
      </w:r>
      <w:r>
        <w:rPr>
          <w:rFonts w:ascii="宋体" w:hAnsi="宋体" w:eastAsia="宋体"/>
          <w:spacing w:val="6"/>
          <w:sz w:val="21"/>
        </w:rPr>
        <w:t>；华北—</w:t>
      </w:r>
      <w:r>
        <w:rPr>
          <w:rFonts w:ascii="宋体" w:hAnsi="宋体" w:eastAsia="宋体"/>
          <w:spacing w:val="-6"/>
          <w:sz w:val="21"/>
        </w:rPr>
        <w:t>明水—克拉玛依—巴克图口岸高速公路（区内里程 1520 公里</w:t>
      </w:r>
      <w:r>
        <w:rPr>
          <w:rFonts w:ascii="宋体" w:hAnsi="宋体" w:eastAsia="宋体"/>
          <w:spacing w:val="-59"/>
          <w:sz w:val="21"/>
        </w:rPr>
        <w:t>）</w:t>
      </w:r>
      <w:r>
        <w:rPr>
          <w:rFonts w:ascii="宋体" w:hAnsi="宋体" w:eastAsia="宋体"/>
          <w:spacing w:val="6"/>
          <w:sz w:val="21"/>
        </w:rPr>
        <w:t>；乌鲁木</w:t>
      </w:r>
      <w:r>
        <w:rPr>
          <w:rFonts w:ascii="宋体" w:hAnsi="宋体" w:eastAsia="宋体"/>
          <w:sz w:val="21"/>
        </w:rPr>
        <w:t>齐—喀什—红其拉甫口岸高速、高等级公路（1760</w:t>
      </w:r>
      <w:r>
        <w:rPr>
          <w:rFonts w:ascii="宋体" w:hAnsi="宋体" w:eastAsia="宋体"/>
          <w:spacing w:val="-14"/>
          <w:sz w:val="21"/>
        </w:rPr>
        <w:t xml:space="preserve"> 公</w:t>
      </w:r>
      <w:r>
        <w:rPr>
          <w:rFonts w:ascii="宋体" w:hAnsi="宋体" w:eastAsia="宋体"/>
          <w:sz w:val="21"/>
        </w:rPr>
        <w:t>里</w:t>
      </w:r>
      <w:r>
        <w:rPr>
          <w:rFonts w:ascii="宋体" w:hAnsi="宋体" w:eastAsia="宋体"/>
          <w:spacing w:val="-104"/>
          <w:sz w:val="21"/>
        </w:rPr>
        <w:t>）</w:t>
      </w:r>
      <w:r>
        <w:rPr>
          <w:rFonts w:ascii="宋体" w:hAnsi="宋体" w:eastAsia="宋体"/>
          <w:spacing w:val="2"/>
          <w:sz w:val="21"/>
        </w:rPr>
        <w:t>；</w:t>
      </w:r>
      <w:r>
        <w:rPr>
          <w:rFonts w:ascii="宋体" w:hAnsi="宋体" w:eastAsia="宋体"/>
          <w:sz w:val="21"/>
        </w:rPr>
        <w:t>西南—西宁—依吞布拉克—</w:t>
      </w:r>
      <w:r>
        <w:rPr>
          <w:rFonts w:ascii="宋体" w:hAnsi="宋体" w:eastAsia="宋体"/>
          <w:spacing w:val="-2"/>
          <w:sz w:val="21"/>
        </w:rPr>
        <w:t>和田—喀什—伊尔克斯坦口岸高速公路（</w:t>
      </w:r>
      <w:r>
        <w:rPr>
          <w:rFonts w:ascii="宋体" w:hAnsi="宋体" w:eastAsia="宋体"/>
          <w:spacing w:val="-7"/>
          <w:sz w:val="21"/>
        </w:rPr>
        <w:t xml:space="preserve">区内里程 </w:t>
      </w:r>
      <w:r>
        <w:rPr>
          <w:rFonts w:ascii="宋体" w:hAnsi="宋体" w:eastAsia="宋体"/>
          <w:spacing w:val="-2"/>
          <w:sz w:val="21"/>
        </w:rPr>
        <w:t>1895</w:t>
      </w:r>
      <w:r>
        <w:rPr>
          <w:rFonts w:ascii="宋体" w:hAnsi="宋体" w:eastAsia="宋体"/>
          <w:spacing w:val="-10"/>
          <w:sz w:val="21"/>
        </w:rPr>
        <w:t xml:space="preserve"> 公里</w:t>
      </w:r>
      <w:r>
        <w:rPr>
          <w:rFonts w:ascii="宋体" w:hAnsi="宋体" w:eastAsia="宋体"/>
          <w:spacing w:val="-104"/>
          <w:sz w:val="21"/>
        </w:rPr>
        <w:t>）</w:t>
      </w:r>
      <w:r>
        <w:rPr>
          <w:rFonts w:ascii="宋体" w:hAnsi="宋体" w:eastAsia="宋体"/>
          <w:spacing w:val="-1"/>
          <w:sz w:val="21"/>
        </w:rPr>
        <w:t>；</w:t>
      </w:r>
      <w:r>
        <w:rPr>
          <w:rFonts w:ascii="宋体" w:hAnsi="宋体" w:eastAsia="宋体"/>
          <w:spacing w:val="-2"/>
          <w:sz w:val="21"/>
        </w:rPr>
        <w:t>伊宁—托克逊—哈密—</w:t>
      </w:r>
      <w:r>
        <w:rPr>
          <w:rFonts w:ascii="宋体" w:hAnsi="宋体" w:eastAsia="宋体"/>
          <w:sz w:val="21"/>
        </w:rPr>
        <w:t>西煤东运煤炭基地高等级公路（1254</w:t>
      </w:r>
      <w:r>
        <w:rPr>
          <w:rFonts w:ascii="宋体" w:hAnsi="宋体" w:eastAsia="宋体"/>
          <w:spacing w:val="-15"/>
          <w:sz w:val="21"/>
        </w:rPr>
        <w:t xml:space="preserve"> 公里</w:t>
      </w:r>
      <w:r>
        <w:rPr>
          <w:rFonts w:ascii="宋体" w:hAnsi="宋体" w:eastAsia="宋体"/>
          <w:spacing w:val="-104"/>
          <w:sz w:val="21"/>
        </w:rPr>
        <w:t>）</w:t>
      </w:r>
      <w:r>
        <w:rPr>
          <w:rFonts w:ascii="宋体" w:hAnsi="宋体" w:eastAsia="宋体"/>
          <w:sz w:val="21"/>
        </w:rPr>
        <w:t>。</w:t>
      </w:r>
    </w:p>
    <w:p w14:paraId="62AAFB8C">
      <w:pPr>
        <w:spacing w:before="0" w:line="322" w:lineRule="auto"/>
        <w:ind w:left="380" w:right="808" w:firstLine="412"/>
        <w:jc w:val="left"/>
        <w:rPr>
          <w:rFonts w:ascii="宋体" w:hAnsi="宋体" w:eastAsia="宋体"/>
          <w:sz w:val="21"/>
        </w:rPr>
      </w:pPr>
      <w:r>
        <w:rPr>
          <w:rFonts w:hint="eastAsia" w:ascii="黑体" w:hAnsi="黑体" w:eastAsia="黑体"/>
          <w:b/>
          <w:sz w:val="21"/>
        </w:rPr>
        <w:t>“7</w:t>
      </w:r>
      <w:r>
        <w:rPr>
          <w:rFonts w:hint="eastAsia" w:ascii="黑体" w:hAnsi="黑体" w:eastAsia="黑体"/>
          <w:b/>
          <w:spacing w:val="-10"/>
          <w:sz w:val="21"/>
        </w:rPr>
        <w:t xml:space="preserve"> 纵”</w:t>
      </w:r>
      <w:r>
        <w:rPr>
          <w:rFonts w:ascii="宋体" w:hAnsi="宋体" w:eastAsia="宋体"/>
          <w:sz w:val="21"/>
        </w:rPr>
        <w:t>分别是：阿勒泰—乌鲁木齐—依吞布拉克—西宁—西南高速公路（区内里</w:t>
      </w:r>
      <w:r>
        <w:rPr>
          <w:rFonts w:ascii="宋体" w:hAnsi="宋体" w:eastAsia="宋体"/>
          <w:spacing w:val="-4"/>
          <w:sz w:val="21"/>
        </w:rPr>
        <w:t>程</w:t>
      </w:r>
      <w:r>
        <w:rPr>
          <w:rFonts w:ascii="宋体" w:hAnsi="宋体" w:eastAsia="宋体"/>
          <w:spacing w:val="-23"/>
          <w:sz w:val="21"/>
        </w:rPr>
        <w:t xml:space="preserve"> </w:t>
      </w:r>
      <w:r>
        <w:rPr>
          <w:rFonts w:ascii="宋体" w:hAnsi="宋体" w:eastAsia="宋体"/>
          <w:spacing w:val="-4"/>
          <w:sz w:val="21"/>
        </w:rPr>
        <w:t>1442</w:t>
      </w:r>
      <w:r>
        <w:rPr>
          <w:rFonts w:ascii="宋体" w:hAnsi="宋体" w:eastAsia="宋体"/>
          <w:spacing w:val="-10"/>
          <w:sz w:val="21"/>
        </w:rPr>
        <w:t xml:space="preserve"> 公里</w:t>
      </w:r>
      <w:r>
        <w:rPr>
          <w:rFonts w:ascii="宋体" w:hAnsi="宋体" w:eastAsia="宋体"/>
          <w:spacing w:val="-104"/>
          <w:sz w:val="21"/>
        </w:rPr>
        <w:t>）</w:t>
      </w:r>
      <w:r>
        <w:rPr>
          <w:rFonts w:ascii="宋体" w:hAnsi="宋体" w:eastAsia="宋体"/>
          <w:spacing w:val="2"/>
          <w:sz w:val="21"/>
        </w:rPr>
        <w:t>；</w:t>
      </w:r>
      <w:r>
        <w:rPr>
          <w:rFonts w:ascii="宋体" w:hAnsi="宋体" w:eastAsia="宋体"/>
          <w:spacing w:val="-4"/>
          <w:sz w:val="21"/>
        </w:rPr>
        <w:t>阿勒泰—奎屯—库车—和田高速、高等级公路（1733</w:t>
      </w:r>
      <w:r>
        <w:rPr>
          <w:rFonts w:ascii="宋体" w:hAnsi="宋体" w:eastAsia="宋体"/>
          <w:spacing w:val="-13"/>
          <w:sz w:val="21"/>
        </w:rPr>
        <w:t xml:space="preserve"> 公</w:t>
      </w:r>
      <w:r>
        <w:rPr>
          <w:rFonts w:ascii="宋体" w:hAnsi="宋体" w:eastAsia="宋体"/>
          <w:spacing w:val="-4"/>
          <w:sz w:val="21"/>
        </w:rPr>
        <w:t>里</w:t>
      </w:r>
      <w:r>
        <w:rPr>
          <w:rFonts w:ascii="宋体" w:hAnsi="宋体" w:eastAsia="宋体"/>
          <w:spacing w:val="-56"/>
          <w:sz w:val="21"/>
        </w:rPr>
        <w:t>）</w:t>
      </w:r>
      <w:r>
        <w:rPr>
          <w:rFonts w:ascii="宋体" w:hAnsi="宋体" w:eastAsia="宋体"/>
          <w:spacing w:val="47"/>
          <w:sz w:val="21"/>
        </w:rPr>
        <w:t>；</w:t>
      </w:r>
      <w:r>
        <w:rPr>
          <w:rFonts w:ascii="宋体" w:hAnsi="宋体" w:eastAsia="宋体"/>
          <w:spacing w:val="-4"/>
          <w:sz w:val="21"/>
        </w:rPr>
        <w:t>喀纳斯口</w:t>
      </w:r>
      <w:r>
        <w:rPr>
          <w:rFonts w:ascii="宋体" w:hAnsi="宋体" w:eastAsia="宋体"/>
          <w:sz w:val="21"/>
        </w:rPr>
        <w:t>岸—阿拉山口—阿克苏—英吉沙高等级公路（2106</w:t>
      </w:r>
      <w:r>
        <w:rPr>
          <w:rFonts w:ascii="宋体" w:hAnsi="宋体" w:eastAsia="宋体"/>
          <w:spacing w:val="-14"/>
          <w:sz w:val="21"/>
        </w:rPr>
        <w:t xml:space="preserve"> 公</w:t>
      </w:r>
      <w:r>
        <w:rPr>
          <w:rFonts w:ascii="宋体" w:hAnsi="宋体" w:eastAsia="宋体"/>
          <w:sz w:val="21"/>
        </w:rPr>
        <w:t>里</w:t>
      </w:r>
      <w:r>
        <w:rPr>
          <w:rFonts w:ascii="宋体" w:hAnsi="宋体" w:eastAsia="宋体"/>
          <w:spacing w:val="-104"/>
          <w:sz w:val="21"/>
        </w:rPr>
        <w:t>）</w:t>
      </w:r>
      <w:r>
        <w:rPr>
          <w:rFonts w:ascii="宋体" w:hAnsi="宋体" w:eastAsia="宋体"/>
          <w:spacing w:val="2"/>
          <w:sz w:val="21"/>
        </w:rPr>
        <w:t>；</w:t>
      </w:r>
      <w:r>
        <w:rPr>
          <w:rFonts w:ascii="宋体" w:hAnsi="宋体" w:eastAsia="宋体"/>
          <w:sz w:val="21"/>
        </w:rPr>
        <w:t>阿黑土别克口岸—阿勒泰—木垒—鄯善—西煤东运煤炭基地高等级公路（1210</w:t>
      </w:r>
      <w:r>
        <w:rPr>
          <w:rFonts w:ascii="宋体" w:hAnsi="宋体" w:eastAsia="宋体"/>
          <w:spacing w:val="-14"/>
          <w:sz w:val="21"/>
        </w:rPr>
        <w:t xml:space="preserve"> 公</w:t>
      </w:r>
      <w:r>
        <w:rPr>
          <w:rFonts w:ascii="宋体" w:hAnsi="宋体" w:eastAsia="宋体"/>
          <w:sz w:val="21"/>
        </w:rPr>
        <w:t>里</w:t>
      </w:r>
      <w:r>
        <w:rPr>
          <w:rFonts w:ascii="宋体" w:hAnsi="宋体" w:eastAsia="宋体"/>
          <w:spacing w:val="-104"/>
          <w:sz w:val="21"/>
        </w:rPr>
        <w:t>）</w:t>
      </w:r>
      <w:r>
        <w:rPr>
          <w:rFonts w:ascii="宋体" w:hAnsi="宋体" w:eastAsia="宋体"/>
          <w:spacing w:val="2"/>
          <w:sz w:val="21"/>
        </w:rPr>
        <w:t>；</w:t>
      </w:r>
      <w:r>
        <w:rPr>
          <w:rFonts w:ascii="宋体" w:hAnsi="宋体" w:eastAsia="宋体"/>
          <w:sz w:val="21"/>
        </w:rPr>
        <w:t>老爷庙口岸—哈密—若羌高</w:t>
      </w:r>
      <w:r>
        <w:rPr>
          <w:rFonts w:ascii="宋体" w:hAnsi="宋体" w:eastAsia="宋体"/>
          <w:spacing w:val="-4"/>
          <w:sz w:val="21"/>
        </w:rPr>
        <w:t>等级公路（883</w:t>
      </w:r>
      <w:r>
        <w:rPr>
          <w:rFonts w:ascii="宋体" w:hAnsi="宋体" w:eastAsia="宋体"/>
          <w:spacing w:val="-11"/>
          <w:sz w:val="21"/>
        </w:rPr>
        <w:t xml:space="preserve"> 公里</w:t>
      </w:r>
      <w:r>
        <w:rPr>
          <w:rFonts w:ascii="宋体" w:hAnsi="宋体" w:eastAsia="宋体"/>
          <w:spacing w:val="-60"/>
          <w:sz w:val="21"/>
        </w:rPr>
        <w:t>）</w:t>
      </w:r>
      <w:r>
        <w:rPr>
          <w:rFonts w:ascii="宋体" w:hAnsi="宋体" w:eastAsia="宋体"/>
          <w:spacing w:val="-12"/>
          <w:sz w:val="21"/>
        </w:rPr>
        <w:t>；轮台—民丰—红土达坂高等级公路</w:t>
      </w:r>
      <w:r>
        <w:rPr>
          <w:rFonts w:ascii="宋体" w:hAnsi="宋体" w:eastAsia="宋体"/>
          <w:spacing w:val="-4"/>
          <w:sz w:val="21"/>
        </w:rPr>
        <w:t>（</w:t>
      </w:r>
      <w:r>
        <w:rPr>
          <w:rFonts w:ascii="宋体" w:hAnsi="宋体" w:eastAsia="宋体"/>
          <w:spacing w:val="-8"/>
          <w:sz w:val="21"/>
        </w:rPr>
        <w:t xml:space="preserve">区内里程 </w:t>
      </w:r>
      <w:r>
        <w:rPr>
          <w:rFonts w:ascii="宋体" w:hAnsi="宋体" w:eastAsia="宋体"/>
          <w:spacing w:val="-4"/>
          <w:sz w:val="21"/>
        </w:rPr>
        <w:t>1146</w:t>
      </w:r>
      <w:r>
        <w:rPr>
          <w:rFonts w:ascii="宋体" w:hAnsi="宋体" w:eastAsia="宋体"/>
          <w:spacing w:val="-10"/>
          <w:sz w:val="21"/>
        </w:rPr>
        <w:t xml:space="preserve"> 公里</w:t>
      </w:r>
      <w:r>
        <w:rPr>
          <w:rFonts w:ascii="宋体" w:hAnsi="宋体" w:eastAsia="宋体"/>
          <w:spacing w:val="-59"/>
          <w:sz w:val="21"/>
        </w:rPr>
        <w:t>）</w:t>
      </w:r>
      <w:r>
        <w:rPr>
          <w:rFonts w:ascii="宋体" w:hAnsi="宋体" w:eastAsia="宋体"/>
          <w:spacing w:val="-23"/>
          <w:sz w:val="21"/>
        </w:rPr>
        <w:t>；阿克</w:t>
      </w:r>
      <w:r>
        <w:rPr>
          <w:rFonts w:ascii="宋体" w:hAnsi="宋体" w:eastAsia="宋体"/>
          <w:sz w:val="21"/>
        </w:rPr>
        <w:t>苏—图木舒克—叶城—西藏高速、高等级公路（</w:t>
      </w:r>
      <w:r>
        <w:rPr>
          <w:rFonts w:ascii="宋体" w:hAnsi="宋体" w:eastAsia="宋体"/>
          <w:spacing w:val="-4"/>
          <w:sz w:val="21"/>
        </w:rPr>
        <w:t xml:space="preserve">区内里程 </w:t>
      </w:r>
      <w:r>
        <w:rPr>
          <w:rFonts w:ascii="宋体" w:hAnsi="宋体" w:eastAsia="宋体"/>
          <w:sz w:val="21"/>
        </w:rPr>
        <w:t>1434</w:t>
      </w:r>
      <w:r>
        <w:rPr>
          <w:rFonts w:ascii="宋体" w:hAnsi="宋体" w:eastAsia="宋体"/>
          <w:spacing w:val="-7"/>
          <w:sz w:val="21"/>
        </w:rPr>
        <w:t xml:space="preserve"> 公里</w:t>
      </w:r>
      <w:r>
        <w:rPr>
          <w:rFonts w:ascii="宋体" w:hAnsi="宋体" w:eastAsia="宋体"/>
          <w:spacing w:val="-106"/>
          <w:sz w:val="21"/>
        </w:rPr>
        <w:t>）</w:t>
      </w:r>
      <w:r>
        <w:rPr>
          <w:rFonts w:ascii="宋体" w:hAnsi="宋体" w:eastAsia="宋体"/>
          <w:sz w:val="21"/>
        </w:rPr>
        <w:t>。</w:t>
      </w:r>
    </w:p>
    <w:p w14:paraId="1935EF23">
      <w:pPr>
        <w:spacing w:before="0" w:line="322" w:lineRule="auto"/>
        <w:ind w:left="380" w:right="808" w:firstLine="412"/>
        <w:jc w:val="left"/>
        <w:rPr>
          <w:rFonts w:ascii="宋体" w:hAnsi="宋体" w:eastAsia="宋体"/>
          <w:sz w:val="21"/>
        </w:rPr>
      </w:pPr>
      <w:r>
        <w:rPr>
          <w:rFonts w:hint="eastAsia" w:ascii="黑体" w:hAnsi="黑体" w:eastAsia="黑体"/>
          <w:b/>
          <w:spacing w:val="-4"/>
          <w:sz w:val="21"/>
        </w:rPr>
        <w:t>“7 大国家级公路运输枢纽”</w:t>
      </w:r>
      <w:r>
        <w:rPr>
          <w:rFonts w:ascii="宋体" w:hAnsi="宋体" w:eastAsia="宋体"/>
          <w:spacing w:val="-4"/>
          <w:sz w:val="21"/>
        </w:rPr>
        <w:t>包括：乌鲁木齐、伊宁（霍尔果斯</w:t>
      </w:r>
      <w:r>
        <w:rPr>
          <w:rFonts w:ascii="宋体" w:hAnsi="宋体" w:eastAsia="宋体"/>
          <w:spacing w:val="-104"/>
          <w:sz w:val="21"/>
        </w:rPr>
        <w:t>）</w:t>
      </w:r>
      <w:r>
        <w:rPr>
          <w:rFonts w:ascii="宋体" w:hAnsi="宋体" w:eastAsia="宋体"/>
          <w:spacing w:val="-4"/>
          <w:sz w:val="21"/>
        </w:rPr>
        <w:t>、喀什、哈密、库</w:t>
      </w:r>
      <w:r>
        <w:rPr>
          <w:rFonts w:ascii="宋体" w:hAnsi="宋体" w:eastAsia="宋体"/>
          <w:spacing w:val="-2"/>
          <w:sz w:val="21"/>
        </w:rPr>
        <w:t>尔勒、石河子、奎屯。</w:t>
      </w:r>
    </w:p>
    <w:p w14:paraId="6FC9B6CF">
      <w:pPr>
        <w:spacing w:before="0" w:line="322" w:lineRule="auto"/>
        <w:ind w:left="380" w:right="808" w:firstLine="420"/>
        <w:jc w:val="left"/>
        <w:rPr>
          <w:rFonts w:ascii="宋体" w:hAnsi="宋体" w:eastAsia="宋体"/>
          <w:sz w:val="21"/>
        </w:rPr>
      </w:pPr>
      <w:r>
        <w:rPr>
          <w:rFonts w:hint="eastAsia" w:ascii="黑体" w:hAnsi="黑体" w:eastAsia="黑体"/>
          <w:b/>
          <w:spacing w:val="-4"/>
          <w:sz w:val="21"/>
        </w:rPr>
        <w:t>“12 条东联西出通道”</w:t>
      </w:r>
      <w:r>
        <w:rPr>
          <w:rFonts w:ascii="宋体" w:hAnsi="宋体" w:eastAsia="宋体"/>
          <w:spacing w:val="-4"/>
          <w:sz w:val="21"/>
        </w:rPr>
        <w:t>包括：4 条东联出疆通道：明水、星星峡、依吞布拉克、界</w:t>
      </w:r>
      <w:r>
        <w:rPr>
          <w:rFonts w:ascii="宋体" w:hAnsi="宋体" w:eastAsia="宋体"/>
          <w:sz w:val="21"/>
        </w:rPr>
        <w:t>山大坂；8</w:t>
      </w:r>
      <w:r>
        <w:rPr>
          <w:rFonts w:ascii="宋体" w:hAnsi="宋体" w:eastAsia="宋体"/>
          <w:spacing w:val="-14"/>
          <w:sz w:val="21"/>
        </w:rPr>
        <w:t xml:space="preserve"> 条</w:t>
      </w:r>
      <w:r>
        <w:rPr>
          <w:rFonts w:ascii="宋体" w:hAnsi="宋体" w:eastAsia="宋体"/>
          <w:sz w:val="21"/>
        </w:rPr>
        <w:t>西出国际通道：霍尔果斯口岸、阿拉山口口岸、巴克图口岸、伊尔克什坦</w:t>
      </w:r>
      <w:r>
        <w:rPr>
          <w:rFonts w:ascii="宋体" w:hAnsi="宋体" w:eastAsia="宋体"/>
          <w:spacing w:val="-2"/>
          <w:sz w:val="21"/>
        </w:rPr>
        <w:t>口岸、红其拉甫口岸、都拉塔口岸、吉木乃口岸、红山嘴口岸。</w:t>
      </w:r>
    </w:p>
    <w:p w14:paraId="6797E86F">
      <w:pPr>
        <w:pStyle w:val="5"/>
        <w:ind w:left="0"/>
        <w:rPr>
          <w:rFonts w:ascii="宋体"/>
          <w:sz w:val="20"/>
        </w:rPr>
      </w:pPr>
    </w:p>
    <w:p w14:paraId="1ECAF07E">
      <w:pPr>
        <w:pStyle w:val="5"/>
        <w:ind w:left="0"/>
        <w:rPr>
          <w:rFonts w:ascii="宋体"/>
          <w:sz w:val="17"/>
        </w:rPr>
      </w:pPr>
    </w:p>
    <w:p w14:paraId="11F929D0">
      <w:pPr>
        <w:pStyle w:val="3"/>
        <w:ind w:left="0" w:right="0"/>
        <w:rPr>
          <w:i w:val="0"/>
          <w:iCs w:val="0"/>
        </w:rPr>
      </w:pPr>
      <w:bookmarkStart w:id="174" w:name="_bookmark38"/>
      <w:bookmarkEnd w:id="174"/>
      <w:bookmarkStart w:id="175" w:name="第三节  加快电网建设，形成坚强稳定网架"/>
      <w:bookmarkEnd w:id="175"/>
      <w:bookmarkStart w:id="176" w:name="_Toc106995897"/>
      <w:bookmarkStart w:id="177" w:name="_Toc14596"/>
      <w:bookmarkStart w:id="178" w:name="_Toc1739314748"/>
      <w:bookmarkStart w:id="179" w:name="_Toc1363063689"/>
      <w:r>
        <w:rPr>
          <w:i w:val="0"/>
          <w:iCs w:val="0"/>
        </w:rPr>
        <w:t>第三节</w:t>
      </w:r>
      <w:r>
        <w:rPr>
          <w:i w:val="0"/>
          <w:iCs w:val="0"/>
          <w:spacing w:val="12"/>
          <w:w w:val="150"/>
        </w:rPr>
        <w:t xml:space="preserve"> </w:t>
      </w:r>
      <w:r>
        <w:rPr>
          <w:i w:val="0"/>
          <w:iCs w:val="0"/>
        </w:rPr>
        <w:t>加快电网建设，形成坚强稳</w:t>
      </w:r>
      <w:r>
        <w:rPr>
          <w:i w:val="0"/>
          <w:iCs w:val="0"/>
          <w:spacing w:val="-4"/>
        </w:rPr>
        <w:t>定网架</w:t>
      </w:r>
      <w:bookmarkEnd w:id="176"/>
      <w:bookmarkEnd w:id="177"/>
      <w:bookmarkEnd w:id="178"/>
      <w:bookmarkEnd w:id="179"/>
    </w:p>
    <w:p w14:paraId="06EAAD8A">
      <w:pPr>
        <w:pStyle w:val="5"/>
        <w:spacing w:before="4"/>
        <w:ind w:left="0"/>
        <w:rPr>
          <w:rFonts w:ascii="楷体_GB2312"/>
          <w:b/>
          <w:i/>
          <w:sz w:val="34"/>
        </w:rPr>
      </w:pPr>
    </w:p>
    <w:p w14:paraId="63ADDD05">
      <w:pPr>
        <w:pStyle w:val="5"/>
        <w:spacing w:before="0" w:line="363" w:lineRule="auto"/>
        <w:ind w:left="0" w:right="0" w:firstLine="544" w:firstLineChars="200"/>
        <w:jc w:val="both"/>
      </w:pPr>
      <w:r>
        <w:rPr>
          <w:spacing w:val="-4"/>
        </w:rPr>
        <w:t>围绕“疆电东送”和地区优势资源转换</w:t>
      </w:r>
      <w:r>
        <w:rPr>
          <w:rFonts w:hint="eastAsia"/>
          <w:spacing w:val="-4"/>
          <w:lang w:eastAsia="zh-CN"/>
        </w:rPr>
        <w:t>部署</w:t>
      </w:r>
      <w:r>
        <w:rPr>
          <w:spacing w:val="-4"/>
        </w:rPr>
        <w:t>，加快构建横贯东西、</w:t>
      </w:r>
      <w:r>
        <w:rPr>
          <w:spacing w:val="-2"/>
        </w:rPr>
        <w:t>连接南北、布局合理、供电质量可靠、具有强大外送能力的输变电工程网络，促进各级电网协调发展。</w:t>
      </w:r>
    </w:p>
    <w:p w14:paraId="7D5B3C27">
      <w:pPr>
        <w:pStyle w:val="5"/>
        <w:spacing w:line="363" w:lineRule="auto"/>
        <w:ind w:left="0" w:right="0" w:firstLine="552" w:firstLineChars="200"/>
        <w:jc w:val="both"/>
        <w:rPr>
          <w:spacing w:val="-2"/>
        </w:rPr>
      </w:pPr>
      <w:r>
        <w:rPr>
          <w:spacing w:val="-2"/>
        </w:rPr>
        <w:t>“十二五”期间，积极配合建设哈密—河南郑州±800 千伏特高压直流输电工程、哈密－川渝±800 千伏特高压直流输电工程、哈密东南 750 千伏双回线路输变电工程，形成第三、四条 750 千伏并网外送通道。</w:t>
      </w:r>
    </w:p>
    <w:p w14:paraId="4701C39A">
      <w:pPr>
        <w:pStyle w:val="5"/>
        <w:spacing w:before="0" w:line="363" w:lineRule="auto"/>
        <w:ind w:left="0" w:right="0" w:firstLine="552" w:firstLineChars="200"/>
        <w:jc w:val="both"/>
      </w:pPr>
      <w:r>
        <w:rPr>
          <w:spacing w:val="-2"/>
        </w:rPr>
        <w:t>建成哈密东南 750 千伏变电站、哈密市中</w:t>
      </w:r>
      <w:r>
        <w:rPr>
          <w:rFonts w:hint="default"/>
          <w:spacing w:val="-2"/>
          <w:lang w:val="en-US" w:eastAsia="zh-CN"/>
        </w:rPr>
        <w:tab/>
      </w:r>
      <w:r>
        <w:rPr>
          <w:spacing w:val="-2"/>
        </w:rPr>
        <w:t>部烽火台 750 变电站、±800 特高压直流外送换流站，形成哈密市±800 特高压直流外送的输</w:t>
      </w:r>
      <w:r>
        <w:rPr>
          <w:spacing w:val="-15"/>
        </w:rPr>
        <w:t>电网络。围绕哈密地区能源基地建设，争取启动哈密-山东沂蒙±</w:t>
      </w:r>
      <w:r>
        <w:rPr>
          <w:spacing w:val="-2"/>
        </w:rPr>
        <w:t>1100千伏特高压直流输电工程。</w:t>
      </w:r>
    </w:p>
    <w:p w14:paraId="614F25C3">
      <w:pPr>
        <w:pStyle w:val="5"/>
        <w:spacing w:before="0" w:line="363" w:lineRule="auto"/>
        <w:ind w:left="0" w:right="0" w:firstLine="548" w:firstLineChars="200"/>
        <w:jc w:val="both"/>
      </w:pPr>
      <w:r>
        <w:rPr>
          <w:spacing w:val="-3"/>
        </w:rPr>
        <w:t xml:space="preserve">建成哈密南郊、十三间房、土屋、东南部、三塘湖等 </w:t>
      </w:r>
      <w:r>
        <w:t>220</w:t>
      </w:r>
      <w:r>
        <w:rPr>
          <w:spacing w:val="-15"/>
        </w:rPr>
        <w:t xml:space="preserve"> 千伏输</w:t>
      </w:r>
      <w:r>
        <w:rPr>
          <w:spacing w:val="-6"/>
        </w:rPr>
        <w:t xml:space="preserve">变电工程，初步在哈密地区形成 </w:t>
      </w:r>
      <w:r>
        <w:rPr>
          <w:spacing w:val="-4"/>
        </w:rPr>
        <w:t>220</w:t>
      </w:r>
      <w:r>
        <w:rPr>
          <w:spacing w:val="-9"/>
        </w:rPr>
        <w:t xml:space="preserve"> 千伏双回路环网骨干网架，满足</w:t>
      </w:r>
      <w:r>
        <w:rPr>
          <w:spacing w:val="-2"/>
        </w:rPr>
        <w:t>哈密市区、山北两县城、矿产资源富集地、工业园区的供电需求，并</w:t>
      </w:r>
      <w:r>
        <w:rPr>
          <w:spacing w:val="-5"/>
        </w:rPr>
        <w:t xml:space="preserve">兼顾哈密市东南部、十三间房、三塘湖、淖毛湖等 </w:t>
      </w:r>
      <w:r>
        <w:rPr>
          <w:spacing w:val="-4"/>
        </w:rPr>
        <w:t>4</w:t>
      </w:r>
      <w:r>
        <w:rPr>
          <w:spacing w:val="-9"/>
        </w:rPr>
        <w:t xml:space="preserve"> 大风电场电力外</w:t>
      </w:r>
      <w:r>
        <w:rPr>
          <w:spacing w:val="-4"/>
        </w:rPr>
        <w:t>送需要。</w:t>
      </w:r>
    </w:p>
    <w:p w14:paraId="68A1BCB6">
      <w:pPr>
        <w:pStyle w:val="5"/>
        <w:spacing w:before="0" w:line="363" w:lineRule="auto"/>
        <w:ind w:left="0" w:right="0" w:firstLine="548" w:firstLineChars="200"/>
        <w:jc w:val="both"/>
        <w:rPr>
          <w:spacing w:val="-3"/>
        </w:rPr>
      </w:pPr>
      <w:r>
        <w:rPr>
          <w:spacing w:val="-3"/>
        </w:rPr>
        <w:pict>
          <v:shape id="docshape35" o:spid="_x0000_s1054" o:spt="202" type="#_x0000_t202" style="position:absolute;left:0pt;margin-left:85.05pt;margin-top:136.6pt;height:211.4pt;width:423pt;mso-position-horizontal-relative:page;z-index:-251651072;mso-width-relative:page;mso-height-relative:page;" filled="f" stroked="t" coordsize="21600,21600">
            <v:path/>
            <v:fill on="f" focussize="0,0"/>
            <v:stroke weight="0.48pt" color="#000000" joinstyle="miter"/>
            <v:imagedata o:title=""/>
            <o:lock v:ext="edit" aspectratio="f"/>
            <v:textbox inset="0mm,0mm,0mm,0mm">
              <w:txbxContent>
                <w:p w14:paraId="23DFE70E">
                  <w:pPr>
                    <w:spacing w:before="98" w:afterLines="50"/>
                    <w:ind w:left="2761" w:right="2767"/>
                    <w:jc w:val="center"/>
                    <w:rPr>
                      <w:rFonts w:ascii="黑体"/>
                      <w:b/>
                      <w:sz w:val="21"/>
                    </w:rPr>
                  </w:pPr>
                  <w:r>
                    <w:rPr>
                      <w:rFonts w:hint="eastAsia" w:ascii="黑体" w:eastAsia="黑体"/>
                      <w:b/>
                      <w:spacing w:val="-18"/>
                      <w:sz w:val="21"/>
                    </w:rPr>
                    <w:t xml:space="preserve">专栏 </w:t>
                  </w:r>
                  <w:r>
                    <w:rPr>
                      <w:rFonts w:hint="eastAsia" w:ascii="黑体" w:eastAsia="黑体"/>
                      <w:b/>
                      <w:spacing w:val="-2"/>
                      <w:sz w:val="21"/>
                    </w:rPr>
                    <w:t>8-2</w:t>
                  </w:r>
                  <w:r>
                    <w:rPr>
                      <w:rFonts w:hint="eastAsia" w:ascii="黑体" w:eastAsia="黑体"/>
                      <w:b/>
                      <w:spacing w:val="-25"/>
                      <w:sz w:val="21"/>
                    </w:rPr>
                    <w:t xml:space="preserve"> 电</w:t>
                  </w:r>
                  <w:r>
                    <w:rPr>
                      <w:rFonts w:hint="eastAsia" w:ascii="黑体" w:eastAsia="黑体"/>
                      <w:b/>
                      <w:spacing w:val="-2"/>
                      <w:sz w:val="21"/>
                    </w:rPr>
                    <w:t>网建设重大项</w:t>
                  </w:r>
                  <w:r>
                    <w:rPr>
                      <w:rFonts w:hint="eastAsia" w:ascii="黑体" w:eastAsia="黑体"/>
                      <w:b/>
                      <w:spacing w:val="-10"/>
                      <w:sz w:val="21"/>
                    </w:rPr>
                    <w:t>目</w:t>
                  </w:r>
                </w:p>
                <w:p w14:paraId="48367B6E">
                  <w:pPr>
                    <w:spacing w:before="1" w:line="322" w:lineRule="auto"/>
                    <w:ind w:left="102" w:right="102" w:firstLine="420"/>
                    <w:jc w:val="left"/>
                    <w:rPr>
                      <w:rFonts w:ascii="宋体" w:hAnsi="宋体" w:eastAsia="宋体"/>
                      <w:sz w:val="21"/>
                      <w:szCs w:val="21"/>
                    </w:rPr>
                  </w:pPr>
                  <w:r>
                    <w:rPr>
                      <w:rFonts w:ascii="宋体" w:hAnsi="宋体" w:eastAsia="宋体"/>
                      <w:spacing w:val="-2"/>
                      <w:sz w:val="21"/>
                      <w:szCs w:val="21"/>
                    </w:rPr>
                    <w:t>哈密－河南郑州±800</w:t>
                  </w:r>
                  <w:r>
                    <w:rPr>
                      <w:rFonts w:ascii="宋体" w:hAnsi="宋体" w:eastAsia="宋体"/>
                      <w:spacing w:val="-7"/>
                      <w:sz w:val="21"/>
                      <w:szCs w:val="21"/>
                    </w:rPr>
                    <w:t xml:space="preserve"> 千伏特高压直</w:t>
                  </w:r>
                  <w:r>
                    <w:rPr>
                      <w:rFonts w:ascii="宋体" w:hAnsi="宋体" w:eastAsia="宋体"/>
                      <w:spacing w:val="-2"/>
                      <w:sz w:val="21"/>
                      <w:szCs w:val="21"/>
                    </w:rPr>
                    <w:t>流输</w:t>
                  </w:r>
                  <w:r>
                    <w:rPr>
                      <w:rFonts w:ascii="宋体" w:hAnsi="宋体" w:eastAsia="宋体"/>
                      <w:spacing w:val="-11"/>
                      <w:sz w:val="21"/>
                      <w:szCs w:val="21"/>
                    </w:rPr>
                    <w:t>电工程、哈密－</w:t>
                  </w:r>
                  <w:r>
                    <w:rPr>
                      <w:rFonts w:ascii="宋体" w:hAnsi="宋体" w:eastAsia="宋体"/>
                      <w:spacing w:val="-2"/>
                      <w:sz w:val="21"/>
                      <w:szCs w:val="21"/>
                    </w:rPr>
                    <w:t>川渝±800</w:t>
                  </w:r>
                  <w:r>
                    <w:rPr>
                      <w:rFonts w:ascii="宋体" w:hAnsi="宋体" w:eastAsia="宋体"/>
                      <w:spacing w:val="-7"/>
                      <w:sz w:val="21"/>
                      <w:szCs w:val="21"/>
                    </w:rPr>
                    <w:t xml:space="preserve"> 千伏特高压直流输</w:t>
                  </w:r>
                  <w:r>
                    <w:rPr>
                      <w:rFonts w:ascii="宋体" w:hAnsi="宋体" w:eastAsia="宋体"/>
                      <w:spacing w:val="-4"/>
                      <w:sz w:val="21"/>
                      <w:szCs w:val="21"/>
                    </w:rPr>
                    <w:t>电工</w:t>
                  </w:r>
                  <w:r>
                    <w:rPr>
                      <w:rFonts w:ascii="宋体" w:hAnsi="宋体" w:eastAsia="宋体"/>
                      <w:spacing w:val="-11"/>
                      <w:sz w:val="21"/>
                      <w:szCs w:val="21"/>
                    </w:rPr>
                    <w:t>程、哈密-山东沂蒙±</w:t>
                  </w:r>
                  <w:r>
                    <w:rPr>
                      <w:rFonts w:ascii="宋体" w:hAnsi="宋体" w:eastAsia="宋体"/>
                      <w:spacing w:val="-4"/>
                      <w:sz w:val="21"/>
                      <w:szCs w:val="21"/>
                    </w:rPr>
                    <w:t>1100</w:t>
                  </w:r>
                  <w:r>
                    <w:rPr>
                      <w:rFonts w:ascii="宋体" w:hAnsi="宋体" w:eastAsia="宋体"/>
                      <w:spacing w:val="-9"/>
                      <w:sz w:val="21"/>
                      <w:szCs w:val="21"/>
                    </w:rPr>
                    <w:t xml:space="preserve"> 千伏特高压直</w:t>
                  </w:r>
                  <w:r>
                    <w:rPr>
                      <w:rFonts w:ascii="宋体" w:hAnsi="宋体" w:eastAsia="宋体"/>
                      <w:spacing w:val="-4"/>
                      <w:sz w:val="21"/>
                      <w:szCs w:val="21"/>
                    </w:rPr>
                    <w:t>流输</w:t>
                  </w:r>
                  <w:r>
                    <w:rPr>
                      <w:rFonts w:ascii="宋体" w:hAnsi="宋体" w:eastAsia="宋体"/>
                      <w:spacing w:val="-6"/>
                      <w:sz w:val="21"/>
                      <w:szCs w:val="21"/>
                    </w:rPr>
                    <w:t xml:space="preserve">电工程、哈密东南 </w:t>
                  </w:r>
                  <w:r>
                    <w:rPr>
                      <w:rFonts w:ascii="宋体" w:hAnsi="宋体" w:eastAsia="宋体"/>
                      <w:spacing w:val="-4"/>
                      <w:sz w:val="21"/>
                      <w:szCs w:val="21"/>
                    </w:rPr>
                    <w:t>750</w:t>
                  </w:r>
                  <w:r>
                    <w:rPr>
                      <w:rFonts w:ascii="宋体" w:hAnsi="宋体" w:eastAsia="宋体"/>
                      <w:spacing w:val="-8"/>
                      <w:sz w:val="21"/>
                      <w:szCs w:val="21"/>
                    </w:rPr>
                    <w:t xml:space="preserve"> 千伏双回线路输变</w:t>
                  </w:r>
                  <w:r>
                    <w:rPr>
                      <w:rFonts w:ascii="宋体" w:hAnsi="宋体" w:eastAsia="宋体"/>
                      <w:spacing w:val="-10"/>
                      <w:sz w:val="21"/>
                      <w:szCs w:val="21"/>
                    </w:rPr>
                    <w:t xml:space="preserve">电项目、哈密东南 </w:t>
                  </w:r>
                  <w:r>
                    <w:rPr>
                      <w:rFonts w:ascii="宋体" w:hAnsi="宋体" w:eastAsia="宋体"/>
                      <w:spacing w:val="-4"/>
                      <w:sz w:val="21"/>
                      <w:szCs w:val="21"/>
                    </w:rPr>
                    <w:t>750</w:t>
                  </w:r>
                  <w:r>
                    <w:rPr>
                      <w:rFonts w:ascii="宋体" w:hAnsi="宋体" w:eastAsia="宋体"/>
                      <w:spacing w:val="-17"/>
                      <w:sz w:val="21"/>
                      <w:szCs w:val="21"/>
                    </w:rPr>
                    <w:t xml:space="preserve"> 千伏变</w:t>
                  </w:r>
                  <w:r>
                    <w:rPr>
                      <w:rFonts w:ascii="宋体" w:hAnsi="宋体" w:eastAsia="宋体"/>
                      <w:spacing w:val="-4"/>
                      <w:sz w:val="21"/>
                      <w:szCs w:val="21"/>
                    </w:rPr>
                    <w:t>电站</w:t>
                  </w:r>
                  <w:r>
                    <w:rPr>
                      <w:rFonts w:ascii="宋体" w:hAnsi="宋体" w:eastAsia="宋体"/>
                      <w:spacing w:val="-9"/>
                      <w:sz w:val="21"/>
                      <w:szCs w:val="21"/>
                    </w:rPr>
                    <w:t xml:space="preserve">、哈密市中部烽火台 </w:t>
                  </w:r>
                  <w:r>
                    <w:rPr>
                      <w:rFonts w:ascii="宋体" w:hAnsi="宋体" w:eastAsia="宋体"/>
                      <w:spacing w:val="-4"/>
                      <w:sz w:val="21"/>
                      <w:szCs w:val="21"/>
                    </w:rPr>
                    <w:t>750</w:t>
                  </w:r>
                  <w:r>
                    <w:rPr>
                      <w:rFonts w:ascii="宋体" w:hAnsi="宋体" w:eastAsia="宋体"/>
                      <w:spacing w:val="-14"/>
                      <w:sz w:val="21"/>
                      <w:szCs w:val="21"/>
                    </w:rPr>
                    <w:t xml:space="preserve"> 变电站、±</w:t>
                  </w:r>
                  <w:r>
                    <w:rPr>
                      <w:rFonts w:ascii="宋体" w:hAnsi="宋体" w:eastAsia="宋体"/>
                      <w:spacing w:val="-4"/>
                      <w:sz w:val="21"/>
                      <w:szCs w:val="21"/>
                    </w:rPr>
                    <w:t>800</w:t>
                  </w:r>
                  <w:r>
                    <w:rPr>
                      <w:rFonts w:ascii="宋体" w:hAnsi="宋体" w:eastAsia="宋体"/>
                      <w:spacing w:val="-13"/>
                      <w:sz w:val="21"/>
                      <w:szCs w:val="21"/>
                    </w:rPr>
                    <w:t xml:space="preserve"> 特高压直流外送</w:t>
                  </w:r>
                </w:p>
                <w:p w14:paraId="71C6F9B9">
                  <w:pPr>
                    <w:spacing w:before="3" w:line="322" w:lineRule="auto"/>
                    <w:ind w:left="102"/>
                    <w:jc w:val="left"/>
                    <w:rPr>
                      <w:rFonts w:ascii="宋体"/>
                      <w:sz w:val="21"/>
                      <w:szCs w:val="21"/>
                    </w:rPr>
                  </w:pPr>
                  <w:r>
                    <w:rPr>
                      <w:rFonts w:ascii="宋体" w:eastAsia="宋体"/>
                      <w:spacing w:val="-2"/>
                      <w:sz w:val="21"/>
                      <w:szCs w:val="21"/>
                    </w:rPr>
                    <w:t>换流站、南</w:t>
                  </w:r>
                  <w:r>
                    <w:rPr>
                      <w:rFonts w:ascii="宋体" w:eastAsia="宋体"/>
                      <w:spacing w:val="-20"/>
                      <w:sz w:val="21"/>
                      <w:szCs w:val="21"/>
                    </w:rPr>
                    <w:t xml:space="preserve">郊 </w:t>
                  </w:r>
                  <w:r>
                    <w:rPr>
                      <w:rFonts w:ascii="宋体" w:eastAsia="宋体"/>
                      <w:spacing w:val="-2"/>
                      <w:sz w:val="21"/>
                      <w:szCs w:val="21"/>
                    </w:rPr>
                    <w:t>220</w:t>
                  </w:r>
                  <w:r>
                    <w:rPr>
                      <w:rFonts w:ascii="宋体" w:eastAsia="宋体"/>
                      <w:spacing w:val="-21"/>
                      <w:sz w:val="21"/>
                      <w:szCs w:val="21"/>
                    </w:rPr>
                    <w:t xml:space="preserve"> 千</w:t>
                  </w:r>
                  <w:r>
                    <w:rPr>
                      <w:rFonts w:ascii="宋体" w:eastAsia="宋体"/>
                      <w:spacing w:val="-2"/>
                      <w:sz w:val="21"/>
                      <w:szCs w:val="21"/>
                    </w:rPr>
                    <w:t>伏输变电工程、十三</w:t>
                  </w:r>
                  <w:r>
                    <w:rPr>
                      <w:rFonts w:ascii="宋体" w:eastAsia="宋体"/>
                      <w:spacing w:val="-15"/>
                      <w:sz w:val="21"/>
                      <w:szCs w:val="21"/>
                    </w:rPr>
                    <w:t xml:space="preserve">间房 </w:t>
                  </w:r>
                  <w:r>
                    <w:rPr>
                      <w:rFonts w:ascii="宋体" w:eastAsia="宋体"/>
                      <w:spacing w:val="-2"/>
                      <w:sz w:val="21"/>
                      <w:szCs w:val="21"/>
                    </w:rPr>
                    <w:t>220</w:t>
                  </w:r>
                  <w:r>
                    <w:rPr>
                      <w:rFonts w:ascii="宋体" w:eastAsia="宋体"/>
                      <w:spacing w:val="-21"/>
                      <w:sz w:val="21"/>
                      <w:szCs w:val="21"/>
                    </w:rPr>
                    <w:t xml:space="preserve"> 千</w:t>
                  </w:r>
                  <w:r>
                    <w:rPr>
                      <w:rFonts w:ascii="宋体" w:eastAsia="宋体"/>
                      <w:spacing w:val="-2"/>
                      <w:sz w:val="21"/>
                      <w:szCs w:val="21"/>
                    </w:rPr>
                    <w:t>伏输变电工程、新</w:t>
                  </w:r>
                  <w:r>
                    <w:rPr>
                      <w:rFonts w:ascii="宋体" w:eastAsia="宋体"/>
                      <w:spacing w:val="-18"/>
                      <w:sz w:val="21"/>
                      <w:szCs w:val="21"/>
                    </w:rPr>
                    <w:t xml:space="preserve">区 </w:t>
                  </w:r>
                  <w:r>
                    <w:rPr>
                      <w:rFonts w:ascii="宋体" w:eastAsia="宋体"/>
                      <w:spacing w:val="-2"/>
                      <w:sz w:val="21"/>
                      <w:szCs w:val="21"/>
                    </w:rPr>
                    <w:t>220</w:t>
                  </w:r>
                  <w:r>
                    <w:rPr>
                      <w:rFonts w:ascii="宋体" w:eastAsia="宋体"/>
                      <w:spacing w:val="-22"/>
                      <w:sz w:val="21"/>
                      <w:szCs w:val="21"/>
                    </w:rPr>
                    <w:t xml:space="preserve"> 千</w:t>
                  </w:r>
                  <w:r>
                    <w:rPr>
                      <w:rFonts w:ascii="宋体" w:eastAsia="宋体"/>
                      <w:spacing w:val="-2"/>
                      <w:sz w:val="21"/>
                      <w:szCs w:val="21"/>
                    </w:rPr>
                    <w:t>伏变</w:t>
                  </w:r>
                  <w:r>
                    <w:rPr>
                      <w:rFonts w:ascii="宋体" w:eastAsia="宋体"/>
                      <w:spacing w:val="-6"/>
                      <w:sz w:val="21"/>
                      <w:szCs w:val="21"/>
                    </w:rPr>
                    <w:t>输变</w:t>
                  </w:r>
                </w:p>
                <w:p w14:paraId="2E95970B">
                  <w:pPr>
                    <w:spacing w:before="0" w:line="322" w:lineRule="auto"/>
                    <w:ind w:left="102"/>
                    <w:rPr>
                      <w:rFonts w:ascii="宋体"/>
                      <w:sz w:val="21"/>
                      <w:szCs w:val="21"/>
                    </w:rPr>
                  </w:pPr>
                  <w:r>
                    <w:rPr>
                      <w:rFonts w:ascii="宋体" w:eastAsia="宋体"/>
                      <w:spacing w:val="-2"/>
                      <w:sz w:val="21"/>
                      <w:szCs w:val="21"/>
                    </w:rPr>
                    <w:t>电工程、黄芦</w:t>
                  </w:r>
                  <w:r>
                    <w:rPr>
                      <w:rFonts w:ascii="宋体" w:eastAsia="宋体"/>
                      <w:spacing w:val="-22"/>
                      <w:sz w:val="21"/>
                      <w:szCs w:val="21"/>
                    </w:rPr>
                    <w:t xml:space="preserve">岗 </w:t>
                  </w:r>
                  <w:r>
                    <w:rPr>
                      <w:rFonts w:ascii="宋体" w:eastAsia="宋体"/>
                      <w:spacing w:val="-2"/>
                      <w:sz w:val="21"/>
                      <w:szCs w:val="21"/>
                    </w:rPr>
                    <w:t>220</w:t>
                  </w:r>
                  <w:r>
                    <w:rPr>
                      <w:rFonts w:ascii="宋体" w:eastAsia="宋体"/>
                      <w:spacing w:val="-21"/>
                      <w:sz w:val="21"/>
                      <w:szCs w:val="21"/>
                    </w:rPr>
                    <w:t xml:space="preserve"> 千</w:t>
                  </w:r>
                  <w:r>
                    <w:rPr>
                      <w:rFonts w:ascii="宋体" w:eastAsia="宋体"/>
                      <w:spacing w:val="-2"/>
                      <w:sz w:val="21"/>
                      <w:szCs w:val="21"/>
                    </w:rPr>
                    <w:t>伏输变电工程、苇子</w:t>
                  </w:r>
                  <w:r>
                    <w:rPr>
                      <w:rFonts w:ascii="宋体" w:eastAsia="宋体"/>
                      <w:spacing w:val="-20"/>
                      <w:sz w:val="21"/>
                      <w:szCs w:val="21"/>
                    </w:rPr>
                    <w:t xml:space="preserve">峡 </w:t>
                  </w:r>
                  <w:r>
                    <w:rPr>
                      <w:rFonts w:ascii="宋体" w:eastAsia="宋体"/>
                      <w:spacing w:val="-2"/>
                      <w:sz w:val="21"/>
                      <w:szCs w:val="21"/>
                    </w:rPr>
                    <w:t>220</w:t>
                  </w:r>
                  <w:r>
                    <w:rPr>
                      <w:rFonts w:ascii="宋体" w:eastAsia="宋体"/>
                      <w:spacing w:val="-21"/>
                      <w:sz w:val="21"/>
                      <w:szCs w:val="21"/>
                    </w:rPr>
                    <w:t xml:space="preserve"> 千</w:t>
                  </w:r>
                  <w:r>
                    <w:rPr>
                      <w:rFonts w:ascii="宋体" w:eastAsia="宋体"/>
                      <w:spacing w:val="-2"/>
                      <w:sz w:val="21"/>
                      <w:szCs w:val="21"/>
                    </w:rPr>
                    <w:t>伏输变电工程、伊吾</w:t>
                  </w:r>
                  <w:r>
                    <w:rPr>
                      <w:rFonts w:ascii="宋体" w:eastAsia="宋体"/>
                      <w:spacing w:val="-11"/>
                      <w:sz w:val="21"/>
                      <w:szCs w:val="21"/>
                    </w:rPr>
                    <w:t xml:space="preserve">淖毛湖 </w:t>
                  </w:r>
                  <w:r>
                    <w:rPr>
                      <w:rFonts w:ascii="宋体" w:eastAsia="宋体"/>
                      <w:spacing w:val="-2"/>
                      <w:sz w:val="21"/>
                      <w:szCs w:val="21"/>
                    </w:rPr>
                    <w:t>220</w:t>
                  </w:r>
                  <w:r>
                    <w:rPr>
                      <w:rFonts w:ascii="宋体" w:eastAsia="宋体"/>
                      <w:spacing w:val="-18"/>
                      <w:sz w:val="21"/>
                      <w:szCs w:val="21"/>
                    </w:rPr>
                    <w:t xml:space="preserve"> 千伏</w:t>
                  </w:r>
                </w:p>
                <w:p w14:paraId="233C4F93">
                  <w:pPr>
                    <w:spacing w:before="1" w:line="322" w:lineRule="auto"/>
                    <w:ind w:left="102"/>
                    <w:rPr>
                      <w:rFonts w:ascii="宋体"/>
                      <w:sz w:val="21"/>
                      <w:szCs w:val="21"/>
                    </w:rPr>
                  </w:pPr>
                  <w:r>
                    <w:rPr>
                      <w:rFonts w:ascii="宋体" w:eastAsia="宋体"/>
                      <w:spacing w:val="-2"/>
                      <w:sz w:val="21"/>
                      <w:szCs w:val="21"/>
                    </w:rPr>
                    <w:t>输变电工程、天湖、思甜、烟墩、红旗村、哈密、二堡、红台、了</w:t>
                  </w:r>
                  <w:r>
                    <w:rPr>
                      <w:rFonts w:ascii="宋体" w:eastAsia="宋体"/>
                      <w:spacing w:val="-18"/>
                      <w:sz w:val="21"/>
                      <w:szCs w:val="21"/>
                    </w:rPr>
                    <w:t xml:space="preserve">墩 </w:t>
                  </w:r>
                  <w:r>
                    <w:rPr>
                      <w:rFonts w:ascii="宋体" w:eastAsia="宋体"/>
                      <w:spacing w:val="-2"/>
                      <w:sz w:val="21"/>
                      <w:szCs w:val="21"/>
                    </w:rPr>
                    <w:t>8</w:t>
                  </w:r>
                  <w:r>
                    <w:rPr>
                      <w:rFonts w:ascii="宋体" w:eastAsia="宋体"/>
                      <w:spacing w:val="-23"/>
                      <w:sz w:val="21"/>
                      <w:szCs w:val="21"/>
                    </w:rPr>
                    <w:t xml:space="preserve"> 个 </w:t>
                  </w:r>
                  <w:r>
                    <w:rPr>
                      <w:rFonts w:ascii="宋体" w:eastAsia="宋体"/>
                      <w:spacing w:val="-2"/>
                      <w:sz w:val="21"/>
                      <w:szCs w:val="21"/>
                    </w:rPr>
                    <w:t>220</w:t>
                  </w:r>
                  <w:r>
                    <w:rPr>
                      <w:rFonts w:ascii="宋体" w:eastAsia="宋体"/>
                      <w:spacing w:val="-18"/>
                      <w:sz w:val="21"/>
                      <w:szCs w:val="21"/>
                    </w:rPr>
                    <w:t xml:space="preserve"> 千</w:t>
                  </w:r>
                  <w:r>
                    <w:rPr>
                      <w:rFonts w:ascii="宋体" w:eastAsia="宋体"/>
                      <w:spacing w:val="-2"/>
                      <w:sz w:val="21"/>
                      <w:szCs w:val="21"/>
                    </w:rPr>
                    <w:t>伏电气</w:t>
                  </w:r>
                  <w:r>
                    <w:rPr>
                      <w:rFonts w:ascii="宋体" w:eastAsia="宋体"/>
                      <w:spacing w:val="-10"/>
                      <w:sz w:val="21"/>
                      <w:szCs w:val="21"/>
                    </w:rPr>
                    <w:t>化</w:t>
                  </w:r>
                </w:p>
                <w:p w14:paraId="5996A411">
                  <w:pPr>
                    <w:spacing w:before="1" w:line="322" w:lineRule="auto"/>
                    <w:ind w:left="102" w:right="0" w:firstLine="0"/>
                    <w:jc w:val="left"/>
                    <w:rPr>
                      <w:rFonts w:ascii="宋体" w:eastAsia="宋体"/>
                      <w:sz w:val="21"/>
                      <w:szCs w:val="21"/>
                    </w:rPr>
                  </w:pPr>
                  <w:r>
                    <w:rPr>
                      <w:rFonts w:ascii="宋体" w:eastAsia="宋体"/>
                      <w:spacing w:val="-6"/>
                      <w:sz w:val="21"/>
                      <w:szCs w:val="21"/>
                    </w:rPr>
                    <w:t xml:space="preserve">铁路牵引站及线路建设工程、巴里坤县山北 </w:t>
                  </w:r>
                  <w:r>
                    <w:rPr>
                      <w:rFonts w:ascii="宋体" w:eastAsia="宋体"/>
                      <w:spacing w:val="-4"/>
                      <w:sz w:val="21"/>
                      <w:szCs w:val="21"/>
                    </w:rPr>
                    <w:t>220</w:t>
                  </w:r>
                  <w:r>
                    <w:rPr>
                      <w:rFonts w:ascii="宋体" w:eastAsia="宋体"/>
                      <w:spacing w:val="-23"/>
                      <w:sz w:val="21"/>
                      <w:szCs w:val="21"/>
                    </w:rPr>
                    <w:t xml:space="preserve"> 千</w:t>
                  </w:r>
                  <w:r>
                    <w:rPr>
                      <w:rFonts w:ascii="宋体" w:eastAsia="宋体"/>
                      <w:spacing w:val="-4"/>
                      <w:sz w:val="21"/>
                      <w:szCs w:val="21"/>
                    </w:rPr>
                    <w:t>伏变</w:t>
                  </w:r>
                  <w:r>
                    <w:rPr>
                      <w:rFonts w:ascii="宋体" w:eastAsia="宋体"/>
                      <w:spacing w:val="-10"/>
                      <w:sz w:val="21"/>
                      <w:szCs w:val="21"/>
                    </w:rPr>
                    <w:t xml:space="preserve">-西部矿区 </w:t>
                  </w:r>
                  <w:r>
                    <w:rPr>
                      <w:rFonts w:ascii="宋体" w:eastAsia="宋体"/>
                      <w:spacing w:val="-4"/>
                      <w:sz w:val="21"/>
                      <w:szCs w:val="21"/>
                    </w:rPr>
                    <w:t>220</w:t>
                  </w:r>
                  <w:r>
                    <w:rPr>
                      <w:rFonts w:ascii="宋体" w:eastAsia="宋体"/>
                      <w:spacing w:val="-10"/>
                      <w:sz w:val="21"/>
                      <w:szCs w:val="21"/>
                    </w:rPr>
                    <w:t xml:space="preserve"> 千伏变输电、巴里坤</w:t>
                  </w:r>
                </w:p>
                <w:p w14:paraId="5FAAF503">
                  <w:pPr>
                    <w:spacing w:before="0" w:line="322" w:lineRule="auto"/>
                    <w:ind w:left="102" w:right="102" w:firstLine="0"/>
                    <w:jc w:val="left"/>
                    <w:rPr>
                      <w:rFonts w:ascii="宋体" w:eastAsia="宋体"/>
                      <w:sz w:val="21"/>
                      <w:szCs w:val="21"/>
                    </w:rPr>
                  </w:pPr>
                  <w:r>
                    <w:rPr>
                      <w:rFonts w:ascii="宋体" w:eastAsia="宋体"/>
                      <w:spacing w:val="-6"/>
                      <w:sz w:val="21"/>
                      <w:szCs w:val="21"/>
                    </w:rPr>
                    <w:t>县山</w:t>
                  </w:r>
                  <w:r>
                    <w:rPr>
                      <w:rFonts w:ascii="宋体" w:eastAsia="宋体"/>
                      <w:spacing w:val="-13"/>
                      <w:sz w:val="21"/>
                      <w:szCs w:val="21"/>
                    </w:rPr>
                    <w:t xml:space="preserve">北 </w:t>
                  </w:r>
                  <w:r>
                    <w:rPr>
                      <w:rFonts w:ascii="宋体" w:eastAsia="宋体"/>
                      <w:spacing w:val="-6"/>
                      <w:sz w:val="21"/>
                      <w:szCs w:val="21"/>
                    </w:rPr>
                    <w:t>220</w:t>
                  </w:r>
                  <w:r>
                    <w:rPr>
                      <w:rFonts w:ascii="宋体" w:eastAsia="宋体"/>
                      <w:spacing w:val="-13"/>
                      <w:sz w:val="21"/>
                      <w:szCs w:val="21"/>
                    </w:rPr>
                    <w:t xml:space="preserve"> 千</w:t>
                  </w:r>
                  <w:r>
                    <w:rPr>
                      <w:rFonts w:ascii="宋体" w:eastAsia="宋体"/>
                      <w:spacing w:val="-6"/>
                      <w:sz w:val="21"/>
                      <w:szCs w:val="21"/>
                    </w:rPr>
                    <w:t>伏变－三塘</w:t>
                  </w:r>
                  <w:r>
                    <w:rPr>
                      <w:rFonts w:ascii="宋体" w:eastAsia="宋体"/>
                      <w:spacing w:val="-12"/>
                      <w:sz w:val="21"/>
                      <w:szCs w:val="21"/>
                    </w:rPr>
                    <w:t xml:space="preserve">湖 </w:t>
                  </w:r>
                  <w:r>
                    <w:rPr>
                      <w:rFonts w:ascii="宋体" w:eastAsia="宋体"/>
                      <w:spacing w:val="-6"/>
                      <w:sz w:val="21"/>
                      <w:szCs w:val="21"/>
                    </w:rPr>
                    <w:t>220</w:t>
                  </w:r>
                  <w:r>
                    <w:rPr>
                      <w:rFonts w:ascii="宋体" w:eastAsia="宋体"/>
                      <w:spacing w:val="-11"/>
                      <w:sz w:val="21"/>
                      <w:szCs w:val="21"/>
                    </w:rPr>
                    <w:t xml:space="preserve"> 千</w:t>
                  </w:r>
                  <w:r>
                    <w:rPr>
                      <w:rFonts w:ascii="宋体" w:eastAsia="宋体"/>
                      <w:spacing w:val="-6"/>
                      <w:sz w:val="21"/>
                      <w:szCs w:val="21"/>
                    </w:rPr>
                    <w:t>伏变输电、巴里坤</w:t>
                  </w:r>
                  <w:r>
                    <w:rPr>
                      <w:rFonts w:ascii="宋体" w:eastAsia="宋体"/>
                      <w:spacing w:val="-10"/>
                      <w:sz w:val="21"/>
                      <w:szCs w:val="21"/>
                    </w:rPr>
                    <w:t xml:space="preserve">县山北 </w:t>
                  </w:r>
                  <w:r>
                    <w:rPr>
                      <w:rFonts w:ascii="宋体" w:eastAsia="宋体"/>
                      <w:spacing w:val="-6"/>
                      <w:sz w:val="21"/>
                      <w:szCs w:val="21"/>
                    </w:rPr>
                    <w:t>220</w:t>
                  </w:r>
                  <w:r>
                    <w:rPr>
                      <w:rFonts w:ascii="宋体" w:eastAsia="宋体"/>
                      <w:spacing w:val="-13"/>
                      <w:sz w:val="21"/>
                      <w:szCs w:val="21"/>
                    </w:rPr>
                    <w:t xml:space="preserve"> 千</w:t>
                  </w:r>
                  <w:r>
                    <w:rPr>
                      <w:rFonts w:ascii="宋体" w:eastAsia="宋体"/>
                      <w:spacing w:val="-6"/>
                      <w:sz w:val="21"/>
                      <w:szCs w:val="21"/>
                    </w:rPr>
                    <w:t>伏变－三塘</w:t>
                  </w:r>
                  <w:r>
                    <w:rPr>
                      <w:rFonts w:ascii="宋体" w:eastAsia="宋体"/>
                      <w:spacing w:val="-12"/>
                      <w:sz w:val="21"/>
                      <w:szCs w:val="21"/>
                    </w:rPr>
                    <w:t xml:space="preserve">湖 </w:t>
                  </w:r>
                  <w:r>
                    <w:rPr>
                      <w:rFonts w:ascii="宋体" w:eastAsia="宋体"/>
                      <w:spacing w:val="-6"/>
                      <w:sz w:val="21"/>
                      <w:szCs w:val="21"/>
                    </w:rPr>
                    <w:t>110</w:t>
                  </w:r>
                  <w:r>
                    <w:rPr>
                      <w:rFonts w:ascii="宋体" w:eastAsia="宋体"/>
                      <w:spacing w:val="-11"/>
                      <w:sz w:val="21"/>
                      <w:szCs w:val="21"/>
                    </w:rPr>
                    <w:t xml:space="preserve"> 千伏</w:t>
                  </w:r>
                  <w:r>
                    <w:rPr>
                      <w:rFonts w:ascii="宋体" w:eastAsia="宋体"/>
                      <w:spacing w:val="-4"/>
                      <w:sz w:val="21"/>
                      <w:szCs w:val="21"/>
                    </w:rPr>
                    <w:t>输变电。</w:t>
                  </w:r>
                </w:p>
              </w:txbxContent>
            </v:textbox>
          </v:shape>
        </w:pict>
      </w:r>
      <w:r>
        <w:rPr>
          <w:spacing w:val="-3"/>
        </w:rPr>
        <w:t>加快城网、农网的升级改造，依托 220 千伏变电所，逐步打开 110千伏环网，形成覆盖哈密两县一市、结构简明、清晰合理的 110 千伏配电网。合理划分供电区域，增加互通容量，提高各县市的供电可靠性。围绕新型工业化建设，配合安居富民、定居兴牧工程，全面完成城、农网改造，争取在 2015 年，彻底消除无电地区供电问题。</w:t>
      </w:r>
    </w:p>
    <w:p w14:paraId="32C9C029">
      <w:pPr>
        <w:pStyle w:val="5"/>
        <w:ind w:left="0"/>
        <w:rPr>
          <w:sz w:val="20"/>
        </w:rPr>
      </w:pPr>
    </w:p>
    <w:p w14:paraId="16B84EF0">
      <w:pPr>
        <w:pStyle w:val="5"/>
        <w:ind w:left="0"/>
        <w:rPr>
          <w:sz w:val="20"/>
        </w:rPr>
      </w:pPr>
    </w:p>
    <w:p w14:paraId="5A279DF8">
      <w:pPr>
        <w:pStyle w:val="5"/>
        <w:ind w:left="0"/>
        <w:rPr>
          <w:sz w:val="20"/>
        </w:rPr>
      </w:pPr>
    </w:p>
    <w:p w14:paraId="107D0604">
      <w:pPr>
        <w:pStyle w:val="5"/>
        <w:ind w:left="0"/>
        <w:rPr>
          <w:sz w:val="20"/>
        </w:rPr>
      </w:pPr>
    </w:p>
    <w:p w14:paraId="29F607F6">
      <w:pPr>
        <w:pStyle w:val="5"/>
        <w:ind w:left="0"/>
        <w:rPr>
          <w:sz w:val="20"/>
        </w:rPr>
      </w:pPr>
    </w:p>
    <w:p w14:paraId="6656DF4E">
      <w:pPr>
        <w:pStyle w:val="5"/>
        <w:ind w:left="0"/>
        <w:rPr>
          <w:sz w:val="20"/>
        </w:rPr>
      </w:pPr>
    </w:p>
    <w:p w14:paraId="02221D93">
      <w:pPr>
        <w:pStyle w:val="5"/>
        <w:ind w:left="0"/>
        <w:rPr>
          <w:sz w:val="20"/>
        </w:rPr>
      </w:pPr>
    </w:p>
    <w:p w14:paraId="10D4ABB0">
      <w:pPr>
        <w:pStyle w:val="5"/>
        <w:ind w:left="0"/>
        <w:rPr>
          <w:sz w:val="20"/>
        </w:rPr>
      </w:pPr>
    </w:p>
    <w:p w14:paraId="6B3CB77B">
      <w:pPr>
        <w:pStyle w:val="5"/>
        <w:ind w:left="0"/>
        <w:rPr>
          <w:sz w:val="20"/>
        </w:rPr>
      </w:pPr>
    </w:p>
    <w:p w14:paraId="0AA9AF01">
      <w:pPr>
        <w:pStyle w:val="5"/>
        <w:ind w:left="0"/>
        <w:rPr>
          <w:sz w:val="20"/>
        </w:rPr>
      </w:pPr>
    </w:p>
    <w:p w14:paraId="0097F57A">
      <w:pPr>
        <w:pStyle w:val="5"/>
        <w:ind w:left="0"/>
        <w:rPr>
          <w:sz w:val="20"/>
        </w:rPr>
      </w:pPr>
    </w:p>
    <w:p w14:paraId="570D3288">
      <w:pPr>
        <w:pStyle w:val="5"/>
        <w:ind w:left="0"/>
        <w:rPr>
          <w:sz w:val="20"/>
        </w:rPr>
      </w:pPr>
    </w:p>
    <w:p w14:paraId="62727217">
      <w:pPr>
        <w:pStyle w:val="5"/>
        <w:ind w:left="0"/>
        <w:rPr>
          <w:sz w:val="20"/>
        </w:rPr>
      </w:pPr>
    </w:p>
    <w:p w14:paraId="052A1A61">
      <w:pPr>
        <w:pStyle w:val="5"/>
        <w:ind w:left="0"/>
        <w:rPr>
          <w:sz w:val="20"/>
        </w:rPr>
      </w:pPr>
    </w:p>
    <w:p w14:paraId="10C5D5A5">
      <w:pPr>
        <w:pStyle w:val="5"/>
        <w:ind w:left="0"/>
        <w:rPr>
          <w:sz w:val="20"/>
        </w:rPr>
      </w:pPr>
    </w:p>
    <w:p w14:paraId="54A6A37E">
      <w:pPr>
        <w:pStyle w:val="5"/>
        <w:ind w:left="0"/>
        <w:rPr>
          <w:sz w:val="20"/>
        </w:rPr>
      </w:pPr>
    </w:p>
    <w:p w14:paraId="66B68B83">
      <w:pPr>
        <w:pStyle w:val="5"/>
        <w:ind w:left="0"/>
        <w:rPr>
          <w:sz w:val="20"/>
        </w:rPr>
      </w:pPr>
    </w:p>
    <w:p w14:paraId="6BA83644">
      <w:pPr>
        <w:pStyle w:val="5"/>
        <w:ind w:left="0"/>
        <w:rPr>
          <w:sz w:val="20"/>
        </w:rPr>
      </w:pPr>
    </w:p>
    <w:p w14:paraId="3A5F53D1">
      <w:pPr>
        <w:pStyle w:val="5"/>
        <w:spacing w:before="7"/>
        <w:ind w:left="0"/>
        <w:rPr>
          <w:sz w:val="20"/>
        </w:rPr>
      </w:pPr>
    </w:p>
    <w:p w14:paraId="12CA08D3">
      <w:pPr>
        <w:pStyle w:val="3"/>
        <w:spacing w:before="62"/>
        <w:ind w:left="0" w:right="0"/>
        <w:rPr>
          <w:i w:val="0"/>
          <w:iCs w:val="0"/>
        </w:rPr>
      </w:pPr>
      <w:bookmarkStart w:id="180" w:name="_bookmark39"/>
      <w:bookmarkEnd w:id="180"/>
      <w:bookmarkStart w:id="181" w:name="第四节  推进信息网络，构筑现代信息体系"/>
      <w:bookmarkEnd w:id="181"/>
      <w:bookmarkStart w:id="182" w:name="_Toc21936"/>
      <w:bookmarkStart w:id="183" w:name="_Toc1412926684"/>
      <w:bookmarkStart w:id="184" w:name="_Toc817701099"/>
      <w:bookmarkStart w:id="185" w:name="_Toc650422813"/>
      <w:r>
        <w:rPr>
          <w:i w:val="0"/>
          <w:iCs w:val="0"/>
        </w:rPr>
        <w:t>第四节</w:t>
      </w:r>
      <w:r>
        <w:rPr>
          <w:i w:val="0"/>
          <w:iCs w:val="0"/>
          <w:spacing w:val="12"/>
          <w:w w:val="150"/>
        </w:rPr>
        <w:t xml:space="preserve"> </w:t>
      </w:r>
      <w:r>
        <w:rPr>
          <w:i w:val="0"/>
          <w:iCs w:val="0"/>
        </w:rPr>
        <w:t>推进信息网络，构筑现代信</w:t>
      </w:r>
      <w:r>
        <w:rPr>
          <w:i w:val="0"/>
          <w:iCs w:val="0"/>
          <w:spacing w:val="-4"/>
        </w:rPr>
        <w:t>息体系</w:t>
      </w:r>
      <w:bookmarkEnd w:id="182"/>
      <w:bookmarkEnd w:id="183"/>
      <w:bookmarkEnd w:id="184"/>
      <w:bookmarkEnd w:id="185"/>
    </w:p>
    <w:p w14:paraId="67F66B9F">
      <w:pPr>
        <w:pStyle w:val="5"/>
        <w:spacing w:before="4"/>
        <w:ind w:left="0"/>
        <w:rPr>
          <w:rFonts w:ascii="楷体_GB2312"/>
          <w:b/>
          <w:i/>
          <w:sz w:val="34"/>
        </w:rPr>
      </w:pPr>
    </w:p>
    <w:p w14:paraId="6F0F414A">
      <w:pPr>
        <w:pStyle w:val="5"/>
        <w:spacing w:before="0" w:line="363" w:lineRule="auto"/>
        <w:ind w:left="0" w:right="0" w:firstLine="536" w:firstLineChars="200"/>
        <w:jc w:val="both"/>
      </w:pPr>
      <w:r>
        <w:rPr>
          <w:spacing w:val="-6"/>
        </w:rPr>
        <w:t>加强通讯、邮政、广播电视、远程教育网络等信息基础设施建设，</w:t>
      </w:r>
      <w:r>
        <w:rPr>
          <w:spacing w:val="-2"/>
        </w:rPr>
        <w:t>实施数字电视整体转换以及高速宽带网络等重点工程，大力实施“村</w:t>
      </w:r>
      <w:r>
        <w:rPr>
          <w:spacing w:val="-20"/>
        </w:rPr>
        <w:t>村通”、“西新”工程和农村数字电影放映工程，丰富地区广播电视节</w:t>
      </w:r>
      <w:r>
        <w:rPr>
          <w:spacing w:val="-2"/>
        </w:rPr>
        <w:t>目内容，提高覆盖和安全保障能力。大力发展宽带接入，实现信息网络宽带化、综合化、智能化；在市区及县城，重点支持电信、广电和</w:t>
      </w:r>
      <w:r>
        <w:rPr>
          <w:spacing w:val="-17"/>
        </w:rPr>
        <w:t>计算机网“三网融合”，实</w:t>
      </w:r>
    </w:p>
    <w:p w14:paraId="7CDFEAB5">
      <w:pPr>
        <w:pStyle w:val="5"/>
        <w:spacing w:line="363" w:lineRule="auto"/>
        <w:ind w:firstLine="560" w:firstLineChars="200"/>
        <w:sectPr>
          <w:pgSz w:w="11910" w:h="16840"/>
          <w:pgMar w:top="1540" w:right="1260" w:bottom="1180" w:left="1480" w:header="0" w:footer="993" w:gutter="0"/>
          <w:pgNumType w:fmt="decimal"/>
          <w:cols w:space="720" w:num="1"/>
        </w:sectPr>
      </w:pPr>
    </w:p>
    <w:p w14:paraId="112C1C6B">
      <w:pPr>
        <w:pStyle w:val="5"/>
        <w:spacing w:before="0" w:line="363" w:lineRule="auto"/>
        <w:ind w:left="0" w:firstLine="0" w:firstLineChars="0"/>
        <w:jc w:val="both"/>
      </w:pPr>
      <w:r>
        <w:rPr>
          <w:rFonts w:hint="eastAsia"/>
          <w:spacing w:val="-2"/>
          <w:lang w:eastAsia="zh-CN"/>
        </w:rPr>
        <w:t>现资源共</w:t>
      </w:r>
      <w:r>
        <w:rPr>
          <w:spacing w:val="-17"/>
        </w:rPr>
        <w:t>享；建设电子政务、电子商务、中</w:t>
      </w:r>
      <w:r>
        <w:rPr>
          <w:spacing w:val="-2"/>
        </w:rPr>
        <w:t>小企业信息服务、农牧业信息服务平台，发展远程教育、远程医疗；</w:t>
      </w:r>
      <w:r>
        <w:rPr>
          <w:spacing w:val="-9"/>
        </w:rPr>
        <w:t xml:space="preserve">建立和完善数字安全认证体系，加强信息安全保障。到 </w:t>
      </w:r>
      <w:r>
        <w:rPr>
          <w:spacing w:val="-6"/>
        </w:rPr>
        <w:t>2015</w:t>
      </w:r>
      <w:r>
        <w:rPr>
          <w:spacing w:val="-21"/>
        </w:rPr>
        <w:t xml:space="preserve"> 年，电话</w:t>
      </w:r>
      <w:r>
        <w:rPr>
          <w:spacing w:val="-13"/>
        </w:rPr>
        <w:t xml:space="preserve">普及率达到 </w:t>
      </w:r>
      <w:r>
        <w:rPr>
          <w:spacing w:val="-2"/>
        </w:rPr>
        <w:t>1.5</w:t>
      </w:r>
      <w:r>
        <w:rPr>
          <w:spacing w:val="-22"/>
        </w:rPr>
        <w:t xml:space="preserve"> 部/人、通邮村率达到 </w:t>
      </w:r>
      <w:r>
        <w:rPr>
          <w:spacing w:val="-2"/>
        </w:rPr>
        <w:t>100%</w:t>
      </w:r>
      <w:r>
        <w:rPr>
          <w:spacing w:val="-16"/>
        </w:rPr>
        <w:t xml:space="preserve">、广播电视覆盖率达到 </w:t>
      </w:r>
      <w:r>
        <w:rPr>
          <w:spacing w:val="-5"/>
        </w:rPr>
        <w:t>96%</w:t>
      </w:r>
      <w:r>
        <w:rPr>
          <w:spacing w:val="-9"/>
        </w:rPr>
        <w:t xml:space="preserve">以上，互联网用户达到 </w:t>
      </w:r>
      <w:r>
        <w:rPr>
          <w:spacing w:val="-2"/>
        </w:rPr>
        <w:t>10</w:t>
      </w:r>
      <w:r>
        <w:rPr>
          <w:spacing w:val="-21"/>
        </w:rPr>
        <w:t xml:space="preserve"> 万户。</w:t>
      </w:r>
    </w:p>
    <w:p w14:paraId="542786AD">
      <w:pPr>
        <w:pStyle w:val="5"/>
        <w:spacing w:before="10"/>
        <w:ind w:left="0"/>
        <w:rPr>
          <w:sz w:val="23"/>
        </w:rPr>
      </w:pPr>
    </w:p>
    <w:p w14:paraId="659BE145">
      <w:pPr>
        <w:pStyle w:val="2"/>
        <w:tabs>
          <w:tab w:val="left" w:pos="1199"/>
        </w:tabs>
        <w:spacing w:before="1"/>
        <w:ind w:right="0"/>
      </w:pPr>
      <w:bookmarkStart w:id="186" w:name="第九章  加强资源开发保护，建设资源节约型社会"/>
      <w:bookmarkEnd w:id="186"/>
      <w:bookmarkStart w:id="187" w:name="_Toc68977288"/>
      <w:bookmarkStart w:id="188" w:name="_Toc670939115"/>
      <w:bookmarkStart w:id="189" w:name="_Toc639592858"/>
      <w:bookmarkStart w:id="190" w:name="_Toc18278"/>
      <w:r>
        <w:t>第九</w:t>
      </w:r>
      <w:r>
        <w:rPr>
          <w:spacing w:val="-10"/>
        </w:rPr>
        <w:t>章</w:t>
      </w:r>
      <w:r>
        <w:tab/>
      </w:r>
      <w:r>
        <w:t>加强资源开发</w:t>
      </w:r>
      <w:bookmarkStart w:id="191" w:name="_bookmark40"/>
      <w:bookmarkEnd w:id="191"/>
      <w:r>
        <w:t>保护，建设资源节约型社</w:t>
      </w:r>
      <w:r>
        <w:rPr>
          <w:spacing w:val="-10"/>
        </w:rPr>
        <w:t>会</w:t>
      </w:r>
      <w:bookmarkEnd w:id="187"/>
      <w:bookmarkEnd w:id="188"/>
      <w:bookmarkEnd w:id="189"/>
      <w:bookmarkEnd w:id="190"/>
    </w:p>
    <w:p w14:paraId="0A225FBF">
      <w:pPr>
        <w:pStyle w:val="5"/>
        <w:spacing w:before="11"/>
        <w:ind w:left="0"/>
        <w:rPr>
          <w:rFonts w:ascii="黑体"/>
          <w:sz w:val="31"/>
        </w:rPr>
      </w:pPr>
    </w:p>
    <w:p w14:paraId="16781A2E">
      <w:pPr>
        <w:pStyle w:val="3"/>
        <w:ind w:left="0" w:right="0"/>
        <w:rPr>
          <w:i w:val="0"/>
          <w:iCs w:val="0"/>
        </w:rPr>
      </w:pPr>
      <w:bookmarkStart w:id="192" w:name="第一节  合理优化水资源配置，提高水资源支撑能力"/>
      <w:bookmarkEnd w:id="192"/>
      <w:bookmarkStart w:id="193" w:name="_bookmark41"/>
      <w:bookmarkEnd w:id="193"/>
      <w:bookmarkStart w:id="194" w:name="_Toc429791024"/>
      <w:bookmarkStart w:id="195" w:name="_Toc82528282"/>
      <w:bookmarkStart w:id="196" w:name="_Toc22211"/>
      <w:bookmarkStart w:id="197" w:name="_Toc2009846276"/>
      <w:r>
        <w:rPr>
          <w:i w:val="0"/>
          <w:iCs w:val="0"/>
        </w:rPr>
        <w:t>第一</w:t>
      </w:r>
      <w:r>
        <w:rPr>
          <w:i w:val="0"/>
          <w:iCs w:val="0"/>
          <w:spacing w:val="21"/>
        </w:rPr>
        <w:t>节 合</w:t>
      </w:r>
      <w:r>
        <w:rPr>
          <w:i w:val="0"/>
          <w:iCs w:val="0"/>
        </w:rPr>
        <w:t>理优化水资源配置，提高水资源支撑能</w:t>
      </w:r>
      <w:r>
        <w:rPr>
          <w:i w:val="0"/>
          <w:iCs w:val="0"/>
          <w:spacing w:val="-10"/>
        </w:rPr>
        <w:t>力</w:t>
      </w:r>
      <w:bookmarkEnd w:id="194"/>
      <w:bookmarkEnd w:id="195"/>
      <w:bookmarkEnd w:id="196"/>
      <w:bookmarkEnd w:id="197"/>
    </w:p>
    <w:p w14:paraId="46A3E61F">
      <w:pPr>
        <w:pStyle w:val="5"/>
        <w:spacing w:before="4"/>
        <w:ind w:left="0"/>
        <w:rPr>
          <w:rFonts w:ascii="楷体_GB2312"/>
          <w:b/>
          <w:i/>
          <w:sz w:val="34"/>
        </w:rPr>
      </w:pPr>
    </w:p>
    <w:p w14:paraId="67E503A4">
      <w:pPr>
        <w:pStyle w:val="5"/>
        <w:spacing w:line="363" w:lineRule="auto"/>
        <w:ind w:left="0" w:firstLine="548" w:firstLineChars="200"/>
        <w:jc w:val="both"/>
      </w:pPr>
      <w:r>
        <w:rPr>
          <w:spacing w:val="-3"/>
          <w:w w:val="100"/>
        </w:rPr>
        <w:t>按照</w:t>
      </w:r>
      <w:r>
        <w:rPr>
          <w:rFonts w:hint="eastAsia"/>
          <w:spacing w:val="-3"/>
          <w:w w:val="100"/>
          <w:lang w:eastAsia="zh-CN"/>
        </w:rPr>
        <w:t>优化</w:t>
      </w:r>
      <w:r>
        <w:rPr>
          <w:spacing w:val="-3"/>
          <w:w w:val="100"/>
        </w:rPr>
        <w:t>农业用水、增加工业用水、保障生活和生态用水的水资源配置原则，坚持适度开发地表水，有效控制地下水，充分利用城市中水的水资源开发利用，在继续加大地区节水型社会建设的同时，根据地区水资源分布及利用现状，加快实施水资源结构性调整，优化地</w:t>
      </w:r>
      <w:r>
        <w:rPr>
          <w:spacing w:val="-12"/>
          <w:w w:val="100"/>
        </w:rPr>
        <w:t>区三次产业水资源结构配置。实施水库区移民，将贫困农牧民从生活、</w:t>
      </w:r>
      <w:r>
        <w:rPr>
          <w:spacing w:val="6"/>
          <w:w w:val="100"/>
        </w:rPr>
        <w:t>生产条件恶劣的水库区出山口整体移民搬迁到条件相对优越的平原</w:t>
      </w:r>
      <w:r>
        <w:rPr>
          <w:spacing w:val="-3"/>
          <w:w w:val="100"/>
        </w:rPr>
        <w:t>区，并将高耗水、低效益的农业种植用水转移到高效工业产业，实现水效益的最大化；实施平原灌区退地还水，支撑山区控制性工程对地表水的调控，改善地下水超采局面，保障实现地区经济宏观调控目标</w:t>
      </w:r>
      <w:r>
        <w:rPr>
          <w:spacing w:val="2"/>
          <w:w w:val="100"/>
        </w:rPr>
        <w:t>所需的水资源支撑。到</w:t>
      </w:r>
      <w:r>
        <w:rPr>
          <w:spacing w:val="-69"/>
        </w:rPr>
        <w:t xml:space="preserve"> </w:t>
      </w:r>
      <w:r>
        <w:rPr>
          <w:spacing w:val="1"/>
          <w:w w:val="100"/>
        </w:rPr>
        <w:t>2</w:t>
      </w:r>
      <w:r>
        <w:rPr>
          <w:spacing w:val="-2"/>
          <w:w w:val="100"/>
        </w:rPr>
        <w:t>01</w:t>
      </w:r>
      <w:r>
        <w:rPr>
          <w:w w:val="100"/>
        </w:rPr>
        <w:t>5</w:t>
      </w:r>
      <w:r>
        <w:rPr>
          <w:spacing w:val="-65"/>
        </w:rPr>
        <w:t xml:space="preserve"> </w:t>
      </w:r>
      <w:r>
        <w:rPr>
          <w:spacing w:val="1"/>
          <w:w w:val="100"/>
        </w:rPr>
        <w:t>年，全地区水资源开发利用总量控制为</w:t>
      </w:r>
      <w:r>
        <w:t>10.8</w:t>
      </w:r>
      <w:r>
        <w:rPr>
          <w:spacing w:val="-11"/>
        </w:rPr>
        <w:t xml:space="preserve"> 亿立方米，社会各业用水量为：农业用水 </w:t>
      </w:r>
      <w:r>
        <w:t>8.04</w:t>
      </w:r>
      <w:r>
        <w:rPr>
          <w:spacing w:val="-10"/>
        </w:rPr>
        <w:t xml:space="preserve"> 亿立方米，工业</w:t>
      </w:r>
    </w:p>
    <w:p w14:paraId="061B7156">
      <w:pPr>
        <w:pStyle w:val="5"/>
        <w:spacing w:before="0" w:line="363" w:lineRule="auto"/>
        <w:ind w:left="0" w:right="0" w:firstLine="0" w:firstLineChars="0"/>
        <w:jc w:val="both"/>
      </w:pPr>
      <w:r>
        <w:rPr>
          <w:spacing w:val="-25"/>
        </w:rPr>
        <w:t xml:space="preserve">用水 </w:t>
      </w:r>
      <w:r>
        <w:t>1.27</w:t>
      </w:r>
      <w:r>
        <w:rPr>
          <w:spacing w:val="-22"/>
        </w:rPr>
        <w:t xml:space="preserve"> 亿立方米，生活用水 </w:t>
      </w:r>
      <w:r>
        <w:t>0.73</w:t>
      </w:r>
      <w:r>
        <w:rPr>
          <w:spacing w:val="-22"/>
        </w:rPr>
        <w:t xml:space="preserve"> 亿立方米，生态用水 </w:t>
      </w:r>
      <w:r>
        <w:t>0.76</w:t>
      </w:r>
      <w:r>
        <w:rPr>
          <w:spacing w:val="-18"/>
        </w:rPr>
        <w:t xml:space="preserve"> 亿立方</w:t>
      </w:r>
      <w:r>
        <w:rPr>
          <w:spacing w:val="-6"/>
        </w:rPr>
        <w:t xml:space="preserve">米，用水结构为 </w:t>
      </w:r>
      <w:r>
        <w:t>74.4：11.8：6.8：7。</w:t>
      </w:r>
    </w:p>
    <w:p w14:paraId="539260E7">
      <w:pPr>
        <w:pStyle w:val="5"/>
        <w:spacing w:line="363" w:lineRule="auto"/>
        <w:ind w:left="0" w:right="0" w:firstLine="532" w:firstLineChars="200"/>
        <w:jc w:val="both"/>
      </w:pPr>
      <w:r>
        <w:rPr>
          <w:spacing w:val="-7"/>
        </w:rPr>
        <w:t>为满足地区新型工业化向更大规模、更高层次的发展用水</w:t>
      </w:r>
      <w:r>
        <w:rPr>
          <w:spacing w:val="-55"/>
        </w:rPr>
        <w:t>，“十二</w:t>
      </w:r>
      <w:r>
        <w:rPr>
          <w:spacing w:val="-6"/>
        </w:rPr>
        <w:t>五”期间，继续争取国家将疆内</w:t>
      </w:r>
      <w:r>
        <w:rPr>
          <w:rFonts w:hint="eastAsia"/>
          <w:spacing w:val="-6"/>
        </w:rPr>
        <w:t>外调水引入工程</w:t>
      </w:r>
      <w:r>
        <w:rPr>
          <w:spacing w:val="-6"/>
        </w:rPr>
        <w:t>列入国家发展规划。</w:t>
      </w:r>
    </w:p>
    <w:p w14:paraId="350B7C2A">
      <w:pPr>
        <w:spacing w:after="0" w:line="362" w:lineRule="auto"/>
      </w:pPr>
    </w:p>
    <w:p w14:paraId="2A9A80FB">
      <w:pPr>
        <w:pStyle w:val="3"/>
        <w:spacing w:before="35"/>
        <w:ind w:left="0" w:right="0"/>
        <w:rPr>
          <w:i w:val="0"/>
          <w:iCs w:val="0"/>
        </w:rPr>
      </w:pPr>
      <w:bookmarkStart w:id="198" w:name="_Toc2109908820"/>
      <w:bookmarkStart w:id="199" w:name="_Toc1333633736"/>
      <w:bookmarkStart w:id="200" w:name="_Toc2080"/>
      <w:r>
        <w:rPr>
          <w:i w:val="0"/>
          <w:iCs w:val="0"/>
        </w:rPr>
        <w:t>第二节</w:t>
      </w:r>
      <w:r>
        <w:rPr>
          <w:i w:val="0"/>
          <w:iCs w:val="0"/>
          <w:spacing w:val="12"/>
          <w:w w:val="150"/>
        </w:rPr>
        <w:t xml:space="preserve"> </w:t>
      </w:r>
      <w:r>
        <w:rPr>
          <w:i w:val="0"/>
          <w:iCs w:val="0"/>
        </w:rPr>
        <w:t>加大勘查力度，集约开发矿</w:t>
      </w:r>
      <w:r>
        <w:rPr>
          <w:i w:val="0"/>
          <w:iCs w:val="0"/>
          <w:spacing w:val="-4"/>
        </w:rPr>
        <w:t>产资源</w:t>
      </w:r>
      <w:bookmarkEnd w:id="198"/>
      <w:bookmarkEnd w:id="199"/>
      <w:bookmarkEnd w:id="200"/>
    </w:p>
    <w:p w14:paraId="01891A4B">
      <w:pPr>
        <w:pStyle w:val="5"/>
        <w:spacing w:before="5"/>
        <w:ind w:left="0"/>
        <w:jc w:val="both"/>
        <w:rPr>
          <w:rFonts w:ascii="楷体_GB2312"/>
          <w:b/>
          <w:i/>
          <w:sz w:val="34"/>
        </w:rPr>
      </w:pPr>
    </w:p>
    <w:p w14:paraId="01A56FBE">
      <w:pPr>
        <w:spacing w:after="0" w:line="362" w:lineRule="auto"/>
        <w:ind w:firstLine="536" w:firstLineChars="200"/>
        <w:rPr>
          <w:rFonts w:hint="eastAsia"/>
          <w:spacing w:val="-6"/>
          <w:sz w:val="28"/>
          <w:szCs w:val="28"/>
        </w:rPr>
        <w:sectPr>
          <w:pgSz w:w="11910" w:h="16840"/>
          <w:pgMar w:top="1540" w:right="1260" w:bottom="1180" w:left="1480" w:header="0" w:footer="993" w:gutter="0"/>
          <w:pgNumType w:fmt="decimal"/>
          <w:cols w:space="720" w:num="1"/>
        </w:sectPr>
      </w:pPr>
      <w:r>
        <w:rPr>
          <w:rFonts w:hint="eastAsia"/>
          <w:spacing w:val="-6"/>
          <w:sz w:val="28"/>
          <w:szCs w:val="28"/>
        </w:rPr>
        <w:t>加大政府投入和政策引导，积极争取国家地质勘探资金和自治区 358 项目，鼓励企业投资，采取多种方式，加大对煤炭七大矿区和重点矿产资源成</w:t>
      </w:r>
    </w:p>
    <w:p w14:paraId="118C306D">
      <w:pPr>
        <w:pStyle w:val="5"/>
        <w:spacing w:line="363" w:lineRule="auto"/>
        <w:ind w:left="0" w:right="0" w:firstLine="0" w:firstLineChars="0"/>
        <w:jc w:val="both"/>
        <w:rPr>
          <w:spacing w:val="-2"/>
        </w:rPr>
      </w:pPr>
      <w:bookmarkStart w:id="201" w:name="_bookmark42"/>
      <w:bookmarkEnd w:id="201"/>
      <w:bookmarkStart w:id="202" w:name="第二节  加大勘查力度，集约开发矿产资源"/>
      <w:bookmarkEnd w:id="202"/>
      <w:r>
        <w:rPr>
          <w:spacing w:val="-2"/>
        </w:rPr>
        <w:t>矿带的勘探开发和潜力调查评价。对煤炭、石油天然气等重要矿种和矿产地实行科学开发与合理利用，延长资源利用年限。</w:t>
      </w:r>
    </w:p>
    <w:p w14:paraId="27F42A16">
      <w:pPr>
        <w:pStyle w:val="5"/>
        <w:spacing w:line="363" w:lineRule="auto"/>
        <w:ind w:left="0" w:right="0" w:firstLine="552" w:firstLineChars="200"/>
        <w:jc w:val="both"/>
      </w:pPr>
      <w:r>
        <w:rPr>
          <w:spacing w:val="-2"/>
        </w:rPr>
        <w:t>坚持“分散采矿、分片选矿、集中冶炼”的方针，充分利用差别化产业政策，加强能源、原材料产业、产品之间的纵向联系和综合利用，大力推进热-电联产、煤-电-建材、煤炭-重化工的综合利用；坚持资源节约与技术引进相结合。强化推广节能降耗技术，重点加强对黑色、有色金属冶炼、电力、化工、建材等行业对矿产资源、原材料的消耗管理，鼓励和奖励资源的高效综合利用。大幅度提高矿产资源的回采率，积极鼓励采用先进工艺技术，加大低品位、难选矿、伴生矿和尾矿的利用。</w:t>
      </w:r>
    </w:p>
    <w:p w14:paraId="48155EBD">
      <w:pPr>
        <w:pStyle w:val="3"/>
        <w:spacing w:before="117"/>
        <w:ind w:left="0" w:right="0"/>
        <w:rPr>
          <w:i w:val="0"/>
          <w:iCs w:val="0"/>
        </w:rPr>
      </w:pPr>
      <w:bookmarkStart w:id="203" w:name="_bookmark43"/>
      <w:bookmarkEnd w:id="203"/>
      <w:bookmarkStart w:id="204" w:name="第三节  节约集约用地，实现土地零开荒"/>
      <w:bookmarkEnd w:id="204"/>
      <w:bookmarkStart w:id="205" w:name="_Toc2061136650"/>
      <w:bookmarkStart w:id="206" w:name="_Toc28381"/>
      <w:bookmarkStart w:id="207" w:name="_Toc1205183722"/>
      <w:bookmarkStart w:id="208" w:name="_Toc951431870"/>
      <w:r>
        <w:rPr>
          <w:i w:val="0"/>
          <w:iCs w:val="0"/>
        </w:rPr>
        <w:t>第三</w:t>
      </w:r>
      <w:r>
        <w:rPr>
          <w:i w:val="0"/>
          <w:iCs w:val="0"/>
          <w:spacing w:val="28"/>
        </w:rPr>
        <w:t>节 节</w:t>
      </w:r>
      <w:r>
        <w:rPr>
          <w:i w:val="0"/>
          <w:iCs w:val="0"/>
        </w:rPr>
        <w:t>约集约用地，实现土地零</w:t>
      </w:r>
      <w:r>
        <w:rPr>
          <w:i w:val="0"/>
          <w:iCs w:val="0"/>
          <w:spacing w:val="-6"/>
        </w:rPr>
        <w:t>开荒</w:t>
      </w:r>
      <w:bookmarkEnd w:id="205"/>
      <w:bookmarkEnd w:id="206"/>
      <w:bookmarkEnd w:id="207"/>
      <w:bookmarkEnd w:id="208"/>
    </w:p>
    <w:p w14:paraId="774BFAA7">
      <w:pPr>
        <w:pStyle w:val="5"/>
        <w:spacing w:before="4"/>
        <w:ind w:left="0"/>
        <w:rPr>
          <w:rFonts w:ascii="楷体_GB2312"/>
          <w:b/>
          <w:i/>
          <w:sz w:val="34"/>
        </w:rPr>
      </w:pPr>
    </w:p>
    <w:p w14:paraId="17DAF6EC">
      <w:pPr>
        <w:pStyle w:val="5"/>
        <w:spacing w:line="363" w:lineRule="auto"/>
        <w:ind w:left="0" w:right="0" w:firstLine="552" w:firstLineChars="200"/>
        <w:jc w:val="both"/>
        <w:rPr>
          <w:spacing w:val="-2"/>
        </w:rPr>
      </w:pPr>
      <w:r>
        <w:rPr>
          <w:spacing w:val="-2"/>
        </w:rPr>
        <w:t>对于现有城乡建设用地范围内的闲置未利用土地和利用不充分、不合理、产出低的土地，及时开展存量土地盘活；村庄和居民点建设应不占农田，积极引导农村人口转移，加强土地整理；区域性的交通、能源、水利等基础设施选址，应尽量避让基本农田；严格控制建设用地总量，严格控制农用地特别是耕地转用总量；加大力度遏制开荒，实现土地零开荒。</w:t>
      </w:r>
    </w:p>
    <w:p w14:paraId="46AFF596">
      <w:pPr>
        <w:pStyle w:val="2"/>
        <w:tabs>
          <w:tab w:val="left" w:pos="1199"/>
        </w:tabs>
        <w:spacing w:before="114"/>
        <w:ind w:right="0"/>
      </w:pPr>
      <w:bookmarkStart w:id="209" w:name="_bookmark44"/>
      <w:bookmarkEnd w:id="209"/>
      <w:bookmarkStart w:id="210" w:name="第十章  加强生态建设与环境保护，建设环境友好型社会"/>
      <w:bookmarkEnd w:id="210"/>
      <w:bookmarkStart w:id="211" w:name="_Toc1280439521"/>
      <w:bookmarkStart w:id="212" w:name="_Toc2124470696"/>
      <w:bookmarkStart w:id="213" w:name="_Toc16031"/>
      <w:bookmarkStart w:id="214" w:name="_Toc1242286655"/>
      <w:r>
        <w:t>第十</w:t>
      </w:r>
      <w:r>
        <w:rPr>
          <w:spacing w:val="-10"/>
        </w:rPr>
        <w:t>章</w:t>
      </w:r>
      <w:r>
        <w:tab/>
      </w:r>
      <w:r>
        <w:t>加强生态建设与环境保护，建设环境友好型社</w:t>
      </w:r>
      <w:r>
        <w:rPr>
          <w:spacing w:val="-10"/>
        </w:rPr>
        <w:t>会</w:t>
      </w:r>
      <w:bookmarkEnd w:id="211"/>
      <w:bookmarkEnd w:id="212"/>
      <w:bookmarkEnd w:id="213"/>
      <w:bookmarkEnd w:id="214"/>
    </w:p>
    <w:p w14:paraId="259E16EE">
      <w:pPr>
        <w:pStyle w:val="5"/>
        <w:spacing w:before="5"/>
        <w:ind w:left="0"/>
        <w:rPr>
          <w:rFonts w:ascii="黑体"/>
          <w:sz w:val="33"/>
        </w:rPr>
      </w:pPr>
    </w:p>
    <w:p w14:paraId="7A9970B6">
      <w:pPr>
        <w:pStyle w:val="5"/>
        <w:autoSpaceDE/>
        <w:autoSpaceDN/>
        <w:spacing w:before="0" w:line="363" w:lineRule="auto"/>
        <w:ind w:left="0" w:right="0" w:firstLine="552" w:firstLineChars="200"/>
      </w:pPr>
      <w:r>
        <w:rPr>
          <w:spacing w:val="-2"/>
        </w:rPr>
        <w:t>继续坚持</w:t>
      </w:r>
      <w:r>
        <w:rPr>
          <w:rFonts w:hint="eastAsia"/>
          <w:spacing w:val="-2"/>
          <w:lang w:eastAsia="zh-CN"/>
        </w:rPr>
        <w:t>推进</w:t>
      </w:r>
      <w:r>
        <w:rPr>
          <w:spacing w:val="-2"/>
        </w:rPr>
        <w:t>“生态立区”，把发展人工生态与保护自然生态紧密结合起来，把中长期保护与解决当前重大环境问题紧密结合起</w:t>
      </w:r>
      <w:r>
        <w:rPr>
          <w:spacing w:val="-6"/>
        </w:rPr>
        <w:t>来，以治水为中心、造林种草为先导、改土为基础、重大工程为依托，</w:t>
      </w:r>
      <w:r>
        <w:rPr>
          <w:spacing w:val="-2"/>
        </w:rPr>
        <w:t>因地制宜、重点突破、多方合作，全面推进生态建设与环境保护。大</w:t>
      </w:r>
      <w:r>
        <w:rPr>
          <w:spacing w:val="-6"/>
        </w:rPr>
        <w:t>力发展循环经济，积极推进清洁生产，加强节能减排，发展低碳经济。</w:t>
      </w:r>
    </w:p>
    <w:p w14:paraId="7EEE083F">
      <w:pPr>
        <w:pStyle w:val="3"/>
        <w:spacing w:before="131"/>
        <w:ind w:left="0" w:right="0"/>
        <w:rPr>
          <w:i w:val="0"/>
          <w:iCs w:val="0"/>
        </w:rPr>
      </w:pPr>
      <w:bookmarkStart w:id="215" w:name="_Toc9758"/>
      <w:bookmarkStart w:id="216" w:name="_Toc667442188"/>
      <w:bookmarkStart w:id="217" w:name="_Toc1972289852"/>
      <w:r>
        <w:rPr>
          <w:i w:val="0"/>
          <w:iCs w:val="0"/>
        </w:rPr>
        <w:t>第一</w:t>
      </w:r>
      <w:r>
        <w:rPr>
          <w:i w:val="0"/>
          <w:iCs w:val="0"/>
          <w:spacing w:val="24"/>
        </w:rPr>
        <w:t>节 加</w:t>
      </w:r>
      <w:r>
        <w:rPr>
          <w:i w:val="0"/>
          <w:iCs w:val="0"/>
        </w:rPr>
        <w:t>强区域生态建设，有效维护生态功</w:t>
      </w:r>
      <w:r>
        <w:rPr>
          <w:i w:val="0"/>
          <w:iCs w:val="0"/>
          <w:spacing w:val="-10"/>
        </w:rPr>
        <w:t>能</w:t>
      </w:r>
      <w:bookmarkEnd w:id="215"/>
      <w:bookmarkEnd w:id="216"/>
      <w:bookmarkEnd w:id="217"/>
    </w:p>
    <w:p w14:paraId="73E3C703">
      <w:pPr>
        <w:pStyle w:val="5"/>
        <w:spacing w:before="5"/>
        <w:ind w:left="0"/>
        <w:rPr>
          <w:rFonts w:ascii="楷体_GB2312"/>
          <w:b/>
          <w:i/>
          <w:sz w:val="34"/>
        </w:rPr>
      </w:pPr>
    </w:p>
    <w:p w14:paraId="5D8A1833">
      <w:pPr>
        <w:pStyle w:val="5"/>
        <w:autoSpaceDE/>
        <w:autoSpaceDN/>
        <w:spacing w:line="363" w:lineRule="auto"/>
        <w:ind w:left="0" w:right="0" w:firstLine="552" w:firstLineChars="200"/>
        <w:jc w:val="both"/>
        <w:rPr>
          <w:spacing w:val="-2"/>
        </w:rPr>
      </w:pPr>
      <w:r>
        <w:rPr>
          <w:spacing w:val="-2"/>
        </w:rPr>
        <w:t>加强对山区天然森林的保育，加大农田防护林建设和更新改造力度，营造防风林和固沙林，加大防风治沙力度；坚持以草定畜原则，加快人工草料基地建设，合理使用天然草场，采取围栏封育方式，逐步恢复天然草地植被；加强荒漠植被的保护监管力度，杜绝荒漠植被的滥采滥挖。加强城镇的绿化建设，增加林地面积，减少草地面积。加强哈密市东西河坝、巴里坤县湿地、伊吾县胡杨林等区域生态环境保护。</w:t>
      </w:r>
    </w:p>
    <w:p w14:paraId="7C2FD7D9">
      <w:pPr>
        <w:pStyle w:val="5"/>
        <w:autoSpaceDE/>
        <w:autoSpaceDN/>
        <w:spacing w:line="363" w:lineRule="auto"/>
        <w:ind w:left="0" w:right="0" w:firstLine="552" w:firstLineChars="200"/>
        <w:jc w:val="both"/>
        <w:rPr>
          <w:spacing w:val="-2"/>
        </w:rPr>
      </w:pPr>
      <w:r>
        <w:rPr>
          <w:spacing w:val="-2"/>
        </w:rPr>
        <w:t>以打造西部干旱区生态建设修复示范基地为目标，实现治理水土流失面积 30 万亩，70%的重要湿地生态功能得到有效维护；森林覆盖率达到1.46%；力争天然草地围栏和补播改良面积达到 200 万亩，人工饲草基地面积达到 20 万亩；通过封育恢复和人工造林增加林地 40万亩。</w:t>
      </w:r>
    </w:p>
    <w:p w14:paraId="6DFC14A8">
      <w:pPr>
        <w:pStyle w:val="3"/>
        <w:spacing w:before="116"/>
        <w:ind w:left="0" w:right="0"/>
        <w:rPr>
          <w:i w:val="0"/>
          <w:iCs w:val="0"/>
        </w:rPr>
      </w:pPr>
      <w:bookmarkStart w:id="218" w:name="第二节  加大环境治理力度，提高区域环境质量"/>
      <w:bookmarkEnd w:id="218"/>
      <w:bookmarkStart w:id="219" w:name="_bookmark46"/>
      <w:bookmarkEnd w:id="219"/>
      <w:bookmarkStart w:id="220" w:name="_Toc228039884"/>
      <w:bookmarkStart w:id="221" w:name="_Toc1607745412"/>
      <w:bookmarkStart w:id="222" w:name="_Toc403960141"/>
      <w:bookmarkStart w:id="223" w:name="_Toc833"/>
      <w:r>
        <w:rPr>
          <w:i w:val="0"/>
          <w:iCs w:val="0"/>
        </w:rPr>
        <w:t>第二</w:t>
      </w:r>
      <w:r>
        <w:rPr>
          <w:i w:val="0"/>
          <w:iCs w:val="0"/>
          <w:spacing w:val="24"/>
        </w:rPr>
        <w:t>节 加</w:t>
      </w:r>
      <w:r>
        <w:rPr>
          <w:i w:val="0"/>
          <w:iCs w:val="0"/>
        </w:rPr>
        <w:t>大环境治理力度，提高区域环境质</w:t>
      </w:r>
      <w:r>
        <w:rPr>
          <w:i w:val="0"/>
          <w:iCs w:val="0"/>
          <w:spacing w:val="-10"/>
        </w:rPr>
        <w:t>量</w:t>
      </w:r>
      <w:bookmarkEnd w:id="220"/>
      <w:bookmarkEnd w:id="221"/>
      <w:bookmarkEnd w:id="222"/>
      <w:bookmarkEnd w:id="223"/>
    </w:p>
    <w:p w14:paraId="0CEC45EC">
      <w:pPr>
        <w:pStyle w:val="5"/>
        <w:spacing w:before="5"/>
        <w:ind w:left="0"/>
        <w:rPr>
          <w:rFonts w:ascii="楷体_GB2312"/>
          <w:b/>
          <w:i/>
          <w:sz w:val="34"/>
        </w:rPr>
      </w:pPr>
    </w:p>
    <w:p w14:paraId="4AC8B635">
      <w:pPr>
        <w:pStyle w:val="5"/>
        <w:adjustRightInd w:val="0"/>
        <w:spacing w:before="0" w:line="363" w:lineRule="auto"/>
        <w:ind w:left="0" w:right="0" w:firstLine="552" w:firstLineChars="200"/>
        <w:jc w:val="both"/>
      </w:pPr>
      <w:r>
        <w:rPr>
          <w:spacing w:val="-2"/>
        </w:rPr>
        <w:t>以农业结构调整和新农村建设为契机，把控制农业面源污染和农村生活污染、改善农村环境质量作为农村环境治理的抓手，保护农村饮用水源，加强农药和化肥环境安全管理，实行农产品市场准入制；在建城区内禁止污染排放量大的工业企业进入，禁止高耗能、重污染的建设项目；提高工业废水和废渣的综合利用率，工业污染物全部实现达标排放；完成各个城镇建成区环境规划，完善环境基础设施建设。完成污染物总量控制任务，城镇各功能区环境质量达标。结合产业结构调整、技术改造升级以及产品的更新换代，大力发展循环经济，积极推进清洁生产。</w:t>
      </w:r>
    </w:p>
    <w:p w14:paraId="3545CAE0">
      <w:pPr>
        <w:pStyle w:val="5"/>
        <w:wordWrap w:val="0"/>
        <w:autoSpaceDE/>
        <w:autoSpaceDN/>
        <w:adjustRightInd w:val="0"/>
        <w:spacing w:before="0" w:line="363" w:lineRule="auto"/>
        <w:ind w:left="0" w:right="0" w:firstLine="564" w:firstLineChars="200"/>
        <w:jc w:val="both"/>
      </w:pPr>
      <w:r>
        <w:rPr>
          <w:spacing w:val="1"/>
        </w:rPr>
        <w:t>辖区地表水水质</w:t>
      </w:r>
      <w:r>
        <w:rPr>
          <w:spacing w:val="11"/>
        </w:rPr>
        <w:t>（</w:t>
      </w:r>
      <w:r>
        <w:rPr>
          <w:spacing w:val="1"/>
        </w:rPr>
        <w:t>河流、水库</w:t>
      </w:r>
      <w:r>
        <w:rPr>
          <w:spacing w:val="11"/>
        </w:rPr>
        <w:t>）</w:t>
      </w:r>
      <w:r>
        <w:rPr>
          <w:spacing w:val="-1"/>
        </w:rPr>
        <w:t>达到《地表水环境质量标准》</w:t>
      </w:r>
      <w:r>
        <w:rPr>
          <w:spacing w:val="-4"/>
        </w:rPr>
        <w:t>（GB3838-2002）三类标准；引用水水源地水质（地下、地表）达到国</w:t>
      </w:r>
      <w:r>
        <w:rPr>
          <w:spacing w:val="-2"/>
        </w:rPr>
        <w:t>家标准；城镇空气质量达到国家二级标准，城镇区域环境噪声平均值</w:t>
      </w:r>
      <w:r>
        <w:rPr>
          <w:spacing w:val="-8"/>
        </w:rPr>
        <w:t xml:space="preserve">控制在 </w:t>
      </w:r>
      <w:r>
        <w:t>60dB(A)以内；城市生活污水无害化处理达到国家排放标准，</w:t>
      </w:r>
      <w:r>
        <w:rPr>
          <w:spacing w:val="-8"/>
        </w:rPr>
        <w:t xml:space="preserve">垃圾无害化处理率达到 </w:t>
      </w:r>
      <w:r>
        <w:rPr>
          <w:spacing w:val="-6"/>
        </w:rPr>
        <w:t>90</w:t>
      </w:r>
      <w:r>
        <w:rPr>
          <w:spacing w:val="-8"/>
        </w:rPr>
        <w:t xml:space="preserve">%，工业用水重复利用率达到 </w:t>
      </w:r>
      <w:r>
        <w:rPr>
          <w:spacing w:val="-6"/>
        </w:rPr>
        <w:t>80</w:t>
      </w:r>
      <w:r>
        <w:rPr>
          <w:spacing w:val="-17"/>
        </w:rPr>
        <w:t>%以上；工业</w:t>
      </w:r>
      <w:r>
        <w:rPr>
          <w:spacing w:val="-3"/>
        </w:rPr>
        <w:t xml:space="preserve">固体废物综合处置率达 </w:t>
      </w:r>
      <w:r>
        <w:t>85%以上，新建项目主要污染物达标排放率达</w:t>
      </w:r>
      <w:r>
        <w:rPr>
          <w:spacing w:val="-22"/>
        </w:rPr>
        <w:t xml:space="preserve">到 </w:t>
      </w:r>
      <w:r>
        <w:t>100%。</w:t>
      </w:r>
    </w:p>
    <w:p w14:paraId="74B88FC3">
      <w:pPr>
        <w:pStyle w:val="5"/>
        <w:autoSpaceDE/>
        <w:autoSpaceDN/>
        <w:spacing w:line="363" w:lineRule="auto"/>
        <w:ind w:left="0" w:right="0" w:firstLine="552" w:firstLineChars="200"/>
        <w:jc w:val="both"/>
        <w:rPr>
          <w:spacing w:val="-2"/>
        </w:rPr>
      </w:pPr>
    </w:p>
    <w:p w14:paraId="3285A510">
      <w:pPr>
        <w:spacing w:after="0" w:line="362" w:lineRule="auto"/>
        <w:sectPr>
          <w:pgSz w:w="11910" w:h="16840"/>
          <w:pgMar w:top="1540" w:right="1260" w:bottom="1180" w:left="1480" w:header="0" w:footer="993" w:gutter="0"/>
          <w:pgNumType w:fmt="decimal"/>
          <w:cols w:space="720" w:num="1"/>
        </w:sectPr>
      </w:pPr>
    </w:p>
    <w:p w14:paraId="715383BC">
      <w:pPr>
        <w:pStyle w:val="3"/>
        <w:spacing w:before="126"/>
        <w:ind w:left="0" w:right="0"/>
        <w:rPr>
          <w:i w:val="0"/>
          <w:iCs w:val="0"/>
        </w:rPr>
      </w:pPr>
      <w:bookmarkStart w:id="224" w:name="_bookmark47"/>
      <w:bookmarkEnd w:id="224"/>
      <w:bookmarkStart w:id="225" w:name="第三节  加强节能降耗减排，提高生态文明水平"/>
      <w:bookmarkEnd w:id="225"/>
      <w:bookmarkStart w:id="226" w:name="_Toc10534"/>
      <w:bookmarkStart w:id="227" w:name="_Toc1084053513"/>
      <w:bookmarkStart w:id="228" w:name="_Toc672404728"/>
      <w:bookmarkStart w:id="229" w:name="_Toc123792455"/>
      <w:r>
        <w:rPr>
          <w:i w:val="0"/>
          <w:iCs w:val="0"/>
        </w:rPr>
        <w:t>第三</w:t>
      </w:r>
      <w:r>
        <w:rPr>
          <w:i w:val="0"/>
          <w:iCs w:val="0"/>
          <w:spacing w:val="24"/>
        </w:rPr>
        <w:t>节 加</w:t>
      </w:r>
      <w:r>
        <w:rPr>
          <w:i w:val="0"/>
          <w:iCs w:val="0"/>
        </w:rPr>
        <w:t>强节能降耗减排，提高生态文明水</w:t>
      </w:r>
      <w:r>
        <w:rPr>
          <w:i w:val="0"/>
          <w:iCs w:val="0"/>
          <w:spacing w:val="-10"/>
        </w:rPr>
        <w:t>平</w:t>
      </w:r>
      <w:bookmarkEnd w:id="226"/>
      <w:bookmarkEnd w:id="227"/>
      <w:bookmarkEnd w:id="228"/>
      <w:bookmarkEnd w:id="229"/>
    </w:p>
    <w:p w14:paraId="370F7EA2">
      <w:pPr>
        <w:pStyle w:val="5"/>
        <w:spacing w:before="5"/>
        <w:ind w:left="0"/>
        <w:rPr>
          <w:rFonts w:ascii="楷体_GB2312"/>
          <w:b/>
          <w:i/>
          <w:sz w:val="34"/>
        </w:rPr>
      </w:pPr>
    </w:p>
    <w:p w14:paraId="4EF63792">
      <w:pPr>
        <w:pStyle w:val="5"/>
        <w:autoSpaceDE/>
        <w:autoSpaceDN/>
        <w:spacing w:line="363" w:lineRule="auto"/>
        <w:ind w:left="0" w:right="0" w:firstLine="640" w:firstLineChars="200"/>
        <w:jc w:val="both"/>
        <w:rPr>
          <w:spacing w:val="20"/>
        </w:rPr>
      </w:pPr>
      <w:r>
        <w:rPr>
          <w:spacing w:val="20"/>
        </w:rPr>
        <w:t>全面强化节能措施，建立和完善节能减排统计监测制度，推进重点工业领域节能减排。通过技术改造和节能挖潜，针对地区煤炭、电力、冶金、化工、建材、建筑等重点行业，加强节能减排管理，从源头上控制污染排放，提高资源利用与转化效率，构建资源消耗“减量化”，废物利用“资源化”，实现主要矿产资源与伴生资源在产业链条上“再利用、再循环”的低碳经济发展模式。到 2015 年，万元 GDP能耗控制在 2.021 吨标准煤以下，年均下降 2%。</w:t>
      </w:r>
    </w:p>
    <w:p w14:paraId="49CF4280">
      <w:pPr>
        <w:pStyle w:val="5"/>
        <w:autoSpaceDE/>
        <w:autoSpaceDN/>
        <w:spacing w:before="0" w:after="0" w:line="363" w:lineRule="auto"/>
        <w:ind w:left="0" w:right="0" w:firstLine="640" w:firstLineChars="200"/>
        <w:jc w:val="both"/>
        <w:rPr>
          <w:spacing w:val="20"/>
        </w:rPr>
      </w:pPr>
      <w:r>
        <w:rPr>
          <w:spacing w:val="20"/>
        </w:rPr>
        <w:t>树立低碳理念，倡导低碳消费。充分发挥媒体宣传和政府导向作用，联合政府、企业、社会各界力量，创立低碳基金，大力普及低碳教育，加强民用能源低碳转换，倡导低碳生活方式，努力构建低碳消费机制。创新低碳城镇规划，引导低碳城镇建设。用低碳理念指导城镇规划编制和建筑设计。推进城镇生态环境建设工程，加快热电联产和清洁能源替代项目建设。加快对公共设施的低碳化改造，开展低碳化社区建设试点工作。新建公共建筑严格执行节能降耗标准，加大已有建筑节能改造力度，在公用设施、民用住宅、公共场所以及商用建筑开发中全面推广高效节能产品。“十二五”期间，完成 80%的热计量改造任务，新建建筑 100%执行节能标准，既有建筑节能改造完成 80%。</w:t>
      </w:r>
    </w:p>
    <w:p w14:paraId="7D078D20">
      <w:pPr>
        <w:pStyle w:val="5"/>
        <w:spacing w:line="363" w:lineRule="auto"/>
        <w:ind w:left="0" w:right="0" w:firstLine="552" w:firstLineChars="200"/>
        <w:jc w:val="both"/>
        <w:rPr>
          <w:spacing w:val="-2"/>
        </w:rPr>
      </w:pPr>
    </w:p>
    <w:p w14:paraId="38E10C1C">
      <w:pPr>
        <w:pStyle w:val="5"/>
        <w:spacing w:line="363" w:lineRule="auto"/>
        <w:ind w:firstLine="552" w:firstLineChars="200"/>
        <w:rPr>
          <w:spacing w:val="-2"/>
        </w:rPr>
        <w:sectPr>
          <w:pgSz w:w="11910" w:h="16840"/>
          <w:pgMar w:top="1540" w:right="1260" w:bottom="1180" w:left="1480" w:header="0" w:footer="993" w:gutter="0"/>
          <w:pgNumType w:fmt="decimal"/>
          <w:cols w:space="720" w:num="1"/>
        </w:sectPr>
      </w:pPr>
    </w:p>
    <w:p w14:paraId="459680F8">
      <w:pPr>
        <w:pStyle w:val="5"/>
        <w:ind w:left="213"/>
        <w:rPr>
          <w:sz w:val="20"/>
        </w:rPr>
      </w:pPr>
      <w:r>
        <w:rPr>
          <w:sz w:val="20"/>
        </w:rPr>
        <w:pict>
          <v:group id="docshapegroup36" o:spid="_x0000_s1055" o:spt="203" style="height:265.95pt;width:423.75pt;" coordsize="8475,5319">
            <o:lock v:ext="edit"/>
            <v:shape id="docshape37" o:spid="_x0000_s1056" style="position:absolute;left:0;top:0;height:5319;width:8475;" fillcolor="#000000" filled="t" stroked="f" coordsize="8475,5319" path="m8475,5319l0,5319,0,0,8475,0,8475,8,15,8,8,15,15,15,15,5304,8,5304,15,5312,8475,5312,8475,5319xm15,15l8,15,15,8,15,15xm8460,15l15,15,15,8,8460,8,8460,15xm8460,5312l8460,8,8467,15,8475,15,8475,5304,8468,5304,8460,5312xm8475,15l8467,15,8460,8,8475,8,8475,15xm15,5312l8,5304,15,5304,15,5312xm8460,5312l15,5312,15,5304,8460,5304,8460,5312xm8475,5312l8460,5312,8468,5304,8475,5304,8475,5312xe">
              <v:path arrowok="t"/>
              <v:fill on="t" focussize="0,0"/>
              <v:stroke on="f"/>
              <v:imagedata o:title=""/>
              <o:lock v:ext="edit"/>
            </v:shape>
            <v:shape id="docshape38" o:spid="_x0000_s1057" o:spt="202" type="#_x0000_t202" style="position:absolute;left:0;top:0;height:5319;width:8475;" filled="f" stroked="f" coordsize="21600,21600">
              <v:path/>
              <v:fill on="f" focussize="0,0"/>
              <v:stroke on="f" joinstyle="miter"/>
              <v:imagedata o:title=""/>
              <o:lock v:ext="edit"/>
              <v:textbox inset="0mm,0mm,0mm,0mm">
                <w:txbxContent>
                  <w:p w14:paraId="4FB1F93E">
                    <w:pPr>
                      <w:spacing w:before="7" w:line="240" w:lineRule="auto"/>
                      <w:rPr>
                        <w:sz w:val="14"/>
                      </w:rPr>
                    </w:pPr>
                  </w:p>
                  <w:p w14:paraId="7B74A1A7">
                    <w:pPr>
                      <w:spacing w:before="1"/>
                      <w:ind w:left="2377" w:right="2378" w:firstLine="0"/>
                      <w:jc w:val="center"/>
                      <w:rPr>
                        <w:rFonts w:hint="eastAsia" w:ascii="黑体" w:eastAsia="黑体"/>
                        <w:b/>
                        <w:sz w:val="21"/>
                      </w:rPr>
                    </w:pPr>
                    <w:r>
                      <w:rPr>
                        <w:rFonts w:hint="eastAsia" w:ascii="黑体" w:eastAsia="黑体"/>
                        <w:b/>
                        <w:spacing w:val="-9"/>
                        <w:sz w:val="21"/>
                      </w:rPr>
                      <w:t xml:space="preserve">专栏 </w:t>
                    </w:r>
                    <w:r>
                      <w:rPr>
                        <w:rFonts w:hint="eastAsia" w:ascii="黑体" w:eastAsia="黑体"/>
                        <w:b/>
                        <w:spacing w:val="-2"/>
                        <w:sz w:val="21"/>
                      </w:rPr>
                      <w:t>10-1</w:t>
                    </w:r>
                    <w:r>
                      <w:rPr>
                        <w:rFonts w:hint="eastAsia" w:ascii="黑体" w:eastAsia="黑体"/>
                        <w:b/>
                        <w:spacing w:val="-6"/>
                        <w:sz w:val="21"/>
                      </w:rPr>
                      <w:t xml:space="preserve"> 生态建设与环境保护重大项目</w:t>
                    </w:r>
                  </w:p>
                  <w:p w14:paraId="3407C318">
                    <w:pPr>
                      <w:spacing w:before="12" w:line="240" w:lineRule="auto"/>
                      <w:rPr>
                        <w:rFonts w:ascii="黑体"/>
                        <w:b/>
                        <w:sz w:val="14"/>
                      </w:rPr>
                    </w:pPr>
                  </w:p>
                  <w:p w14:paraId="704E4B80">
                    <w:pPr>
                      <w:spacing w:before="0" w:line="344" w:lineRule="auto"/>
                      <w:ind w:left="159" w:right="159" w:firstLine="420"/>
                      <w:jc w:val="both"/>
                      <w:rPr>
                        <w:rFonts w:ascii="宋体" w:hAnsi="宋体" w:eastAsia="宋体"/>
                        <w:sz w:val="21"/>
                      </w:rPr>
                    </w:pPr>
                    <w:r>
                      <w:rPr>
                        <w:rFonts w:ascii="宋体" w:hAnsi="宋体" w:eastAsia="宋体"/>
                        <w:spacing w:val="-2"/>
                        <w:sz w:val="21"/>
                      </w:rPr>
                      <w:t>新疆钢铁雅满苏矿业有限责任公司(球团、铁合金生产线)、新疆化工（集团）哈密碱业有限责任公司、新疆天山水泥有限责任公司哈密磨粉站、新疆晶华浮法玻璃有限责任公司、哈密市硫酸厂和哈密市广东工业加工区石材企业“退城入园”工程；新疆巴里坤汇友</w:t>
                    </w:r>
                    <w:r>
                      <w:rPr>
                        <w:rFonts w:ascii="宋体" w:hAnsi="宋体" w:eastAsia="宋体"/>
                        <w:spacing w:val="-4"/>
                        <w:sz w:val="21"/>
                      </w:rPr>
                      <w:t xml:space="preserve">化工有限公司年产 </w:t>
                    </w:r>
                    <w:r>
                      <w:rPr>
                        <w:rFonts w:ascii="宋体" w:hAnsi="宋体" w:eastAsia="宋体"/>
                        <w:sz w:val="21"/>
                      </w:rPr>
                      <w:t>12</w:t>
                    </w:r>
                    <w:r>
                      <w:rPr>
                        <w:rFonts w:ascii="宋体" w:hAnsi="宋体" w:eastAsia="宋体"/>
                        <w:spacing w:val="-5"/>
                        <w:sz w:val="21"/>
                      </w:rPr>
                      <w:t xml:space="preserve"> 万吨硫化碱烟尘及脱硫治理工程；巴里坤俊业制麦有限公司废水治</w:t>
                    </w:r>
                    <w:r>
                      <w:rPr>
                        <w:rFonts w:ascii="宋体" w:hAnsi="宋体" w:eastAsia="宋体"/>
                        <w:spacing w:val="-2"/>
                        <w:sz w:val="21"/>
                      </w:rPr>
                      <w:t>理工程；哈密兴隆淀粉有限公司废水治理工程；巴里坤县城集中供热改扩建工程；伊吾国</w:t>
                    </w:r>
                    <w:r>
                      <w:rPr>
                        <w:rFonts w:ascii="宋体" w:hAnsi="宋体" w:eastAsia="宋体"/>
                        <w:sz w:val="21"/>
                      </w:rPr>
                      <w:t>金矿业（新疆）</w:t>
                    </w:r>
                    <w:r>
                      <w:rPr>
                        <w:rFonts w:ascii="宋体" w:hAnsi="宋体" w:eastAsia="宋体"/>
                        <w:spacing w:val="-6"/>
                        <w:sz w:val="21"/>
                      </w:rPr>
                      <w:t xml:space="preserve">有限公司 </w:t>
                    </w:r>
                    <w:r>
                      <w:rPr>
                        <w:rFonts w:ascii="宋体" w:hAnsi="宋体" w:eastAsia="宋体"/>
                        <w:sz w:val="21"/>
                      </w:rPr>
                      <w:t>300</w:t>
                    </w:r>
                    <w:r>
                      <w:rPr>
                        <w:rFonts w:ascii="宋体" w:hAnsi="宋体" w:eastAsia="宋体"/>
                        <w:spacing w:val="-5"/>
                        <w:sz w:val="21"/>
                      </w:rPr>
                      <w:t xml:space="preserve"> 吨/日矿石黄金选冶水循环综合利用改扩建工程；伊吾县城</w:t>
                    </w:r>
                    <w:r>
                      <w:rPr>
                        <w:rFonts w:ascii="宋体" w:hAnsi="宋体" w:eastAsia="宋体"/>
                        <w:spacing w:val="-2"/>
                        <w:sz w:val="21"/>
                      </w:rPr>
                      <w:t>集中供热改扩建工程；伊吾县淖毛湖镇集中供热改扩建工程；哈密地区城镇集中饮用水源保护区环境综合治理工程；哈密地区农村环境综合整治项目；哈密地区湿地保护及生态修复项目；哈密地区乡镇环保站所能力建设项目；哈密地区“白色污染”治理项目；哈密地区城镇污水处理管网环境基础设施建设项目。</w:t>
                    </w:r>
                  </w:p>
                </w:txbxContent>
              </v:textbox>
            </v:shape>
            <w10:wrap type="none"/>
            <w10:anchorlock/>
          </v:group>
        </w:pict>
      </w:r>
    </w:p>
    <w:p w14:paraId="232E531B">
      <w:pPr>
        <w:pStyle w:val="2"/>
        <w:tabs>
          <w:tab w:val="left" w:pos="1499"/>
        </w:tabs>
        <w:spacing w:before="166"/>
        <w:ind w:right="0"/>
      </w:pPr>
      <w:bookmarkStart w:id="230" w:name="第十一章  提升科教发展水平，建设创新活力哈密"/>
      <w:bookmarkEnd w:id="230"/>
      <w:bookmarkStart w:id="231" w:name="_bookmark48"/>
      <w:bookmarkEnd w:id="231"/>
      <w:bookmarkStart w:id="232" w:name="_Toc22266"/>
      <w:bookmarkStart w:id="233" w:name="_Toc846921885"/>
      <w:bookmarkStart w:id="234" w:name="_Toc547123863"/>
      <w:bookmarkStart w:id="235" w:name="_Toc1727188076"/>
      <w:r>
        <w:t>第十一</w:t>
      </w:r>
      <w:r>
        <w:rPr>
          <w:spacing w:val="-10"/>
        </w:rPr>
        <w:t>章</w:t>
      </w:r>
      <w:r>
        <w:tab/>
      </w:r>
      <w:r>
        <w:t>提升科教发展水平，建设创新活力哈</w:t>
      </w:r>
      <w:r>
        <w:rPr>
          <w:spacing w:val="-10"/>
        </w:rPr>
        <w:t>密</w:t>
      </w:r>
      <w:bookmarkEnd w:id="232"/>
      <w:bookmarkEnd w:id="233"/>
      <w:bookmarkEnd w:id="234"/>
      <w:bookmarkEnd w:id="235"/>
    </w:p>
    <w:p w14:paraId="467DDBC8">
      <w:pPr>
        <w:pStyle w:val="5"/>
        <w:spacing w:before="11"/>
        <w:ind w:left="0"/>
        <w:rPr>
          <w:rFonts w:ascii="黑体"/>
          <w:sz w:val="31"/>
        </w:rPr>
      </w:pPr>
    </w:p>
    <w:p w14:paraId="2FA9AB6D">
      <w:pPr>
        <w:pStyle w:val="3"/>
        <w:ind w:left="0" w:right="0"/>
        <w:rPr>
          <w:i w:val="0"/>
          <w:iCs w:val="0"/>
        </w:rPr>
      </w:pPr>
      <w:bookmarkStart w:id="236" w:name="_bookmark49"/>
      <w:bookmarkEnd w:id="236"/>
      <w:bookmarkStart w:id="237" w:name="第一节  提高科技服务水平，建设区域创新体系"/>
      <w:bookmarkEnd w:id="237"/>
      <w:bookmarkStart w:id="238" w:name="_Toc1467710475"/>
      <w:bookmarkStart w:id="239" w:name="_Toc2076034423"/>
      <w:bookmarkStart w:id="240" w:name="_Toc1454013609"/>
      <w:bookmarkStart w:id="241" w:name="_Toc10405"/>
      <w:r>
        <w:rPr>
          <w:i w:val="0"/>
          <w:iCs w:val="0"/>
        </w:rPr>
        <w:t>第一</w:t>
      </w:r>
      <w:r>
        <w:rPr>
          <w:i w:val="0"/>
          <w:iCs w:val="0"/>
          <w:spacing w:val="24"/>
        </w:rPr>
        <w:t>节 提</w:t>
      </w:r>
      <w:r>
        <w:rPr>
          <w:i w:val="0"/>
          <w:iCs w:val="0"/>
        </w:rPr>
        <w:t>高科技服务水平，建设区域创新体</w:t>
      </w:r>
      <w:r>
        <w:rPr>
          <w:i w:val="0"/>
          <w:iCs w:val="0"/>
          <w:spacing w:val="-10"/>
        </w:rPr>
        <w:t>系</w:t>
      </w:r>
      <w:bookmarkEnd w:id="238"/>
      <w:bookmarkEnd w:id="239"/>
      <w:bookmarkEnd w:id="240"/>
      <w:bookmarkEnd w:id="241"/>
    </w:p>
    <w:p w14:paraId="226D63F0">
      <w:pPr>
        <w:pStyle w:val="5"/>
        <w:spacing w:before="5"/>
        <w:ind w:left="0"/>
        <w:rPr>
          <w:rFonts w:ascii="楷体_GB2312"/>
          <w:b/>
          <w:i/>
          <w:sz w:val="34"/>
        </w:rPr>
      </w:pPr>
    </w:p>
    <w:p w14:paraId="78CE8DA3">
      <w:pPr>
        <w:pStyle w:val="5"/>
        <w:spacing w:before="0" w:line="363" w:lineRule="auto"/>
        <w:ind w:left="0" w:right="0" w:firstLine="552" w:firstLineChars="200"/>
        <w:jc w:val="both"/>
      </w:pPr>
      <w:r>
        <w:rPr>
          <w:spacing w:val="-2"/>
        </w:rPr>
        <w:t>充分发挥科技支撑作用，加强科技创新能力与制度建设，加快区域创新体系建设，坚持把科技创新作为调整经济结构和转变发展方式</w:t>
      </w:r>
      <w:r>
        <w:rPr>
          <w:spacing w:val="-14"/>
        </w:rPr>
        <w:t>的中心环节，围绕优势资源转换和特色产业发展，在加速新型工业化、</w:t>
      </w:r>
      <w:r>
        <w:rPr>
          <w:spacing w:val="-2"/>
        </w:rPr>
        <w:t>农牧业现代化、新型城镇化进程中，注重集成创新和引进消化吸收再</w:t>
      </w:r>
      <w:r>
        <w:rPr>
          <w:spacing w:val="-6"/>
        </w:rPr>
        <w:t>创新，促进重大科技成果产业化。积极争取科技支疆、科技富民强县、</w:t>
      </w:r>
      <w:r>
        <w:rPr>
          <w:spacing w:val="-2"/>
        </w:rPr>
        <w:t>科技兴新等国家和自治区科技项目的支持，着力加强与优势资源转换</w:t>
      </w:r>
      <w:r>
        <w:rPr>
          <w:spacing w:val="-10"/>
        </w:rPr>
        <w:t>和特色支柱产业发展紧密结合的技术、成果转化。坚持产学研相结合，</w:t>
      </w:r>
      <w:r>
        <w:rPr>
          <w:spacing w:val="-2"/>
        </w:rPr>
        <w:t>促进先进技术向生产力更快更好地转化，提升企业自主创新能力，加快企业技术进步，以提高企业工艺技术装备水平为方向，引导重点产业</w:t>
      </w:r>
      <w:r>
        <w:rPr>
          <w:spacing w:val="11"/>
        </w:rPr>
        <w:t>向以提高科技含量为主的集约型生产转变。加大科技兴农力度，引</w:t>
      </w:r>
      <w:r>
        <w:rPr>
          <w:spacing w:val="-2"/>
        </w:rPr>
        <w:t>进和推广农业种植栽培等先进技术，提高农畜产品贮藏加工等技术水平，加快农业科技信息网络建设，积极推行高产、高效、优质的农业生产模式。加大技术援哈和科技援哈力度，提高援疆干部中专业技术人员的比例，加大为当地培养专业技术人才的力度，缓解当地人才短</w:t>
      </w:r>
      <w:r>
        <w:rPr>
          <w:spacing w:val="-7"/>
        </w:rPr>
        <w:t>缺，</w:t>
      </w:r>
    </w:p>
    <w:p w14:paraId="7DAC0617">
      <w:pPr>
        <w:spacing w:after="0" w:line="362" w:lineRule="auto"/>
        <w:jc w:val="both"/>
        <w:rPr>
          <w:sz w:val="28"/>
          <w:szCs w:val="28"/>
        </w:rPr>
        <w:sectPr>
          <w:pgSz w:w="11910" w:h="16840"/>
          <w:pgMar w:top="1540" w:right="1260" w:bottom="1180" w:left="1480" w:header="0" w:footer="993" w:gutter="0"/>
          <w:pgNumType w:fmt="decimal"/>
          <w:cols w:space="720" w:num="1"/>
        </w:sectPr>
      </w:pPr>
    </w:p>
    <w:p w14:paraId="4F56E89E">
      <w:pPr>
        <w:pStyle w:val="5"/>
        <w:spacing w:before="0" w:line="363" w:lineRule="auto"/>
        <w:ind w:left="0" w:right="0"/>
        <w:jc w:val="both"/>
      </w:pPr>
      <w:r>
        <w:rPr>
          <w:spacing w:val="-7"/>
        </w:rPr>
        <w:t xml:space="preserve">提升服务能力。到 </w:t>
      </w:r>
      <w:r>
        <w:rPr>
          <w:spacing w:val="-4"/>
        </w:rPr>
        <w:t>2015</w:t>
      </w:r>
      <w:r>
        <w:rPr>
          <w:spacing w:val="-12"/>
        </w:rPr>
        <w:t xml:space="preserve"> 年，科技经费支出占 </w:t>
      </w:r>
      <w:r>
        <w:rPr>
          <w:spacing w:val="-4"/>
        </w:rPr>
        <w:t>GDP</w:t>
      </w:r>
      <w:r>
        <w:rPr>
          <w:spacing w:val="-15"/>
        </w:rPr>
        <w:t xml:space="preserve"> 比重达到 </w:t>
      </w:r>
      <w:r>
        <w:rPr>
          <w:spacing w:val="-4"/>
        </w:rPr>
        <w:t>0.5%以上。</w:t>
      </w:r>
    </w:p>
    <w:p w14:paraId="1AC9939B">
      <w:pPr>
        <w:pStyle w:val="5"/>
        <w:spacing w:before="7"/>
        <w:ind w:left="0"/>
        <w:rPr>
          <w:sz w:val="13"/>
        </w:rPr>
      </w:pPr>
      <w:r>
        <w:pict>
          <v:group id="docshapegroup39" o:spid="_x0000_s1058" o:spt="203" style="position:absolute;left:0pt;margin-left:85pt;margin-top:9.9pt;height:57.35pt;width:432.3pt;mso-position-horizontal-relative:page;mso-wrap-distance-bottom:0pt;mso-wrap-distance-top:0pt;z-index:-251644928;mso-width-relative:page;mso-height-relative:page;" coordorigin="1701,198" coordsize="8646,1147">
            <o:lock v:ext="edit"/>
            <v:shape id="docshape40" o:spid="_x0000_s1059" style="position:absolute;left:1700;top:198;height:1147;width:8646;" fillcolor="#000000" filled="t" stroked="f" coordorigin="1701,198" coordsize="8646,1147" path="m10347,1345l1701,1345,1701,198,10347,198,10347,206,1716,206,1708,213,1716,213,1716,1330,1708,1330,1716,1338,10347,1338,10347,1345xm1716,213l1708,213,1716,206,1716,213xm10332,213l1716,213,1716,206,10332,206,10332,213xm10332,1338l10332,206,10339,213,10347,213,10347,1330,10339,1330,10332,1338xm10347,213l10339,213,10332,206,10347,206,10347,213xm1716,1338l1708,1330,1716,1330,1716,1338xm10332,1338l1716,1338,1716,1330,10332,1330,10332,1338xm10347,1338l10332,1338,10339,1330,10347,1330,10347,1338xe">
              <v:path arrowok="t"/>
              <v:fill on="t" focussize="0,0"/>
              <v:stroke on="f"/>
              <v:imagedata o:title=""/>
              <o:lock v:ext="edit"/>
            </v:shape>
            <v:shape id="docshape41" o:spid="_x0000_s1060" o:spt="202" type="#_x0000_t202" style="position:absolute;left:1700;top:198;height:1147;width:8646;" filled="f" stroked="f" coordsize="21600,21600">
              <v:path/>
              <v:fill on="f" focussize="0,0"/>
              <v:stroke on="f" joinstyle="miter"/>
              <v:imagedata o:title=""/>
              <o:lock v:ext="edit"/>
              <v:textbox inset="0mm,0mm,0mm,0mm">
                <w:txbxContent>
                  <w:p w14:paraId="347326A6">
                    <w:pPr>
                      <w:spacing w:before="6" w:line="240" w:lineRule="auto"/>
                      <w:rPr>
                        <w:sz w:val="14"/>
                      </w:rPr>
                    </w:pPr>
                  </w:p>
                  <w:p w14:paraId="1557C4B0">
                    <w:pPr>
                      <w:spacing w:before="0"/>
                      <w:ind w:left="2915" w:right="2916" w:firstLine="0"/>
                      <w:jc w:val="center"/>
                      <w:rPr>
                        <w:rFonts w:hint="eastAsia" w:ascii="黑体" w:eastAsia="黑体"/>
                        <w:b/>
                        <w:sz w:val="21"/>
                      </w:rPr>
                    </w:pPr>
                    <w:r>
                      <w:rPr>
                        <w:rFonts w:hint="eastAsia" w:ascii="黑体" w:eastAsia="黑体"/>
                        <w:b/>
                        <w:spacing w:val="-17"/>
                        <w:sz w:val="21"/>
                      </w:rPr>
                      <w:t xml:space="preserve">专栏 </w:t>
                    </w:r>
                    <w:r>
                      <w:rPr>
                        <w:rFonts w:hint="eastAsia" w:ascii="黑体" w:eastAsia="黑体"/>
                        <w:b/>
                        <w:sz w:val="21"/>
                      </w:rPr>
                      <w:t>11-1</w:t>
                    </w:r>
                    <w:r>
                      <w:rPr>
                        <w:rFonts w:hint="eastAsia" w:ascii="黑体" w:eastAsia="黑体"/>
                        <w:b/>
                        <w:spacing w:val="46"/>
                        <w:sz w:val="21"/>
                      </w:rPr>
                      <w:t xml:space="preserve"> 科</w:t>
                    </w:r>
                    <w:r>
                      <w:rPr>
                        <w:rFonts w:hint="eastAsia" w:ascii="黑体" w:eastAsia="黑体"/>
                        <w:b/>
                        <w:sz w:val="21"/>
                      </w:rPr>
                      <w:t>技事业重点项</w:t>
                    </w:r>
                    <w:r>
                      <w:rPr>
                        <w:rFonts w:hint="eastAsia" w:ascii="黑体" w:eastAsia="黑体"/>
                        <w:b/>
                        <w:spacing w:val="-10"/>
                        <w:sz w:val="21"/>
                      </w:rPr>
                      <w:t>目</w:t>
                    </w:r>
                  </w:p>
                  <w:p w14:paraId="7443593A">
                    <w:pPr>
                      <w:spacing w:before="6" w:line="240" w:lineRule="auto"/>
                      <w:rPr>
                        <w:rFonts w:ascii="黑体"/>
                        <w:b/>
                        <w:sz w:val="15"/>
                      </w:rPr>
                    </w:pPr>
                  </w:p>
                  <w:p w14:paraId="4C3218BE">
                    <w:pPr>
                      <w:spacing w:before="1"/>
                      <w:ind w:left="579" w:right="0" w:firstLine="0"/>
                      <w:jc w:val="left"/>
                      <w:rPr>
                        <w:rFonts w:ascii="宋体" w:eastAsia="宋体"/>
                        <w:sz w:val="21"/>
                      </w:rPr>
                    </w:pPr>
                    <w:r>
                      <w:rPr>
                        <w:rFonts w:ascii="宋体" w:eastAsia="宋体"/>
                        <w:spacing w:val="-10"/>
                        <w:sz w:val="21"/>
                      </w:rPr>
                      <w:t>哈密科技中心、科技信息化平台</w:t>
                    </w:r>
                    <w:r>
                      <w:rPr>
                        <w:rFonts w:ascii="宋体" w:eastAsia="宋体"/>
                        <w:spacing w:val="-2"/>
                        <w:sz w:val="21"/>
                      </w:rPr>
                      <w:t>建设</w:t>
                    </w:r>
                    <w:r>
                      <w:rPr>
                        <w:rFonts w:ascii="宋体" w:eastAsia="宋体"/>
                        <w:spacing w:val="-14"/>
                        <w:sz w:val="21"/>
                      </w:rPr>
                      <w:t>、县市科技综合服务中心、高新技术产业园区建设。</w:t>
                    </w:r>
                  </w:p>
                </w:txbxContent>
              </v:textbox>
            </v:shape>
            <w10:wrap type="topAndBottom"/>
          </v:group>
        </w:pict>
      </w:r>
    </w:p>
    <w:p w14:paraId="100A0060">
      <w:pPr>
        <w:pStyle w:val="5"/>
        <w:spacing w:before="10"/>
        <w:ind w:left="0"/>
        <w:rPr>
          <w:sz w:val="21"/>
        </w:rPr>
      </w:pPr>
    </w:p>
    <w:p w14:paraId="412A9C0C">
      <w:pPr>
        <w:pStyle w:val="3"/>
        <w:spacing w:before="62"/>
        <w:ind w:left="0" w:right="0"/>
        <w:rPr>
          <w:i w:val="0"/>
          <w:iCs w:val="0"/>
        </w:rPr>
      </w:pPr>
      <w:bookmarkStart w:id="242" w:name="_bookmark50"/>
      <w:bookmarkEnd w:id="242"/>
      <w:bookmarkStart w:id="243" w:name="第二节  优先发展教育事业，增强教育综合实力"/>
      <w:bookmarkEnd w:id="243"/>
      <w:bookmarkStart w:id="244" w:name="_Toc13596"/>
      <w:bookmarkStart w:id="245" w:name="_Toc1835709670"/>
      <w:bookmarkStart w:id="246" w:name="_Toc214712631"/>
      <w:bookmarkStart w:id="247" w:name="_Toc124570582"/>
      <w:r>
        <w:rPr>
          <w:i w:val="0"/>
          <w:iCs w:val="0"/>
        </w:rPr>
        <w:t>第二</w:t>
      </w:r>
      <w:r>
        <w:rPr>
          <w:i w:val="0"/>
          <w:iCs w:val="0"/>
          <w:spacing w:val="24"/>
        </w:rPr>
        <w:t>节 优</w:t>
      </w:r>
      <w:r>
        <w:rPr>
          <w:i w:val="0"/>
          <w:iCs w:val="0"/>
        </w:rPr>
        <w:t>先发展教育事业，增强教育综合实</w:t>
      </w:r>
      <w:r>
        <w:rPr>
          <w:i w:val="0"/>
          <w:iCs w:val="0"/>
          <w:spacing w:val="-10"/>
        </w:rPr>
        <w:t>力</w:t>
      </w:r>
      <w:bookmarkEnd w:id="244"/>
      <w:bookmarkEnd w:id="245"/>
      <w:bookmarkEnd w:id="246"/>
      <w:bookmarkEnd w:id="247"/>
    </w:p>
    <w:p w14:paraId="5B4F55FE">
      <w:pPr>
        <w:pStyle w:val="5"/>
        <w:spacing w:before="5"/>
        <w:ind w:left="0"/>
        <w:rPr>
          <w:rFonts w:ascii="楷体_GB2312"/>
          <w:b/>
          <w:i/>
          <w:sz w:val="34"/>
        </w:rPr>
      </w:pPr>
    </w:p>
    <w:p w14:paraId="2CE66581">
      <w:pPr>
        <w:pStyle w:val="5"/>
        <w:spacing w:line="363" w:lineRule="auto"/>
        <w:ind w:left="0" w:right="0" w:firstLine="552" w:firstLineChars="200"/>
        <w:jc w:val="both"/>
      </w:pPr>
      <w:r>
        <w:rPr>
          <w:spacing w:val="-2"/>
        </w:rPr>
        <w:t>继续抓好两基巩固提高工作，不断改善学校办学条件，努力提高义务教育的质量和水平，提升学前和高中教育质量和水平，实现“有</w:t>
      </w:r>
      <w:r>
        <w:rPr>
          <w:spacing w:val="-6"/>
        </w:rPr>
        <w:t xml:space="preserve">学上”到“上好学”的重大转变。到 </w:t>
      </w:r>
      <w:r>
        <w:rPr>
          <w:spacing w:val="-2"/>
        </w:rPr>
        <w:t>2015</w:t>
      </w:r>
      <w:r>
        <w:rPr>
          <w:spacing w:val="-20"/>
        </w:rPr>
        <w:t xml:space="preserve"> 年，基本普及 </w:t>
      </w:r>
      <w:r>
        <w:rPr>
          <w:spacing w:val="-2"/>
        </w:rPr>
        <w:t>15</w:t>
      </w:r>
      <w:r>
        <w:rPr>
          <w:spacing w:val="-18"/>
        </w:rPr>
        <w:t xml:space="preserve"> 年教育，</w:t>
      </w:r>
      <w:r>
        <w:rPr>
          <w:spacing w:val="-2"/>
        </w:rPr>
        <w:t xml:space="preserve">达到全国平均水平，位居自治区前列，学前三年幼儿入园率达到 </w:t>
      </w:r>
      <w:r>
        <w:t>85%</w:t>
      </w:r>
      <w:r>
        <w:rPr>
          <w:spacing w:val="-3"/>
        </w:rPr>
        <w:t xml:space="preserve">左右，学前两年幼儿入园率达到 </w:t>
      </w:r>
      <w:r>
        <w:t>95%以上。调整中小学校布局，加快</w:t>
      </w:r>
      <w:r>
        <w:rPr>
          <w:spacing w:val="-2"/>
        </w:rPr>
        <w:t>农村学校建设。全面开展中小学远程教育工作，实施农牧区中小学现代远程教育工程，提高教育信息技术应用水平。</w:t>
      </w:r>
    </w:p>
    <w:p w14:paraId="3AAF2DEA">
      <w:pPr>
        <w:pStyle w:val="5"/>
        <w:spacing w:line="363" w:lineRule="auto"/>
        <w:ind w:left="0" w:right="0" w:firstLine="552" w:firstLineChars="200"/>
        <w:jc w:val="both"/>
        <w:rPr>
          <w:spacing w:val="-2"/>
        </w:rPr>
      </w:pPr>
      <w:r>
        <w:rPr>
          <w:spacing w:val="-2"/>
        </w:rPr>
        <w:t>积极培育高等职业教育为重点的职业教育，根据对专业技术人才的需求，加大哈密职业技术学校基础设施建设，扩大办学规模，加快由中职教育向高职教育转化的步伐。到 2011 年，力争将哈密职业技术学校建成自治区级示范性中等职业学校和国家级重点中职学校。到 2012 年，建成国家级示范性中等职业技术学校，争取于 2013 年高等职业技术学院挂牌成立。</w:t>
      </w:r>
    </w:p>
    <w:p w14:paraId="56FB63B5">
      <w:pPr>
        <w:pStyle w:val="5"/>
        <w:spacing w:before="0" w:line="363" w:lineRule="auto"/>
        <w:ind w:left="0" w:right="0" w:firstLine="552" w:firstLineChars="200"/>
        <w:jc w:val="both"/>
        <w:rPr>
          <w:spacing w:val="-2"/>
        </w:rPr>
      </w:pPr>
      <w:r>
        <w:rPr>
          <w:spacing w:val="-2"/>
        </w:rPr>
        <w:t>建设高素质教师队伍。加强师德师风建设，提高教师业务水平。到 2015 年，中小学教师学历层次进一步提升，教师比例基本满足普及教育的需要，职业学校“双师型”教师比例达到 70%左右。</w:t>
      </w:r>
    </w:p>
    <w:p w14:paraId="13F222B7">
      <w:pPr>
        <w:pStyle w:val="5"/>
        <w:spacing w:before="8"/>
        <w:ind w:left="0"/>
        <w:rPr>
          <w:sz w:val="24"/>
        </w:rPr>
      </w:pPr>
      <w:r>
        <w:pict>
          <v:shape id="docshape42" o:spid="_x0000_s1061" o:spt="202" type="#_x0000_t202" style="position:absolute;left:0pt;margin-left:79.65pt;margin-top:17.25pt;height:209.05pt;width:436pt;mso-position-horizontal-relative:page;mso-wrap-distance-bottom:0pt;mso-wrap-distance-top:0pt;z-index:-251644928;mso-width-relative:page;mso-height-relative:page;" filled="f" stroked="t" coordsize="21600,21600">
            <v:path/>
            <v:fill on="f" focussize="0,0"/>
            <v:stroke weight="0.48pt" color="#000000" joinstyle="miter"/>
            <v:imagedata o:title=""/>
            <o:lock v:ext="edit" aspectratio="f"/>
            <v:textbox inset="0mm,0mm,0mm,0mm">
              <w:txbxContent>
                <w:p w14:paraId="6F451166">
                  <w:pPr>
                    <w:tabs>
                      <w:tab w:val="left" w:pos="1214"/>
                    </w:tabs>
                    <w:spacing w:before="98" w:afterLines="50"/>
                    <w:ind w:left="0" w:right="0" w:firstLine="0"/>
                    <w:jc w:val="center"/>
                    <w:rPr>
                      <w:rFonts w:hint="eastAsia" w:ascii="黑体" w:eastAsia="黑体"/>
                      <w:b/>
                      <w:sz w:val="21"/>
                    </w:rPr>
                  </w:pPr>
                  <w:r>
                    <w:rPr>
                      <w:rFonts w:hint="eastAsia" w:ascii="黑体" w:eastAsia="黑体"/>
                      <w:b/>
                      <w:spacing w:val="-2"/>
                      <w:sz w:val="21"/>
                    </w:rPr>
                    <w:t>专栏</w:t>
                  </w:r>
                  <w:r>
                    <w:rPr>
                      <w:rFonts w:hint="eastAsia" w:ascii="黑体" w:eastAsia="黑体"/>
                      <w:b/>
                      <w:spacing w:val="-45"/>
                      <w:sz w:val="21"/>
                    </w:rPr>
                    <w:t xml:space="preserve"> </w:t>
                  </w:r>
                  <w:r>
                    <w:rPr>
                      <w:rFonts w:hint="eastAsia" w:ascii="黑体" w:eastAsia="黑体"/>
                      <w:b/>
                      <w:spacing w:val="-2"/>
                      <w:sz w:val="21"/>
                    </w:rPr>
                    <w:t>11-</w:t>
                  </w:r>
                  <w:r>
                    <w:rPr>
                      <w:rFonts w:hint="eastAsia" w:ascii="黑体" w:eastAsia="黑体"/>
                      <w:b/>
                      <w:spacing w:val="-10"/>
                      <w:sz w:val="21"/>
                    </w:rPr>
                    <w:t>2</w:t>
                  </w:r>
                  <w:r>
                    <w:rPr>
                      <w:rFonts w:hint="eastAsia" w:ascii="黑体" w:eastAsia="黑体"/>
                      <w:b/>
                      <w:sz w:val="21"/>
                    </w:rPr>
                    <w:tab/>
                  </w:r>
                  <w:r>
                    <w:rPr>
                      <w:rFonts w:hint="eastAsia" w:ascii="黑体" w:eastAsia="黑体"/>
                      <w:b/>
                      <w:spacing w:val="-2"/>
                      <w:sz w:val="21"/>
                    </w:rPr>
                    <w:t>教育事业重点项</w:t>
                  </w:r>
                  <w:r>
                    <w:rPr>
                      <w:rFonts w:hint="eastAsia" w:ascii="黑体" w:eastAsia="黑体"/>
                      <w:b/>
                      <w:spacing w:val="-10"/>
                      <w:sz w:val="21"/>
                    </w:rPr>
                    <w:t>目</w:t>
                  </w:r>
                </w:p>
                <w:p w14:paraId="322037A9">
                  <w:pPr>
                    <w:spacing w:before="8" w:line="322" w:lineRule="auto"/>
                    <w:ind w:left="102" w:right="102" w:firstLine="420"/>
                    <w:jc w:val="both"/>
                    <w:rPr>
                      <w:rFonts w:ascii="宋体" w:hAnsi="宋体" w:eastAsia="宋体"/>
                      <w:sz w:val="21"/>
                    </w:rPr>
                  </w:pPr>
                  <w:r>
                    <w:rPr>
                      <w:rFonts w:ascii="宋体" w:hAnsi="宋体" w:eastAsia="宋体"/>
                      <w:spacing w:val="-2"/>
                      <w:sz w:val="21"/>
                    </w:rPr>
                    <w:t>哈密地区农村中小学教师周转房建设项目、哈密地区农村中小学校舍维修改造项目、哈密地区中小学校舍安全工程建设项目（抗震加固、改造更新项目</w:t>
                  </w:r>
                  <w:r>
                    <w:rPr>
                      <w:rFonts w:ascii="宋体" w:hAnsi="宋体" w:eastAsia="宋体"/>
                      <w:spacing w:val="-104"/>
                      <w:sz w:val="21"/>
                    </w:rPr>
                    <w:t>）</w:t>
                  </w:r>
                  <w:r>
                    <w:rPr>
                      <w:rFonts w:ascii="宋体" w:hAnsi="宋体" w:eastAsia="宋体"/>
                      <w:spacing w:val="-2"/>
                      <w:sz w:val="21"/>
                    </w:rPr>
                    <w:t>、哈密职业技术学校煤炭煤电煤化工人才培养基地建设项目（三煤人才培养基地建设项目</w:t>
                  </w:r>
                  <w:r>
                    <w:rPr>
                      <w:rFonts w:ascii="宋体" w:hAnsi="宋体" w:eastAsia="宋体"/>
                      <w:spacing w:val="-104"/>
                      <w:sz w:val="21"/>
                    </w:rPr>
                    <w:t>）</w:t>
                  </w:r>
                  <w:r>
                    <w:rPr>
                      <w:rFonts w:ascii="宋体" w:hAnsi="宋体" w:eastAsia="宋体"/>
                      <w:spacing w:val="-2"/>
                      <w:sz w:val="21"/>
                    </w:rPr>
                    <w:t>、哈密地区第二中学迁建项</w:t>
                  </w:r>
                  <w:r>
                    <w:rPr>
                      <w:rFonts w:ascii="宋体" w:hAnsi="宋体" w:eastAsia="宋体"/>
                      <w:spacing w:val="-4"/>
                      <w:sz w:val="21"/>
                    </w:rPr>
                    <w:t>目、哈密地区第一中学迁建项目、哈密地区示范幼儿园建设项目、哈密地区乡镇</w:t>
                  </w:r>
                  <w:r>
                    <w:rPr>
                      <w:rFonts w:ascii="宋体" w:hAnsi="宋体" w:eastAsia="宋体"/>
                      <w:spacing w:val="-2"/>
                      <w:sz w:val="21"/>
                    </w:rPr>
                    <w:t>幼儿园建设项目、哈密地区教育系统义务教育阶段标准化建设项目、哈密地区教育系统现代远程教育项目、哈密市教育系统农牧区中小学学校宿舍、食堂、洗浴中心建设项目、哈密市教育系统农牧区中小学校供暖设施建设项目、巴里坤县普通高中民汉合校建设项目、巴里坤县职业技能培训学校综合楼建设项目、伊吾县淖毛湖镇中学二期改扩建建设项目。</w:t>
                  </w:r>
                </w:p>
              </w:txbxContent>
            </v:textbox>
            <w10:wrap type="topAndBottom"/>
          </v:shape>
        </w:pict>
      </w:r>
    </w:p>
    <w:p w14:paraId="70FEFA2E">
      <w:pPr>
        <w:pStyle w:val="5"/>
        <w:spacing w:before="2"/>
        <w:ind w:left="0"/>
        <w:rPr>
          <w:sz w:val="18"/>
        </w:rPr>
      </w:pPr>
    </w:p>
    <w:p w14:paraId="36F9212D">
      <w:pPr>
        <w:pStyle w:val="3"/>
        <w:spacing w:before="61"/>
        <w:ind w:left="0" w:right="0"/>
        <w:rPr>
          <w:i w:val="0"/>
          <w:iCs w:val="0"/>
        </w:rPr>
      </w:pPr>
      <w:bookmarkStart w:id="248" w:name="第三节  强化人才队伍建设，发挥人才支撑作用"/>
      <w:bookmarkEnd w:id="248"/>
      <w:bookmarkStart w:id="249" w:name="_bookmark51"/>
      <w:bookmarkEnd w:id="249"/>
      <w:bookmarkStart w:id="250" w:name="_Toc480387282"/>
      <w:bookmarkStart w:id="251" w:name="_Toc2114287785"/>
      <w:bookmarkStart w:id="252" w:name="_Toc866195758"/>
      <w:bookmarkStart w:id="253" w:name="_Toc4735"/>
      <w:r>
        <w:rPr>
          <w:i w:val="0"/>
          <w:iCs w:val="0"/>
        </w:rPr>
        <w:t>第三</w:t>
      </w:r>
      <w:r>
        <w:rPr>
          <w:i w:val="0"/>
          <w:iCs w:val="0"/>
          <w:spacing w:val="24"/>
        </w:rPr>
        <w:t>节 强</w:t>
      </w:r>
      <w:r>
        <w:rPr>
          <w:i w:val="0"/>
          <w:iCs w:val="0"/>
        </w:rPr>
        <w:t>化人才队伍建设，发挥人才支撑作</w:t>
      </w:r>
      <w:r>
        <w:rPr>
          <w:i w:val="0"/>
          <w:iCs w:val="0"/>
          <w:spacing w:val="-10"/>
        </w:rPr>
        <w:t>用</w:t>
      </w:r>
      <w:bookmarkEnd w:id="250"/>
      <w:bookmarkEnd w:id="251"/>
      <w:bookmarkEnd w:id="252"/>
      <w:bookmarkEnd w:id="253"/>
    </w:p>
    <w:p w14:paraId="19A7E150">
      <w:pPr>
        <w:pStyle w:val="5"/>
        <w:spacing w:before="3"/>
        <w:ind w:left="0"/>
        <w:rPr>
          <w:rFonts w:ascii="楷体_GB2312"/>
          <w:b/>
          <w:i/>
          <w:sz w:val="33"/>
        </w:rPr>
      </w:pPr>
    </w:p>
    <w:p w14:paraId="5403018B">
      <w:pPr>
        <w:pStyle w:val="5"/>
        <w:spacing w:line="363" w:lineRule="auto"/>
        <w:ind w:left="0" w:right="0" w:firstLine="552" w:firstLineChars="200"/>
        <w:jc w:val="both"/>
      </w:pPr>
      <w:r>
        <w:rPr>
          <w:spacing w:val="-2"/>
        </w:rPr>
        <w:t>高度重视人才资源开发和利用，建立人才激励机制，优化人才软环境。坚持培养与引进相结合，数量与质量相并重，采取用好现有人才、留住关键人才、引进高级人才等多种形式稳定、壮大人才队伍。“十二五”期间，围绕哈密优势资源开发的需求，以煤炭、电力、化工等行业为重点，积极引进各方面的创新型、创意型、领军型和高端技术型人才，建立人才结构调整与经济结构调整相协调的动态机制，完善人才培养、选拔、评价、交流、激励和保障机制。同时，以河南援哈为机遇，把干部、人才援哈与加强当地干部、人才的培养相结合，通过双向挂职、两地培训、支医支教支农等办法，努力缓解人才短缺问题，最终形成数量上、结构上和素质上满足经济社会可持续发展需求的人才队伍，增强科技人才对推进地区经济社会发展的重要支撑作用，为实现“十二五”期间的总目标提供强有力的人才和智力支持。到“十二五”末，建成一支梯次合理、素质优良、新老衔接，具有创新思维和创新能力，充分适应经济社会发展需要的科技人才队伍，专业技术人才占全社会从业人员的比例增加到 15%。</w:t>
      </w:r>
    </w:p>
    <w:p w14:paraId="633D560F">
      <w:pPr>
        <w:pStyle w:val="5"/>
        <w:spacing w:before="1"/>
        <w:ind w:left="0"/>
        <w:rPr>
          <w:sz w:val="36"/>
        </w:rPr>
      </w:pPr>
    </w:p>
    <w:p w14:paraId="33B3E93D">
      <w:pPr>
        <w:pStyle w:val="2"/>
        <w:tabs>
          <w:tab w:val="left" w:pos="1499"/>
        </w:tabs>
        <w:ind w:right="0"/>
      </w:pPr>
      <w:bookmarkStart w:id="254" w:name="_bookmark52"/>
      <w:bookmarkEnd w:id="254"/>
      <w:bookmarkStart w:id="255" w:name="第十二章  健全公共服务体系，全力保障改善民生"/>
      <w:bookmarkEnd w:id="255"/>
      <w:bookmarkStart w:id="256" w:name="_Toc1991809830"/>
      <w:bookmarkStart w:id="257" w:name="_Toc513316936"/>
      <w:bookmarkStart w:id="258" w:name="_Toc7279"/>
      <w:bookmarkStart w:id="259" w:name="_Toc474764013"/>
      <w:r>
        <w:t>第十二</w:t>
      </w:r>
      <w:r>
        <w:rPr>
          <w:spacing w:val="-10"/>
        </w:rPr>
        <w:t>章</w:t>
      </w:r>
      <w:r>
        <w:tab/>
      </w:r>
      <w:r>
        <w:t>健全公共服务体系，全力保障改善民</w:t>
      </w:r>
      <w:r>
        <w:rPr>
          <w:spacing w:val="-10"/>
        </w:rPr>
        <w:t>生</w:t>
      </w:r>
      <w:bookmarkEnd w:id="256"/>
      <w:bookmarkEnd w:id="257"/>
      <w:bookmarkEnd w:id="258"/>
      <w:bookmarkEnd w:id="259"/>
    </w:p>
    <w:p w14:paraId="6B5E7969">
      <w:pPr>
        <w:pStyle w:val="5"/>
        <w:spacing w:before="5"/>
        <w:ind w:left="0"/>
        <w:rPr>
          <w:rFonts w:ascii="黑体"/>
          <w:sz w:val="33"/>
        </w:rPr>
      </w:pPr>
    </w:p>
    <w:p w14:paraId="158FBEF1">
      <w:pPr>
        <w:pStyle w:val="5"/>
        <w:spacing w:line="363" w:lineRule="auto"/>
        <w:ind w:left="0" w:right="0" w:firstLine="536" w:firstLineChars="200"/>
        <w:jc w:val="both"/>
      </w:pPr>
      <w:r>
        <w:rPr>
          <w:spacing w:val="-6"/>
        </w:rPr>
        <w:t>围绕“三化”建设，以援哈项目为契机，把公共资源向民生倾斜，</w:t>
      </w:r>
      <w:r>
        <w:rPr>
          <w:spacing w:val="-2"/>
        </w:rPr>
        <w:t>统筹兼顾、突出重点、加强薄弱环节，不断满足人民群众日益增长的物质文化需求。</w:t>
      </w:r>
    </w:p>
    <w:p w14:paraId="28204FD2">
      <w:pPr>
        <w:pStyle w:val="3"/>
        <w:spacing w:before="132"/>
        <w:ind w:left="0" w:right="0"/>
        <w:rPr>
          <w:i w:val="0"/>
          <w:iCs w:val="0"/>
        </w:rPr>
      </w:pPr>
      <w:bookmarkStart w:id="260" w:name="第一节  坚持积极就业政策，努力增加就业岗位"/>
      <w:bookmarkEnd w:id="260"/>
      <w:bookmarkStart w:id="261" w:name="_bookmark53"/>
      <w:bookmarkEnd w:id="261"/>
      <w:bookmarkStart w:id="262" w:name="_Toc1706366524"/>
      <w:bookmarkStart w:id="263" w:name="_Toc1983067685"/>
      <w:bookmarkStart w:id="264" w:name="_Toc22791"/>
      <w:bookmarkStart w:id="265" w:name="_Toc1924254379"/>
      <w:r>
        <w:rPr>
          <w:i w:val="0"/>
          <w:iCs w:val="0"/>
        </w:rPr>
        <w:t>第一</w:t>
      </w:r>
      <w:r>
        <w:rPr>
          <w:i w:val="0"/>
          <w:iCs w:val="0"/>
          <w:spacing w:val="24"/>
        </w:rPr>
        <w:t>节 坚</w:t>
      </w:r>
      <w:r>
        <w:rPr>
          <w:i w:val="0"/>
          <w:iCs w:val="0"/>
        </w:rPr>
        <w:t>持积极就业政策，努力增加就业岗</w:t>
      </w:r>
      <w:r>
        <w:rPr>
          <w:i w:val="0"/>
          <w:iCs w:val="0"/>
          <w:spacing w:val="-10"/>
        </w:rPr>
        <w:t>位</w:t>
      </w:r>
      <w:bookmarkEnd w:id="262"/>
      <w:bookmarkEnd w:id="263"/>
      <w:bookmarkEnd w:id="264"/>
      <w:bookmarkEnd w:id="265"/>
    </w:p>
    <w:p w14:paraId="00EF02C4">
      <w:pPr>
        <w:pStyle w:val="5"/>
        <w:spacing w:before="4"/>
        <w:ind w:left="0"/>
        <w:rPr>
          <w:rFonts w:ascii="楷体_GB2312"/>
          <w:b/>
          <w:i/>
          <w:sz w:val="34"/>
        </w:rPr>
      </w:pPr>
    </w:p>
    <w:p w14:paraId="55A0E6A3">
      <w:pPr>
        <w:pStyle w:val="5"/>
        <w:spacing w:line="363" w:lineRule="auto"/>
        <w:ind w:left="0" w:right="0" w:firstLine="536" w:firstLineChars="200"/>
        <w:jc w:val="both"/>
        <w:rPr>
          <w:spacing w:val="-6"/>
        </w:rPr>
      </w:pPr>
      <w:r>
        <w:rPr>
          <w:spacing w:val="-6"/>
          <w:w w:val="100"/>
        </w:rPr>
        <w:t>坚持把促进充分就业作为经济社会发展的优先目标，实施更加积极的就业政策，多渠道开发就业岗位。坚持“劳动者自主择业、市场调节就业、政府促进就业”的方针，健全城乡统一、内外开放、平等竞争、规范有序的劳动力市场，确立稳定的政府就业投入机制，建立制度化、专业化、社会化的就业服务体系，形成常规性的就业援助制度。按照“突出重点，突破难点，多措并举，分类施策”的要求，通过开发公益性岗位、大力发展一二三产业、抓住对口援疆机遇、鼓励到企业、农村、基层就业和自主创业、多渠道培训等途径，做好大中专毕业生、“零就业家庭”就业再就业工作，确保地区新登记失业的大中专毕业生出现一户、帮扶一户、就业一户，实现“零就业家庭” 24</w:t>
      </w:r>
      <w:r>
        <w:rPr>
          <w:spacing w:val="-6"/>
        </w:rPr>
        <w:t xml:space="preserve"> </w:t>
      </w:r>
      <w:r>
        <w:rPr>
          <w:spacing w:val="-6"/>
          <w:w w:val="100"/>
        </w:rPr>
        <w:t>小时动态清零。做好</w:t>
      </w:r>
      <w:r>
        <w:rPr>
          <w:spacing w:val="-6"/>
        </w:rPr>
        <w:t xml:space="preserve"> </w:t>
      </w:r>
      <w:r>
        <w:rPr>
          <w:spacing w:val="-6"/>
          <w:w w:val="100"/>
        </w:rPr>
        <w:t>4050</w:t>
      </w:r>
      <w:r>
        <w:rPr>
          <w:spacing w:val="-6"/>
        </w:rPr>
        <w:t xml:space="preserve"> </w:t>
      </w:r>
      <w:r>
        <w:rPr>
          <w:spacing w:val="-6"/>
          <w:w w:val="100"/>
        </w:rPr>
        <w:t>人员、城市低保人员、残疾人等群体的就业帮扶工作。积极落实就业优惠政策，做好未就业大中专毕业生就业工作，引导安排大批大中专毕业生到乡（镇、街道）、村（社区）工作。</w:t>
      </w:r>
    </w:p>
    <w:p w14:paraId="64C7AA16">
      <w:pPr>
        <w:pStyle w:val="5"/>
        <w:spacing w:before="0" w:line="363" w:lineRule="auto"/>
        <w:ind w:left="0" w:leftChars="0" w:right="0" w:firstLine="536" w:firstLineChars="200"/>
        <w:jc w:val="both"/>
        <w:rPr>
          <w:spacing w:val="-6"/>
        </w:rPr>
      </w:pPr>
      <w:r>
        <w:rPr>
          <w:spacing w:val="-6"/>
        </w:rPr>
        <w:t>加快培养经济社会发展需要的技能劳动者，对后备劳动力开展职业技能培训和职业指导，增强就业竞争能力。积极开展职业技能培训和转岗培训，进一步加大农村富余劳动力转移就业工作力度，建立城乡统一的人力资源市场。到 2015 年，实现农村家庭至少“一户一工人”目标，城镇登记失业率控制在 3%以内。</w:t>
      </w:r>
    </w:p>
    <w:p w14:paraId="27FC1A3F">
      <w:pPr>
        <w:pStyle w:val="3"/>
        <w:spacing w:before="133"/>
        <w:ind w:left="0" w:right="0"/>
        <w:rPr>
          <w:i w:val="0"/>
          <w:iCs w:val="0"/>
        </w:rPr>
      </w:pPr>
      <w:bookmarkStart w:id="266" w:name="_Toc574075296"/>
      <w:bookmarkStart w:id="267" w:name="_Toc1134414790"/>
      <w:bookmarkStart w:id="268" w:name="_Toc4602"/>
      <w:r>
        <w:rPr>
          <w:i w:val="0"/>
          <w:iCs w:val="0"/>
        </w:rPr>
        <w:t>第二</w:t>
      </w:r>
      <w:r>
        <w:rPr>
          <w:i w:val="0"/>
          <w:iCs w:val="0"/>
          <w:spacing w:val="24"/>
        </w:rPr>
        <w:t>节 调</w:t>
      </w:r>
      <w:r>
        <w:rPr>
          <w:i w:val="0"/>
          <w:iCs w:val="0"/>
        </w:rPr>
        <w:t>整收入分配关系，提高人民生活水</w:t>
      </w:r>
      <w:r>
        <w:rPr>
          <w:i w:val="0"/>
          <w:iCs w:val="0"/>
          <w:spacing w:val="-10"/>
        </w:rPr>
        <w:t>平</w:t>
      </w:r>
      <w:bookmarkEnd w:id="266"/>
      <w:bookmarkEnd w:id="267"/>
      <w:bookmarkEnd w:id="268"/>
    </w:p>
    <w:p w14:paraId="1F874D8C">
      <w:pPr>
        <w:pStyle w:val="5"/>
        <w:spacing w:after="0" w:line="363" w:lineRule="auto"/>
        <w:ind w:left="0" w:right="0" w:firstLine="536" w:firstLineChars="200"/>
        <w:rPr>
          <w:spacing w:val="-6"/>
        </w:rPr>
      </w:pPr>
    </w:p>
    <w:p w14:paraId="7C308DB1">
      <w:pPr>
        <w:pStyle w:val="5"/>
        <w:spacing w:after="0" w:line="363" w:lineRule="auto"/>
        <w:ind w:left="0" w:right="0" w:firstLine="0" w:firstLineChars="0"/>
        <w:rPr>
          <w:spacing w:val="-6"/>
        </w:rPr>
        <w:sectPr>
          <w:pgSz w:w="11910" w:h="16840"/>
          <w:pgMar w:top="1520" w:right="1260" w:bottom="1180" w:left="1480" w:header="0" w:footer="993" w:gutter="0"/>
          <w:pgNumType w:fmt="decimal"/>
          <w:cols w:space="720" w:num="1"/>
        </w:sectPr>
      </w:pPr>
    </w:p>
    <w:p w14:paraId="5F3D085C">
      <w:pPr>
        <w:pStyle w:val="5"/>
        <w:spacing w:line="363" w:lineRule="auto"/>
        <w:ind w:left="0" w:right="0" w:firstLine="548" w:firstLineChars="200"/>
        <w:jc w:val="both"/>
      </w:pPr>
      <w:bookmarkStart w:id="269" w:name="_bookmark54"/>
      <w:bookmarkEnd w:id="269"/>
      <w:bookmarkStart w:id="270" w:name="第二节  调整收入分配关系，提高人民生活水平 "/>
      <w:bookmarkEnd w:id="270"/>
      <w:r>
        <w:rPr>
          <w:spacing w:val="-3"/>
          <w:w w:val="100"/>
        </w:rPr>
        <w:t>努力提高居民收入在国民收入分配中的比重，提高劳动报酬在初</w:t>
      </w:r>
      <w:r>
        <w:rPr>
          <w:spacing w:val="-9"/>
          <w:w w:val="100"/>
        </w:rPr>
        <w:t>次分配中的比重。通过大力发展高效农业和二三产业，扎实做好农村</w:t>
      </w:r>
      <w:r>
        <w:rPr>
          <w:spacing w:val="-7"/>
          <w:w w:val="100"/>
        </w:rPr>
        <w:t>富余劳动力组织化转移，认真落实各项强农惠农政策，促进农牧民持</w:t>
      </w:r>
      <w:r>
        <w:rPr>
          <w:spacing w:val="-8"/>
          <w:w w:val="100"/>
        </w:rPr>
        <w:t>续增收；积极落实国家有关政策，通过提高城镇居民就业率、提高最低工资标准、增加就业者工资收入、保护劳动者的合法权益、提高机</w:t>
      </w:r>
      <w:r>
        <w:rPr>
          <w:spacing w:val="-6"/>
          <w:w w:val="100"/>
        </w:rPr>
        <w:t>关事业单位人员收入水平、增加城镇居民财产性合法收入，不断增加</w:t>
      </w:r>
      <w:r>
        <w:rPr>
          <w:spacing w:val="-4"/>
          <w:w w:val="100"/>
        </w:rPr>
        <w:t>群众收入。坚持以促进城乡居民收入持续较快增长为核心目标，规范</w:t>
      </w:r>
      <w:r>
        <w:rPr>
          <w:spacing w:val="-15"/>
          <w:w w:val="100"/>
        </w:rPr>
        <w:t>分配秩序，着力提高低收入者的收入水平，逐步扩大中等收入者比重，</w:t>
      </w:r>
      <w:r>
        <w:rPr>
          <w:spacing w:val="-3"/>
          <w:w w:val="100"/>
        </w:rPr>
        <w:t>努力扭转城乡、区域、行业和社会成员之间收入差距扩大趋势。</w:t>
      </w:r>
    </w:p>
    <w:p w14:paraId="2C8EE338">
      <w:pPr>
        <w:pStyle w:val="3"/>
        <w:spacing w:before="180"/>
        <w:ind w:left="0" w:right="0"/>
        <w:rPr>
          <w:i w:val="0"/>
          <w:iCs w:val="0"/>
        </w:rPr>
      </w:pPr>
      <w:bookmarkStart w:id="271" w:name="第三节  健全城乡社会保障体系，加强弱势群体救助工作"/>
      <w:bookmarkEnd w:id="271"/>
      <w:bookmarkStart w:id="272" w:name="_bookmark55"/>
      <w:bookmarkEnd w:id="272"/>
      <w:bookmarkStart w:id="273" w:name="_Toc2041464424"/>
      <w:bookmarkStart w:id="274" w:name="_Toc24860"/>
      <w:bookmarkStart w:id="275" w:name="_Toc1768699364"/>
      <w:bookmarkStart w:id="276" w:name="_Toc931441728"/>
      <w:r>
        <w:rPr>
          <w:i w:val="0"/>
          <w:iCs w:val="0"/>
        </w:rPr>
        <w:t>第三</w:t>
      </w:r>
      <w:r>
        <w:rPr>
          <w:i w:val="0"/>
          <w:iCs w:val="0"/>
          <w:spacing w:val="19"/>
        </w:rPr>
        <w:t>节 健</w:t>
      </w:r>
      <w:r>
        <w:rPr>
          <w:i w:val="0"/>
          <w:iCs w:val="0"/>
        </w:rPr>
        <w:t>全城乡社会保障体系，加强</w:t>
      </w:r>
      <w:r>
        <w:rPr>
          <w:rFonts w:hint="eastAsia"/>
          <w:i w:val="0"/>
          <w:iCs w:val="0"/>
          <w:lang w:eastAsia="zh-CN"/>
        </w:rPr>
        <w:t>社会</w:t>
      </w:r>
      <w:r>
        <w:rPr>
          <w:i w:val="0"/>
          <w:iCs w:val="0"/>
        </w:rPr>
        <w:t>救助工</w:t>
      </w:r>
      <w:r>
        <w:rPr>
          <w:i w:val="0"/>
          <w:iCs w:val="0"/>
          <w:spacing w:val="-10"/>
        </w:rPr>
        <w:t>作</w:t>
      </w:r>
      <w:bookmarkEnd w:id="273"/>
      <w:bookmarkEnd w:id="274"/>
      <w:bookmarkEnd w:id="275"/>
      <w:bookmarkEnd w:id="276"/>
    </w:p>
    <w:p w14:paraId="058A4C9D">
      <w:pPr>
        <w:pStyle w:val="5"/>
        <w:spacing w:before="5"/>
        <w:ind w:left="0"/>
        <w:rPr>
          <w:rFonts w:ascii="楷体_GB2312"/>
          <w:b/>
          <w:i/>
          <w:sz w:val="34"/>
        </w:rPr>
      </w:pPr>
    </w:p>
    <w:p w14:paraId="23C8B37A">
      <w:pPr>
        <w:pStyle w:val="5"/>
        <w:spacing w:line="363" w:lineRule="auto"/>
        <w:ind w:left="0" w:right="0" w:firstLine="528" w:firstLineChars="200"/>
        <w:jc w:val="both"/>
        <w:rPr>
          <w:spacing w:val="-8"/>
        </w:rPr>
      </w:pPr>
      <w:r>
        <w:rPr>
          <w:spacing w:val="-8"/>
        </w:rPr>
        <w:t>加快构建适度普惠型的民生救助体系，建立城乡居民最低生活保障标准正常调整机制。规范城乡低保工作，做到应保尽保、分类施保。到 2015 年逐步实现城乡低保标准一体化，救助政策一体化。</w:t>
      </w:r>
    </w:p>
    <w:p w14:paraId="01CF3B6E">
      <w:pPr>
        <w:pStyle w:val="5"/>
        <w:spacing w:line="363" w:lineRule="auto"/>
        <w:ind w:left="0" w:right="0" w:firstLine="528" w:firstLineChars="200"/>
        <w:jc w:val="both"/>
        <w:rPr>
          <w:spacing w:val="-8"/>
        </w:rPr>
      </w:pPr>
      <w:r>
        <w:rPr>
          <w:spacing w:val="-8"/>
        </w:rPr>
        <w:t>加大扶贫投入，完善扶贫开发机制，对不同生存条件下的贫困地区实施差别扶贫政策。充分利用国家边境扶贫县规划资金，到 2015年，消除绝对贫困现象。</w:t>
      </w:r>
    </w:p>
    <w:p w14:paraId="234F8D25">
      <w:pPr>
        <w:pStyle w:val="5"/>
        <w:spacing w:before="0" w:line="363" w:lineRule="auto"/>
        <w:ind w:left="0" w:leftChars="0" w:firstLine="528" w:firstLineChars="200"/>
        <w:jc w:val="both"/>
        <w:rPr>
          <w:spacing w:val="-8"/>
        </w:rPr>
      </w:pPr>
      <w:r>
        <w:rPr>
          <w:spacing w:val="-8"/>
        </w:rPr>
        <w:t>完善基本医疗保险制度和新型农村合作医疗保险制度。加快各项配套管理制度建设，健全医疗保险费用控制及定点机构管理办法，完善医疗服务管理措施和制约机制。在完善基本医疗保险、新型农村合作医疗保险、公务员医疗补助、大额医疗补助、门诊费用统筹的基础上，形成包括企业补充医疗保险、商业医疗保险以及社会医疗救助的多层次医疗保险制度体系，提高参保人员医疗保险待遇水平。力争到</w:t>
      </w:r>
      <w:r>
        <w:rPr>
          <w:spacing w:val="-8"/>
          <w:sz w:val="28"/>
          <w:szCs w:val="28"/>
        </w:rPr>
        <w:t>2011 年，将城镇职工医疗保险最高支付限额提高到当地职工年平均工资的 6 倍；到 2015 年，将城镇居民医疗保险最高支付限额提</w:t>
      </w:r>
      <w:r>
        <w:rPr>
          <w:rFonts w:hint="default"/>
          <w:spacing w:val="-8"/>
          <w:lang w:eastAsia="zh-CN"/>
        </w:rPr>
        <w:t>高</w:t>
      </w:r>
      <w:r>
        <w:rPr>
          <w:spacing w:val="-8"/>
        </w:rPr>
        <w:t>到当地居民可支配收入的 6 倍。</w:t>
      </w:r>
    </w:p>
    <w:p w14:paraId="42DD9316">
      <w:pPr>
        <w:pStyle w:val="5"/>
        <w:spacing w:before="0" w:line="363" w:lineRule="auto"/>
        <w:ind w:left="0" w:right="0" w:firstLine="552" w:firstLineChars="200"/>
        <w:jc w:val="both"/>
      </w:pPr>
      <w:r>
        <w:rPr>
          <w:spacing w:val="-2"/>
        </w:rPr>
        <w:t>深入开展基本养老保险制度改革。巩固完善城镇职工和新型农村</w:t>
      </w:r>
      <w:r>
        <w:rPr>
          <w:rFonts w:hint="eastAsia"/>
          <w:spacing w:val="-2"/>
          <w:lang w:val="en-US" w:eastAsia="zh-CN"/>
        </w:rPr>
        <w:t xml:space="preserve">  </w:t>
      </w:r>
      <w:r>
        <w:rPr>
          <w:spacing w:val="-2"/>
        </w:rPr>
        <w:t>社会事业养老保险制度，建立城镇居民社会养老保险制度，逐步实现人人享有基本养老保障。做实养老保险个人账户，实现跨省可接续。形成基本养老保险、企业年金、个人储蓄性养老保险相结合的多层次的养老保险制度体系。到“十二五”末，实现基本养老保险全覆盖，</w:t>
      </w:r>
      <w:r>
        <w:rPr>
          <w:spacing w:val="-8"/>
        </w:rPr>
        <w:t xml:space="preserve">参保率达到 </w:t>
      </w:r>
      <w:r>
        <w:t>90%以上。</w:t>
      </w:r>
    </w:p>
    <w:p w14:paraId="5170ED7B">
      <w:pPr>
        <w:pStyle w:val="5"/>
        <w:spacing w:line="363" w:lineRule="auto"/>
        <w:ind w:left="0" w:right="0" w:firstLine="552" w:firstLineChars="200"/>
        <w:jc w:val="both"/>
        <w:rPr>
          <w:spacing w:val="-2"/>
        </w:rPr>
      </w:pPr>
      <w:r>
        <w:rPr>
          <w:spacing w:val="-2"/>
        </w:rPr>
        <w:t>完善失业保险制度，进一步扩大失业保险覆盖面，基本形成与市场就业机制相适应的失业人员生活保障和促进就业的失业保险运行机制。完善工伤、生育保险制度，不断扩大工伤、生育保险覆盖面。</w:t>
      </w:r>
    </w:p>
    <w:p w14:paraId="5B2049D7">
      <w:pPr>
        <w:pStyle w:val="5"/>
        <w:spacing w:line="363" w:lineRule="auto"/>
        <w:ind w:left="0" w:right="0" w:firstLine="552" w:firstLineChars="200"/>
        <w:jc w:val="both"/>
        <w:rPr>
          <w:spacing w:val="-2"/>
        </w:rPr>
      </w:pPr>
      <w:r>
        <w:rPr>
          <w:spacing w:val="-2"/>
        </w:rPr>
        <w:t>完善社会保险资金来源多元化的机制。强化征收管理，实现依法征收，应收尽收。调整财政支出结构，提高社会保障支出比重。不断加强劳动和社会保障行政执法工作，有效维护劳动者合法权益。</w:t>
      </w:r>
    </w:p>
    <w:p w14:paraId="74DB7214">
      <w:pPr>
        <w:pStyle w:val="5"/>
        <w:spacing w:line="363" w:lineRule="auto"/>
        <w:ind w:left="0" w:leftChars="0" w:right="0" w:firstLine="552" w:firstLineChars="200"/>
        <w:jc w:val="both"/>
        <w:rPr>
          <w:spacing w:val="-2"/>
        </w:rPr>
      </w:pPr>
      <w:r>
        <w:rPr>
          <w:spacing w:val="-2"/>
        </w:rPr>
        <w:t>大力发展“关爱工程”，加大对孤儿、弃婴、孤残儿童和流浪未成年人、老龄人等群体的救助保护力度。加大老龄工作力度，逐步建立和完善符合哈密地区实际的老年社会保障体系，逐步建立与经济社会发展水平相适应的老龄事业投入和自然增长机制，进一步健全适应老龄化形势的老龄事业基础设施，逐步实现老有所养、老有所医、老有所教、老有所学、老有所乐的目标。到 2015 年，每个县（市）至少新增 3 家社会养老机构，新增社会养老机构的床位数 500 张以上。</w:t>
      </w:r>
    </w:p>
    <w:p w14:paraId="57DFD1E1">
      <w:pPr>
        <w:pStyle w:val="5"/>
        <w:spacing w:line="363" w:lineRule="auto"/>
        <w:ind w:left="0" w:firstLine="552" w:firstLineChars="200"/>
        <w:jc w:val="both"/>
        <w:rPr>
          <w:spacing w:val="-2"/>
        </w:rPr>
      </w:pPr>
      <w:r>
        <w:rPr>
          <w:spacing w:val="-2"/>
        </w:rPr>
        <w:t>建立健全突发灾害应急机制和社会动员机制。加强防灾救灾薄弱环节建设，落实国家防灾减灾各项预案。加强重点灾害的监测预报、预防和救援体系建设，建立应对特大灾害的物资储备体系和灾民救济体系，形成“生活救助、医疗救治、住房救助、教育救助、法律救助”五位一体的社会化救助体系，做好灾后生活救助和恢复重建工作。</w:t>
      </w:r>
    </w:p>
    <w:p w14:paraId="3D67855C">
      <w:pPr>
        <w:pStyle w:val="3"/>
        <w:spacing w:before="133"/>
        <w:ind w:left="0" w:right="0"/>
        <w:jc w:val="center"/>
        <w:rPr>
          <w:i w:val="0"/>
          <w:iCs w:val="0"/>
        </w:rPr>
      </w:pPr>
      <w:bookmarkStart w:id="277" w:name="_Toc29490"/>
      <w:bookmarkStart w:id="278" w:name="_Toc1823002669"/>
      <w:bookmarkStart w:id="279" w:name="_Toc1962658717"/>
      <w:r>
        <w:rPr>
          <w:i w:val="0"/>
          <w:iCs w:val="0"/>
        </w:rPr>
        <w:t>第四</w:t>
      </w:r>
      <w:r>
        <w:rPr>
          <w:i w:val="0"/>
          <w:iCs w:val="0"/>
          <w:spacing w:val="19"/>
        </w:rPr>
        <w:t>节 强</w:t>
      </w:r>
      <w:r>
        <w:rPr>
          <w:i w:val="0"/>
          <w:iCs w:val="0"/>
        </w:rPr>
        <w:t>化医疗救治体系建设，提高医疗卫生服务水</w:t>
      </w:r>
      <w:r>
        <w:rPr>
          <w:i w:val="0"/>
          <w:iCs w:val="0"/>
          <w:spacing w:val="-10"/>
        </w:rPr>
        <w:t>平</w:t>
      </w:r>
      <w:bookmarkEnd w:id="277"/>
      <w:bookmarkEnd w:id="278"/>
      <w:bookmarkEnd w:id="279"/>
    </w:p>
    <w:p w14:paraId="0093AB85">
      <w:pPr>
        <w:pStyle w:val="5"/>
        <w:spacing w:before="5"/>
        <w:ind w:left="0"/>
        <w:rPr>
          <w:rFonts w:ascii="楷体_GB2312"/>
          <w:b/>
          <w:i/>
          <w:sz w:val="34"/>
        </w:rPr>
      </w:pPr>
    </w:p>
    <w:p w14:paraId="4296F047">
      <w:pPr>
        <w:pStyle w:val="5"/>
        <w:spacing w:line="363" w:lineRule="auto"/>
        <w:ind w:left="0" w:right="0" w:firstLine="552" w:firstLineChars="200"/>
        <w:jc w:val="both"/>
        <w:rPr>
          <w:spacing w:val="-2"/>
        </w:rPr>
      </w:pPr>
      <w:r>
        <w:rPr>
          <w:spacing w:val="-2"/>
        </w:rPr>
        <w:t>推进医疗卫生体制改革，完善区域卫生规划，加强区域卫生协调互动发展机制和公共卫生服务体系建设，合理配置、统筹和有效利用卫生资源。</w:t>
      </w:r>
      <w:r>
        <w:pict>
          <v:shape id="docshape43" o:spid="_x0000_s1062" o:spt="202" type="#_x0000_t202" style="position:absolute;left:0pt;margin-left:99.5pt;margin-top:212pt;height:240.5pt;width:427.25pt;mso-position-horizontal-relative:page;mso-wrap-distance-bottom:0pt;mso-wrap-distance-top:0pt;z-index:-251643904;mso-width-relative:page;mso-height-relative:page;" filled="f" stroked="t" coordsize="21600,21600">
            <v:path/>
            <v:fill on="f" focussize="0,0"/>
            <v:stroke weight="0.48pt" color="#000000"/>
            <v:imagedata o:title=""/>
            <o:lock v:ext="edit"/>
            <v:textbox inset="0mm,0mm,0mm,0mm">
              <w:txbxContent>
                <w:p w14:paraId="21510117">
                  <w:pPr>
                    <w:spacing w:before="109" w:afterLines="50"/>
                    <w:ind w:left="3078" w:right="0" w:firstLine="0"/>
                    <w:jc w:val="left"/>
                    <w:rPr>
                      <w:rFonts w:hint="eastAsia" w:ascii="黑体" w:eastAsia="黑体"/>
                      <w:b/>
                      <w:sz w:val="21"/>
                    </w:rPr>
                  </w:pPr>
                  <w:r>
                    <w:rPr>
                      <w:rFonts w:hint="eastAsia" w:ascii="黑体" w:eastAsia="黑体"/>
                      <w:b/>
                      <w:spacing w:val="-18"/>
                      <w:sz w:val="21"/>
                    </w:rPr>
                    <w:t xml:space="preserve">专栏 </w:t>
                  </w:r>
                  <w:r>
                    <w:rPr>
                      <w:rFonts w:hint="eastAsia" w:ascii="黑体" w:eastAsia="黑体"/>
                      <w:b/>
                      <w:sz w:val="21"/>
                    </w:rPr>
                    <w:t>12-1</w:t>
                  </w:r>
                  <w:r>
                    <w:rPr>
                      <w:rFonts w:hint="eastAsia" w:ascii="黑体" w:eastAsia="黑体"/>
                      <w:b/>
                      <w:spacing w:val="46"/>
                      <w:sz w:val="21"/>
                    </w:rPr>
                    <w:t xml:space="preserve"> 卫</w:t>
                  </w:r>
                  <w:r>
                    <w:rPr>
                      <w:rFonts w:hint="eastAsia" w:ascii="黑体" w:eastAsia="黑体"/>
                      <w:b/>
                      <w:sz w:val="21"/>
                    </w:rPr>
                    <w:t>生医疗重大项</w:t>
                  </w:r>
                  <w:r>
                    <w:rPr>
                      <w:rFonts w:hint="eastAsia" w:ascii="黑体" w:eastAsia="黑体"/>
                      <w:b/>
                      <w:spacing w:val="-10"/>
                      <w:sz w:val="21"/>
                    </w:rPr>
                    <w:t>目</w:t>
                  </w:r>
                </w:p>
                <w:p w14:paraId="0350996A">
                  <w:pPr>
                    <w:wordWrap w:val="0"/>
                    <w:topLinePunct/>
                    <w:spacing w:before="0" w:line="322" w:lineRule="auto"/>
                    <w:ind w:left="522" w:right="0" w:firstLine="0"/>
                    <w:jc w:val="both"/>
                    <w:rPr>
                      <w:rFonts w:ascii="宋体" w:eastAsia="宋体"/>
                      <w:sz w:val="21"/>
                    </w:rPr>
                  </w:pPr>
                  <w:r>
                    <w:rPr>
                      <w:rFonts w:ascii="宋体" w:eastAsia="宋体"/>
                      <w:sz w:val="21"/>
                    </w:rPr>
                    <w:t>哈密地区医疗急救指挥中心建设项目、哈密地区妇女儿童医院建设项目、哈密地区</w:t>
                  </w:r>
                  <w:r>
                    <w:rPr>
                      <w:rFonts w:ascii="宋体" w:eastAsia="宋体"/>
                      <w:spacing w:val="-10"/>
                      <w:sz w:val="21"/>
                    </w:rPr>
                    <w:t>乡</w:t>
                  </w:r>
                </w:p>
                <w:p w14:paraId="370805DA">
                  <w:pPr>
                    <w:spacing w:before="0" w:line="322" w:lineRule="auto"/>
                    <w:ind w:left="102" w:right="-15" w:firstLine="0"/>
                    <w:jc w:val="both"/>
                    <w:rPr>
                      <w:rFonts w:ascii="宋体" w:eastAsia="宋体"/>
                      <w:sz w:val="21"/>
                    </w:rPr>
                  </w:pPr>
                  <w:r>
                    <w:rPr>
                      <w:rFonts w:ascii="宋体" w:eastAsia="宋体"/>
                      <w:spacing w:val="-2"/>
                      <w:sz w:val="21"/>
                    </w:rPr>
                    <w:t>（镇）卫生院职工生活周转房建设项目、哈密地区中医医院新建项目、哈密地区维吾尔医院门诊医技楼建设项目、哈密地区卫生监督所业务用房建设项目、哈密地区疾病预防控制中心建设项目、哈密地区中心血站采供血能力建设项目、哈密市疾病预防控制中心标准化建设项目、哈密市济困医院建设项目、哈密市新设社区卫生服务中心、服务站建设项目、哈密市妇</w:t>
                  </w:r>
                  <w:r>
                    <w:rPr>
                      <w:rFonts w:ascii="宋体" w:eastAsia="宋体"/>
                      <w:spacing w:val="-15"/>
                      <w:sz w:val="21"/>
                    </w:rPr>
                    <w:t>幼保健院建设项目、巴里坤县乡镇卫生院标准化建设、巴里坤县人民医院管网改造和供应室、</w:t>
                  </w:r>
                  <w:r>
                    <w:rPr>
                      <w:rFonts w:ascii="宋体" w:eastAsia="宋体"/>
                      <w:spacing w:val="-2"/>
                      <w:sz w:val="21"/>
                    </w:rPr>
                    <w:t>巴里坤县疾病预防控</w:t>
                  </w:r>
                  <w:r>
                    <w:rPr>
                      <w:rFonts w:hint="eastAsia" w:ascii="宋体" w:eastAsia="宋体"/>
                      <w:spacing w:val="-2"/>
                      <w:sz w:val="21"/>
                      <w:lang w:eastAsia="zh-CN"/>
                    </w:rPr>
                    <w:t>制</w:t>
                  </w:r>
                  <w:r>
                    <w:rPr>
                      <w:rFonts w:ascii="宋体" w:eastAsia="宋体"/>
                      <w:spacing w:val="-2"/>
                      <w:sz w:val="21"/>
                    </w:rPr>
                    <w:t>中心业务用房建设项目、巴里坤县妇幼保健院、巴里坤县城镇社区卫生服务站、巴里坤县县、乡远程会诊平台、伊吾县人民医院基础设施建设项目、伊吾县淖毛湖标准化医院建设项目、伊吾县卫生监督所建设项目、伊吾县妇幼保健院建设项目、伊吾县社区卫生服务中心建设项目、伊吾县县、乡远程会诊系统、伊吾县疾控中心标准化建设项目。</w:t>
                  </w:r>
                  <w:r>
                    <w:rPr>
                      <w:rFonts w:ascii="宋体" w:eastAsia="宋体"/>
                      <w:spacing w:val="-3"/>
                      <w:sz w:val="21"/>
                    </w:rPr>
                    <w:t>地区内科心血管中心建设项目、地区中心医院精神卫生科、地区中医医院新建项目。</w:t>
                  </w:r>
                </w:p>
              </w:txbxContent>
            </v:textbox>
            <w10:wrap type="topAndBottom"/>
          </v:shape>
        </w:pict>
      </w:r>
      <w:r>
        <w:rPr>
          <w:spacing w:val="-2"/>
        </w:rPr>
        <w:t>不断完善县乡村三级医疗卫生服务网络，推进县级医院、乡镇卫生院、城市社区卫生服务机构标准化建设，优化和提升社区卫生服务功能，完善 15 分钟健康服务圈，形成较为完善的基层医疗卫生服务体系。进一步加强基层医疗卫生队伍建设，着力提高人才队伍整体素质，提升医疗服务水平，解决广大居民就近就医和“看好病”问题。健全完善药品供应保障体系，建立覆盖全地区的国家基本药物制度和零差率销售，切实减轻群众基本用药费用负担。</w:t>
      </w:r>
    </w:p>
    <w:p w14:paraId="3871A87D">
      <w:pPr>
        <w:pStyle w:val="5"/>
        <w:spacing w:line="363" w:lineRule="auto"/>
        <w:ind w:firstLine="552" w:firstLineChars="200"/>
        <w:jc w:val="both"/>
        <w:rPr>
          <w:spacing w:val="-2"/>
        </w:rPr>
      </w:pPr>
    </w:p>
    <w:p w14:paraId="0AC9A0BC"/>
    <w:p w14:paraId="31EE8FF5">
      <w:pPr>
        <w:spacing w:line="363" w:lineRule="auto"/>
        <w:ind w:firstLine="508" w:firstLineChars="200"/>
        <w:jc w:val="both"/>
        <w:rPr>
          <w:spacing w:val="-13"/>
          <w:sz w:val="28"/>
          <w:szCs w:val="28"/>
        </w:rPr>
      </w:pPr>
      <w:r>
        <w:rPr>
          <w:spacing w:val="-13"/>
          <w:sz w:val="28"/>
          <w:szCs w:val="28"/>
        </w:rPr>
        <w:t>加强疾病预防控制和医疗救治体系建设，努力控制重大传染病，防治职业病、地方病。加强突发公共卫生事件应急处置体系建设，提高应对突发公共卫生事件能力。为实现哈密地区人人享有基本医疗服务目标打造坚实基础。</w:t>
      </w:r>
    </w:p>
    <w:p w14:paraId="45BC446E">
      <w:pPr>
        <w:pStyle w:val="5"/>
        <w:spacing w:before="0" w:line="363" w:lineRule="auto"/>
        <w:ind w:left="0" w:right="0" w:firstLine="492" w:firstLineChars="200"/>
        <w:jc w:val="both"/>
      </w:pPr>
      <w:r>
        <w:rPr>
          <w:spacing w:val="-17"/>
        </w:rPr>
        <w:t xml:space="preserve">到 </w:t>
      </w:r>
      <w:r>
        <w:rPr>
          <w:spacing w:val="-4"/>
        </w:rPr>
        <w:t>2013</w:t>
      </w:r>
      <w:r>
        <w:rPr>
          <w:spacing w:val="-18"/>
        </w:rPr>
        <w:t xml:space="preserve"> 年，将地区中心医院建设升格为三甲医院，县级医院建设</w:t>
      </w:r>
      <w:r>
        <w:rPr>
          <w:spacing w:val="-9"/>
        </w:rPr>
        <w:t xml:space="preserve">升格为二甲医院。到 </w:t>
      </w:r>
      <w:r>
        <w:rPr>
          <w:spacing w:val="-6"/>
        </w:rPr>
        <w:t>2015</w:t>
      </w:r>
      <w:r>
        <w:rPr>
          <w:spacing w:val="-13"/>
        </w:rPr>
        <w:t xml:space="preserve"> 年，平均每千人口床位数增加 </w:t>
      </w:r>
      <w:r>
        <w:rPr>
          <w:spacing w:val="-6"/>
        </w:rPr>
        <w:t>15%，医疗卫</w:t>
      </w:r>
      <w:r>
        <w:rPr>
          <w:spacing w:val="-10"/>
        </w:rPr>
        <w:t xml:space="preserve">生服务机构健全率达 </w:t>
      </w:r>
      <w:r>
        <w:rPr>
          <w:spacing w:val="-8"/>
        </w:rPr>
        <w:t>100%</w:t>
      </w:r>
      <w:r>
        <w:rPr>
          <w:spacing w:val="-10"/>
        </w:rPr>
        <w:t xml:space="preserve">，婴幼儿死亡率控制在 </w:t>
      </w:r>
      <w:r>
        <w:rPr>
          <w:spacing w:val="-8"/>
        </w:rPr>
        <w:t>12‰，孕产妇死亡率</w:t>
      </w:r>
      <w:r>
        <w:rPr>
          <w:spacing w:val="-6"/>
        </w:rPr>
        <w:t xml:space="preserve">控制在 </w:t>
      </w:r>
      <w:r>
        <w:t>35/10</w:t>
      </w:r>
      <w:r>
        <w:rPr>
          <w:spacing w:val="-5"/>
        </w:rPr>
        <w:t xml:space="preserve"> 万以内。</w:t>
      </w:r>
    </w:p>
    <w:p w14:paraId="4093B7A1">
      <w:pPr>
        <w:pStyle w:val="3"/>
        <w:autoSpaceDE/>
        <w:autoSpaceDN/>
        <w:spacing w:before="0"/>
        <w:ind w:left="0" w:right="0"/>
        <w:jc w:val="center"/>
        <w:rPr>
          <w:i w:val="0"/>
          <w:iCs w:val="0"/>
        </w:rPr>
      </w:pPr>
      <w:bookmarkStart w:id="280" w:name="第五节  优化人口结构，提高人口素质"/>
      <w:bookmarkEnd w:id="280"/>
      <w:bookmarkStart w:id="281" w:name="_bookmark57"/>
      <w:bookmarkEnd w:id="281"/>
      <w:bookmarkStart w:id="282" w:name="_Toc1785644639"/>
      <w:bookmarkStart w:id="283" w:name="_Toc1344225058"/>
      <w:bookmarkStart w:id="284" w:name="_Toc13873"/>
      <w:bookmarkStart w:id="285" w:name="_Toc1723764916"/>
      <w:r>
        <w:rPr>
          <w:i w:val="0"/>
          <w:iCs w:val="0"/>
        </w:rPr>
        <w:t>第</w:t>
      </w:r>
      <w:r>
        <w:rPr>
          <w:rFonts w:hint="eastAsia"/>
          <w:i w:val="0"/>
          <w:iCs w:val="0"/>
          <w:lang w:eastAsia="zh-CN"/>
        </w:rPr>
        <w:t>五</w:t>
      </w:r>
      <w:r>
        <w:rPr>
          <w:i w:val="0"/>
          <w:iCs w:val="0"/>
        </w:rPr>
        <w:t>节</w:t>
      </w:r>
      <w:r>
        <w:rPr>
          <w:i w:val="0"/>
          <w:iCs w:val="0"/>
          <w:spacing w:val="20"/>
          <w:w w:val="150"/>
        </w:rPr>
        <w:t xml:space="preserve"> </w:t>
      </w:r>
      <w:r>
        <w:rPr>
          <w:i w:val="0"/>
          <w:iCs w:val="0"/>
        </w:rPr>
        <w:t>优化人口结构，提高人口素</w:t>
      </w:r>
      <w:r>
        <w:rPr>
          <w:i w:val="0"/>
          <w:iCs w:val="0"/>
          <w:spacing w:val="-10"/>
        </w:rPr>
        <w:t>质</w:t>
      </w:r>
      <w:bookmarkEnd w:id="282"/>
      <w:bookmarkEnd w:id="283"/>
      <w:bookmarkEnd w:id="284"/>
      <w:bookmarkEnd w:id="285"/>
    </w:p>
    <w:p w14:paraId="40D4B4D6">
      <w:pPr>
        <w:pStyle w:val="5"/>
        <w:spacing w:before="5"/>
        <w:ind w:left="0"/>
        <w:rPr>
          <w:rFonts w:ascii="楷体_GB2312"/>
          <w:b/>
          <w:i/>
          <w:sz w:val="34"/>
        </w:rPr>
      </w:pPr>
    </w:p>
    <w:p w14:paraId="30EC6867">
      <w:pPr>
        <w:pStyle w:val="5"/>
        <w:spacing w:line="363" w:lineRule="auto"/>
        <w:ind w:left="0" w:right="0" w:firstLine="552" w:firstLineChars="200"/>
        <w:jc w:val="both"/>
      </w:pPr>
      <w:r>
        <w:rPr>
          <w:spacing w:val="-2"/>
        </w:rPr>
        <w:t>稳定适度低生育水平，提高人口素质，优化人口结构，促进人口合理分布，发挥人口在国民经济、社会发展中的基础性作用，推动人口与经济社会、资源环境的协调发展，实现“人口规模适度、人口素质优良、人口结构优化、人口分布合理”的人口均衡型社会。</w:t>
      </w:r>
    </w:p>
    <w:p w14:paraId="10E0AD9D">
      <w:pPr>
        <w:pStyle w:val="5"/>
        <w:spacing w:line="363" w:lineRule="auto"/>
        <w:ind w:left="0" w:right="0" w:firstLine="552" w:firstLineChars="200"/>
        <w:jc w:val="both"/>
        <w:rPr>
          <w:spacing w:val="-2"/>
        </w:rPr>
      </w:pPr>
      <w:r>
        <w:rPr>
          <w:spacing w:val="-2"/>
        </w:rPr>
        <w:t>促进优生优育，以优化人口结构为主线，科学管理社会人口。坚持计划生育基本国策，全面落实法律法规规定的奖励优惠、扶助优先政策，完善政策措施，加大督促检查力度，积极推进计划生育利益导向机制建设。</w:t>
      </w:r>
    </w:p>
    <w:p w14:paraId="2C118CA8">
      <w:pPr>
        <w:pStyle w:val="5"/>
        <w:autoSpaceDE/>
        <w:autoSpaceDN/>
        <w:spacing w:line="363" w:lineRule="auto"/>
        <w:ind w:left="0" w:right="0" w:firstLine="552" w:firstLineChars="200"/>
        <w:jc w:val="both"/>
      </w:pPr>
      <w:r>
        <w:rPr>
          <w:spacing w:val="-2"/>
          <w:w w:val="100"/>
        </w:rPr>
        <w:t>开展地区人口计生信息化建设和应用，基本建立流动人口计划生育服务管理新体制，大力推进流动人口计划生育基本公共服务均等化。</w:t>
      </w:r>
    </w:p>
    <w:p w14:paraId="31B8346D">
      <w:pPr>
        <w:pStyle w:val="3"/>
        <w:spacing w:before="119"/>
        <w:ind w:left="0" w:right="0"/>
        <w:rPr>
          <w:i w:val="0"/>
          <w:iCs w:val="0"/>
        </w:rPr>
      </w:pPr>
      <w:bookmarkStart w:id="286" w:name="第六节  加强公共文化设施建设，丰富群众精神文化生活"/>
      <w:bookmarkEnd w:id="286"/>
      <w:bookmarkStart w:id="287" w:name="_bookmark58"/>
      <w:bookmarkEnd w:id="287"/>
      <w:bookmarkStart w:id="288" w:name="_Toc679968923"/>
      <w:bookmarkStart w:id="289" w:name="_Toc23135"/>
      <w:bookmarkStart w:id="290" w:name="_Toc1939208636"/>
      <w:bookmarkStart w:id="291" w:name="_Toc2031248574"/>
      <w:r>
        <w:rPr>
          <w:i w:val="0"/>
          <w:iCs w:val="0"/>
        </w:rPr>
        <w:t>第六</w:t>
      </w:r>
      <w:r>
        <w:rPr>
          <w:i w:val="0"/>
          <w:iCs w:val="0"/>
          <w:spacing w:val="19"/>
        </w:rPr>
        <w:t>节 加</w:t>
      </w:r>
      <w:r>
        <w:rPr>
          <w:i w:val="0"/>
          <w:iCs w:val="0"/>
        </w:rPr>
        <w:t>强公共文化设施建设，丰富群众精神文化生</w:t>
      </w:r>
      <w:r>
        <w:rPr>
          <w:i w:val="0"/>
          <w:iCs w:val="0"/>
          <w:spacing w:val="-10"/>
        </w:rPr>
        <w:t>活</w:t>
      </w:r>
      <w:bookmarkEnd w:id="288"/>
      <w:bookmarkEnd w:id="289"/>
      <w:bookmarkEnd w:id="290"/>
      <w:bookmarkEnd w:id="291"/>
    </w:p>
    <w:p w14:paraId="79EE504D">
      <w:pPr>
        <w:pStyle w:val="5"/>
        <w:spacing w:before="12"/>
        <w:ind w:left="0"/>
        <w:rPr>
          <w:rFonts w:ascii="楷体_GB2312"/>
          <w:b/>
          <w:i/>
          <w:sz w:val="31"/>
        </w:rPr>
      </w:pPr>
    </w:p>
    <w:p w14:paraId="45CF0501">
      <w:pPr>
        <w:pStyle w:val="5"/>
        <w:spacing w:line="363" w:lineRule="auto"/>
        <w:ind w:left="0" w:right="0" w:firstLine="552" w:firstLineChars="200"/>
        <w:jc w:val="both"/>
        <w:rPr>
          <w:spacing w:val="-2"/>
        </w:rPr>
      </w:pPr>
      <w:r>
        <w:rPr>
          <w:spacing w:val="-2"/>
          <w:w w:val="100"/>
        </w:rPr>
        <w:t>积极实施文化惠民工程，以完善乡镇、社区基层公共文化设施为重点，建成覆盖城乡、惠及全民的公共文化服务体系。加强文化阵地、文化队伍建设，积极推进公共文化基本运行保障机制建设，提升文化服务层次。抓好地区图书馆、哈密市回城乡历史文化名村、乡村文化体育设施配套等重点项目建设，以丰富多彩、健康向上的文化体育活动，不断满足人民群众多样化的文化需求。</w:t>
      </w:r>
    </w:p>
    <w:p w14:paraId="4F107EDF">
      <w:pPr>
        <w:pStyle w:val="5"/>
        <w:autoSpaceDE/>
        <w:autoSpaceDN/>
        <w:spacing w:before="0" w:line="363" w:lineRule="auto"/>
        <w:ind w:left="0" w:right="0" w:firstLine="552" w:firstLineChars="200"/>
        <w:jc w:val="both"/>
        <w:rPr>
          <w:spacing w:val="-2"/>
        </w:rPr>
      </w:pPr>
      <w:r>
        <w:rPr>
          <w:spacing w:val="-2"/>
        </w:rPr>
        <w:t>着力构建多元融合、充满活力、更加开放、科学发展的现代公共文化体制机制。以国家“春雨工程”和对口援疆为契机，完善公共文化体育设施布局。到 2015 年，建成地区图书馆、艺术大剧院、群众艺术馆、综合体育馆等一批重点标志性文化体育工程，县（市）、乡（镇）、</w:t>
      </w:r>
      <w:r>
        <w:t>村（社区）综合文化站（室）</w:t>
      </w:r>
      <w:r>
        <w:rPr>
          <w:spacing w:val="-8"/>
        </w:rPr>
        <w:t xml:space="preserve">建成率达到 </w:t>
      </w:r>
      <w:r>
        <w:t>100%。</w:t>
      </w:r>
    </w:p>
    <w:p w14:paraId="1D1370C0">
      <w:pPr>
        <w:pStyle w:val="5"/>
        <w:autoSpaceDE/>
        <w:autoSpaceDN/>
        <w:spacing w:line="363" w:lineRule="auto"/>
        <w:ind w:left="0" w:firstLine="552" w:firstLineChars="200"/>
        <w:jc w:val="both"/>
        <w:rPr>
          <w:spacing w:val="-2"/>
        </w:rPr>
        <w:sectPr>
          <w:pgSz w:w="11910" w:h="16840"/>
          <w:pgMar w:top="1540" w:right="1260" w:bottom="1180" w:left="1480" w:header="0" w:footer="993" w:gutter="0"/>
          <w:pgNumType w:fmt="decimal"/>
          <w:cols w:space="720" w:num="1"/>
        </w:sectPr>
      </w:pPr>
      <w:r>
        <w:rPr>
          <w:spacing w:val="-2"/>
        </w:rPr>
        <w:t>加强乡镇体育场地（设施）的建设。以提高全民身体素质和生活质量为目标，加强公共体育设施建设，合理完善体育设施布局，为各族群众提供</w:t>
      </w:r>
    </w:p>
    <w:p w14:paraId="718B5DDE">
      <w:pPr>
        <w:pStyle w:val="5"/>
        <w:spacing w:line="363" w:lineRule="auto"/>
        <w:ind w:left="0" w:right="0" w:firstLine="0" w:firstLineChars="0"/>
        <w:jc w:val="both"/>
      </w:pPr>
      <w:r>
        <w:rPr>
          <w:spacing w:val="-4"/>
        </w:rPr>
        <w:t>基本体育公共产品和体育公共服务</w:t>
      </w:r>
      <w:r>
        <w:rPr>
          <w:spacing w:val="-24"/>
        </w:rPr>
        <w:t>。“十二五”期间，城市</w:t>
      </w:r>
      <w:r>
        <w:rPr>
          <w:spacing w:val="-6"/>
        </w:rPr>
        <w:t>社区（街道和居委会</w:t>
      </w:r>
      <w:r>
        <w:rPr>
          <w:spacing w:val="-142"/>
        </w:rPr>
        <w:t>）</w:t>
      </w:r>
      <w:r>
        <w:rPr>
          <w:spacing w:val="-6"/>
        </w:rPr>
        <w:t>、行政村全部建成公共体育设施，经常性参加体</w:t>
      </w:r>
      <w:r>
        <w:rPr>
          <w:spacing w:val="-4"/>
        </w:rPr>
        <w:t xml:space="preserve">育锻炼人口达到全区人口的 </w:t>
      </w:r>
      <w:r>
        <w:t>35%。</w:t>
      </w:r>
    </w:p>
    <w:p w14:paraId="0DACB563">
      <w:pPr>
        <w:pStyle w:val="5"/>
        <w:spacing w:line="363" w:lineRule="auto"/>
        <w:ind w:left="0" w:right="0" w:firstLine="528" w:firstLineChars="200"/>
        <w:jc w:val="both"/>
      </w:pPr>
      <w:r>
        <w:rPr>
          <w:spacing w:val="-8"/>
        </w:rPr>
        <w:t>加大文物保护工作力度，健全非物质文化遗产保护体系，扶持和发</w:t>
      </w:r>
      <w:r>
        <w:rPr>
          <w:spacing w:val="-10"/>
        </w:rPr>
        <w:t>展具有哈密特色的民间文化艺术，保护濒危和稀有民间文化艺术品种。</w:t>
      </w:r>
    </w:p>
    <w:p w14:paraId="13343924">
      <w:pPr>
        <w:pStyle w:val="2"/>
        <w:tabs>
          <w:tab w:val="left" w:pos="1499"/>
        </w:tabs>
        <w:spacing w:before="105"/>
        <w:ind w:right="0"/>
      </w:pPr>
      <w:bookmarkStart w:id="292" w:name="第十三章  做好对口援建工作，推进多方融合发展"/>
      <w:bookmarkEnd w:id="292"/>
      <w:bookmarkStart w:id="293" w:name="_bookmark59"/>
      <w:bookmarkEnd w:id="293"/>
      <w:bookmarkStart w:id="294" w:name="_Toc1775790955"/>
      <w:bookmarkStart w:id="295" w:name="_Toc930663361"/>
      <w:bookmarkStart w:id="296" w:name="_Toc23428"/>
      <w:bookmarkStart w:id="297" w:name="_Toc572199924"/>
      <w:r>
        <w:t>第十三</w:t>
      </w:r>
      <w:r>
        <w:rPr>
          <w:spacing w:val="-10"/>
        </w:rPr>
        <w:t>章</w:t>
      </w:r>
      <w:r>
        <w:tab/>
      </w:r>
      <w:r>
        <w:t>做好对口援建工作，推进多方融合发</w:t>
      </w:r>
      <w:r>
        <w:rPr>
          <w:spacing w:val="-10"/>
        </w:rPr>
        <w:t>展</w:t>
      </w:r>
      <w:bookmarkEnd w:id="294"/>
      <w:bookmarkEnd w:id="295"/>
      <w:bookmarkEnd w:id="296"/>
      <w:bookmarkEnd w:id="297"/>
    </w:p>
    <w:p w14:paraId="32135543">
      <w:pPr>
        <w:pStyle w:val="5"/>
        <w:spacing w:before="4"/>
        <w:ind w:left="0"/>
        <w:rPr>
          <w:rFonts w:ascii="黑体"/>
          <w:sz w:val="33"/>
        </w:rPr>
      </w:pPr>
    </w:p>
    <w:p w14:paraId="094DBF0B">
      <w:pPr>
        <w:pStyle w:val="5"/>
        <w:spacing w:before="0" w:line="363" w:lineRule="auto"/>
        <w:ind w:left="0" w:right="0" w:firstLine="528" w:firstLineChars="200"/>
        <w:jc w:val="both"/>
        <w:rPr>
          <w:spacing w:val="-8"/>
        </w:rPr>
      </w:pPr>
      <w:r>
        <w:rPr>
          <w:spacing w:val="-8"/>
        </w:rPr>
        <w:t>按照区域统筹协调发展要求，坚持融合发展，全力做好对口援建工作，大力推进兵地、铁地、油地和矿地之间的融合发展，形成哈密跨越式发展的强大合力。</w:t>
      </w:r>
    </w:p>
    <w:p w14:paraId="3847C19D">
      <w:pPr>
        <w:pStyle w:val="3"/>
        <w:spacing w:before="131"/>
        <w:ind w:left="0" w:right="0"/>
        <w:rPr>
          <w:i w:val="0"/>
          <w:iCs w:val="0"/>
        </w:rPr>
      </w:pPr>
      <w:bookmarkStart w:id="298" w:name="_bookmark60"/>
      <w:bookmarkEnd w:id="298"/>
      <w:bookmarkStart w:id="299" w:name="第一节  做好对口援建工作，完善全方位援疆工作机制"/>
      <w:bookmarkEnd w:id="299"/>
      <w:bookmarkStart w:id="300" w:name="_Toc12157"/>
      <w:bookmarkStart w:id="301" w:name="_Toc1299621841"/>
      <w:bookmarkStart w:id="302" w:name="_Toc1437460333"/>
      <w:bookmarkStart w:id="303" w:name="_Toc776081661"/>
      <w:r>
        <w:rPr>
          <w:i w:val="0"/>
          <w:iCs w:val="0"/>
        </w:rPr>
        <w:t>第一</w:t>
      </w:r>
      <w:r>
        <w:rPr>
          <w:i w:val="0"/>
          <w:iCs w:val="0"/>
          <w:spacing w:val="21"/>
        </w:rPr>
        <w:t>节 做</w:t>
      </w:r>
      <w:r>
        <w:rPr>
          <w:i w:val="0"/>
          <w:iCs w:val="0"/>
        </w:rPr>
        <w:t>好对口援建工作，完善全方位援疆工作机</w:t>
      </w:r>
      <w:r>
        <w:rPr>
          <w:i w:val="0"/>
          <w:iCs w:val="0"/>
          <w:spacing w:val="-10"/>
        </w:rPr>
        <w:t>制</w:t>
      </w:r>
      <w:bookmarkEnd w:id="300"/>
      <w:bookmarkEnd w:id="301"/>
      <w:bookmarkEnd w:id="302"/>
      <w:bookmarkEnd w:id="303"/>
    </w:p>
    <w:p w14:paraId="7FFED67D">
      <w:pPr>
        <w:pStyle w:val="5"/>
        <w:spacing w:before="5"/>
        <w:ind w:left="0"/>
        <w:rPr>
          <w:rFonts w:ascii="楷体_GB2312"/>
          <w:b/>
          <w:i/>
          <w:sz w:val="34"/>
        </w:rPr>
      </w:pPr>
    </w:p>
    <w:p w14:paraId="17D34338">
      <w:pPr>
        <w:pStyle w:val="5"/>
        <w:spacing w:line="363" w:lineRule="auto"/>
        <w:ind w:left="0" w:right="0" w:firstLine="528" w:firstLineChars="200"/>
        <w:jc w:val="both"/>
        <w:rPr>
          <w:spacing w:val="-8"/>
        </w:rPr>
      </w:pPr>
      <w:r>
        <w:rPr>
          <w:spacing w:val="-8"/>
        </w:rPr>
        <w:t>深入贯彻落实中央新疆工作座谈会、全国对口支援新疆工作会议以及自治区党委七届九次、十次全委（扩大）会议精神，紧紧抓住河南省对口援助哈密的重大历史性机遇，解放思想，开拓创新，充分发挥自身主体作用和内在动力，坚持把自力更生、艰苦奋斗与河南省在人才、技术、管理、资金等方面的大力援助相结合，按照“互惠互利、优势互补、长期合作、共同发展”的原则，加强交流与合作，形成经济援疆、干部援疆、人才援疆、教育援疆的全方位援疆工作格局。</w:t>
      </w:r>
    </w:p>
    <w:p w14:paraId="18AA6D3C">
      <w:pPr>
        <w:pStyle w:val="5"/>
        <w:spacing w:line="363" w:lineRule="auto"/>
        <w:ind w:left="0" w:firstLine="528" w:firstLineChars="200"/>
        <w:jc w:val="both"/>
      </w:pPr>
      <w:r>
        <w:rPr>
          <w:spacing w:val="-8"/>
        </w:rPr>
        <w:t>“十二五”期间，坚持做到八个结合：资金援助与引进经济贸易、技术管理、人才智力、管理机制等援助相结合；“输血”型援助与“造血”型援助相结合；小型基础设施建设与改变农村、基层社区和贫困地区生产生活面貌相结合；加快社会事业与改善民生相结合；加大投资、加快发展与调整产业结构、转变发展方式、提高发展质量和效益相结合；加快经济社会发展与维护社会稳定相结合；争取外援与激发内在动力、务求实效相结合；坚持全面发展与有所为有所不为，有保有压、有进有退相结合。</w:t>
      </w:r>
    </w:p>
    <w:p w14:paraId="7E037B60">
      <w:pPr>
        <w:spacing w:after="0" w:line="347" w:lineRule="exact"/>
        <w:rPr>
          <w:sz w:val="28"/>
          <w:szCs w:val="28"/>
        </w:rPr>
        <w:sectPr>
          <w:pgSz w:w="11910" w:h="16840"/>
          <w:pgMar w:top="1540" w:right="1260" w:bottom="1180" w:left="1480" w:header="0" w:footer="993" w:gutter="0"/>
          <w:pgNumType w:fmt="decimal"/>
          <w:cols w:space="720" w:num="1"/>
        </w:sectPr>
      </w:pPr>
    </w:p>
    <w:p w14:paraId="7C0B92F5">
      <w:pPr>
        <w:pStyle w:val="5"/>
        <w:spacing w:line="363" w:lineRule="auto"/>
        <w:ind w:left="0" w:firstLine="528" w:firstLineChars="200"/>
        <w:jc w:val="both"/>
        <w:rPr>
          <w:spacing w:val="-8"/>
        </w:rPr>
      </w:pPr>
      <w:r>
        <w:rPr>
          <w:spacing w:val="-8"/>
        </w:rPr>
        <w:t>围绕农村基础设施建设、牧民搬迁定居工程建设、保障性住房建设、就业及社会救助工作、社会事业发展、小城镇建设、特色产业发展和基层政权建设等八个重点，实施“十大援疆工程”。到 2015 年，借助对口援疆工作平台，使哈密地区经济发展明显加快、各族群众生活明显改善、城乡面貌明显改观、公共服务水平明显提高、基层组织建设明显加强。经过</w:t>
      </w:r>
      <w:r>
        <w:rPr>
          <w:spacing w:val="-8"/>
          <w:w w:val="100"/>
        </w:rPr>
        <w:t xml:space="preserve"> </w:t>
      </w:r>
      <w:r>
        <w:rPr>
          <w:spacing w:val="-8"/>
        </w:rPr>
        <w:t>10年的不懈努力，确保在 2020 年率先实现全面建设小康社会的目标。</w:t>
      </w:r>
    </w:p>
    <w:p w14:paraId="047DD367">
      <w:pPr>
        <w:pStyle w:val="5"/>
        <w:spacing w:before="8"/>
        <w:ind w:left="0"/>
        <w:rPr>
          <w:sz w:val="5"/>
        </w:rPr>
      </w:pPr>
      <w:r>
        <w:pict>
          <v:group id="docshapegroup44" o:spid="_x0000_s1063" o:spt="203" style="position:absolute;left:0pt;margin-left:85pt;margin-top:4.8pt;height:101.1pt;width:414.75pt;mso-position-horizontal-relative:page;mso-wrap-distance-bottom:0pt;mso-wrap-distance-top:0pt;z-index:-251643904;mso-width-relative:page;mso-height-relative:page;" coordorigin="1701,97" coordsize="8295,2022">
            <o:lock v:ext="edit"/>
            <v:shape id="docshape45" o:spid="_x0000_s1064" style="position:absolute;left:1700;top:96;height:2022;width:8295;" fillcolor="#000000" filled="t" stroked="f" coordorigin="1701,97" coordsize="8295,2022" path="m9996,2119l1701,2119,1701,97,9996,97,9996,104,1716,104,1708,112,1716,112,1716,2104,1708,2104,1716,2111,9996,2111,9996,2119xm1716,112l1708,112,1716,104,1716,112xm9981,112l1716,112,1716,104,9981,104,9981,112xm9981,2111l9981,104,9988,112,9996,112,9996,2104,9988,2104,9981,2111xm9996,112l9988,112,9981,104,9996,104,9996,112xm1716,2111l1708,2104,1716,2104,1716,2111xm9981,2111l1716,2111,1716,2104,9981,2104,9981,2111xm9996,2111l9981,2111,9988,2104,9996,2104,9996,2111xe">
              <v:path arrowok="t"/>
              <v:fill on="t" focussize="0,0"/>
              <v:stroke on="f"/>
              <v:imagedata o:title=""/>
              <o:lock v:ext="edit"/>
            </v:shape>
            <v:shape id="docshape46" o:spid="_x0000_s1065" o:spt="202" type="#_x0000_t202" style="position:absolute;left:1700;top:96;height:2022;width:8295;" filled="f" stroked="f" coordsize="21600,21600">
              <v:path/>
              <v:fill on="f" focussize="0,0"/>
              <v:stroke on="f" joinstyle="miter"/>
              <v:imagedata o:title=""/>
              <o:lock v:ext="edit"/>
              <v:textbox inset="0mm,0mm,0mm,0mm">
                <w:txbxContent>
                  <w:p w14:paraId="638AB159">
                    <w:pPr>
                      <w:spacing w:before="6" w:line="240" w:lineRule="auto"/>
                      <w:rPr>
                        <w:sz w:val="14"/>
                      </w:rPr>
                    </w:pPr>
                  </w:p>
                  <w:p w14:paraId="29A640B6">
                    <w:pPr>
                      <w:spacing w:before="0"/>
                      <w:ind w:left="2799" w:right="2800" w:firstLine="0"/>
                      <w:jc w:val="center"/>
                      <w:rPr>
                        <w:rFonts w:hint="eastAsia" w:ascii="黑体" w:eastAsia="黑体"/>
                        <w:b/>
                        <w:sz w:val="21"/>
                      </w:rPr>
                    </w:pPr>
                    <w:r>
                      <w:rPr>
                        <w:rFonts w:hint="eastAsia" w:ascii="黑体" w:eastAsia="黑体"/>
                        <w:b/>
                        <w:spacing w:val="-17"/>
                        <w:sz w:val="21"/>
                      </w:rPr>
                      <w:t xml:space="preserve">专栏 </w:t>
                    </w:r>
                    <w:r>
                      <w:rPr>
                        <w:rFonts w:hint="eastAsia" w:ascii="黑体" w:eastAsia="黑体"/>
                        <w:b/>
                        <w:sz w:val="21"/>
                      </w:rPr>
                      <w:t>13-1</w:t>
                    </w:r>
                    <w:r>
                      <w:rPr>
                        <w:rFonts w:hint="eastAsia" w:ascii="黑体" w:eastAsia="黑体"/>
                        <w:b/>
                        <w:spacing w:val="41"/>
                        <w:w w:val="150"/>
                        <w:sz w:val="21"/>
                      </w:rPr>
                      <w:t xml:space="preserve"> </w:t>
                    </w:r>
                    <w:r>
                      <w:rPr>
                        <w:rFonts w:hint="eastAsia" w:ascii="黑体" w:eastAsia="黑体"/>
                        <w:b/>
                        <w:sz w:val="21"/>
                      </w:rPr>
                      <w:t>十大援</w:t>
                    </w:r>
                    <w:r>
                      <w:rPr>
                        <w:rFonts w:hint="eastAsia" w:ascii="黑体" w:eastAsia="黑体"/>
                        <w:b/>
                        <w:spacing w:val="-4"/>
                        <w:sz w:val="21"/>
                      </w:rPr>
                      <w:t>疆工程</w:t>
                    </w:r>
                  </w:p>
                  <w:p w14:paraId="68A39052">
                    <w:pPr>
                      <w:spacing w:before="8" w:line="460" w:lineRule="atLeast"/>
                      <w:ind w:left="159" w:right="155" w:firstLine="420"/>
                      <w:jc w:val="both"/>
                      <w:rPr>
                        <w:rFonts w:ascii="宋体" w:eastAsia="宋体"/>
                        <w:sz w:val="21"/>
                      </w:rPr>
                    </w:pPr>
                    <w:r>
                      <w:rPr>
                        <w:rFonts w:ascii="宋体" w:eastAsia="宋体"/>
                        <w:spacing w:val="-2"/>
                        <w:sz w:val="21"/>
                      </w:rPr>
                      <w:t>富民援疆工程、安居援疆工程、教育援疆工程、干部人才培养援疆工程、医疗卫生援疆工程、中小农牧水利建设援疆工程、特色产业培育援疆工程、科技创新援疆工程、基层组织阵地建设援疆工程、文化体育惠民援疆工程。</w:t>
                    </w:r>
                  </w:p>
                </w:txbxContent>
              </v:textbox>
            </v:shape>
            <w10:wrap type="topAndBottom"/>
          </v:group>
        </w:pict>
      </w:r>
    </w:p>
    <w:p w14:paraId="29AFB2BA">
      <w:pPr>
        <w:pStyle w:val="5"/>
        <w:spacing w:before="2"/>
        <w:ind w:left="0"/>
        <w:rPr>
          <w:sz w:val="24"/>
        </w:rPr>
      </w:pPr>
    </w:p>
    <w:p w14:paraId="186738A1">
      <w:pPr>
        <w:pStyle w:val="3"/>
        <w:spacing w:before="61"/>
        <w:ind w:left="0" w:right="0"/>
        <w:rPr>
          <w:i w:val="0"/>
          <w:iCs w:val="0"/>
        </w:rPr>
      </w:pPr>
      <w:bookmarkStart w:id="304" w:name="_bookmark61"/>
      <w:bookmarkEnd w:id="304"/>
      <w:bookmarkStart w:id="305" w:name="第二节  推进多方融合发展，形成跨越式发展强大合力"/>
      <w:bookmarkEnd w:id="305"/>
      <w:bookmarkStart w:id="306" w:name="_Toc3082"/>
      <w:bookmarkStart w:id="307" w:name="_Toc823535386"/>
      <w:bookmarkStart w:id="308" w:name="_Toc2044129260"/>
      <w:bookmarkStart w:id="309" w:name="_Toc1223929747"/>
      <w:r>
        <w:rPr>
          <w:i w:val="0"/>
          <w:iCs w:val="0"/>
        </w:rPr>
        <w:t>第二</w:t>
      </w:r>
      <w:r>
        <w:rPr>
          <w:i w:val="0"/>
          <w:iCs w:val="0"/>
          <w:spacing w:val="21"/>
        </w:rPr>
        <w:t>节 推</w:t>
      </w:r>
      <w:r>
        <w:rPr>
          <w:i w:val="0"/>
          <w:iCs w:val="0"/>
        </w:rPr>
        <w:t>进多方融合发展，形成跨越式发展强大合</w:t>
      </w:r>
      <w:r>
        <w:rPr>
          <w:i w:val="0"/>
          <w:iCs w:val="0"/>
          <w:spacing w:val="-10"/>
        </w:rPr>
        <w:t>力</w:t>
      </w:r>
      <w:bookmarkEnd w:id="306"/>
      <w:bookmarkEnd w:id="307"/>
      <w:bookmarkEnd w:id="308"/>
      <w:bookmarkEnd w:id="309"/>
    </w:p>
    <w:p w14:paraId="21C2797B">
      <w:pPr>
        <w:pStyle w:val="5"/>
        <w:spacing w:before="5"/>
        <w:ind w:left="0"/>
        <w:rPr>
          <w:rFonts w:ascii="楷体_GB2312"/>
          <w:b/>
          <w:i/>
          <w:sz w:val="34"/>
        </w:rPr>
      </w:pPr>
    </w:p>
    <w:p w14:paraId="1692142C">
      <w:pPr>
        <w:pStyle w:val="5"/>
        <w:spacing w:before="0" w:line="363" w:lineRule="auto"/>
        <w:ind w:left="0" w:firstLine="528" w:firstLineChars="200"/>
        <w:jc w:val="both"/>
        <w:rPr>
          <w:spacing w:val="-8"/>
        </w:rPr>
      </w:pPr>
      <w:r>
        <w:rPr>
          <w:spacing w:val="-8"/>
        </w:rPr>
        <w:t>进一步发挥兵地各自优势，共同争取国家资金，加快推进哈密重点基础设施项目建设。支持</w:t>
      </w:r>
      <w:r>
        <w:rPr>
          <w:rFonts w:hint="default"/>
          <w:spacing w:val="-2"/>
          <w:lang w:eastAsia="zh-CN"/>
        </w:rPr>
        <w:t>新疆生产建设兵团</w:t>
      </w:r>
      <w:r>
        <w:rPr>
          <w:spacing w:val="-2"/>
        </w:rPr>
        <w:t>农十三师</w:t>
      </w:r>
      <w:r>
        <w:rPr>
          <w:spacing w:val="-8"/>
        </w:rPr>
        <w:t>推进大营房城区的开发建设，多渠道争取中央资金加快棚户区改造和大营房城区基础设施建设。共同落实“土地零开荒”政策，进一步加强在土地管理中的协作与配合。探索兵地联合招商新机制，共同协商制定和落实相关优惠政策。切实解决兵地融合发展中存在“基层板结”的问题，在县市、团场、乡镇、连村和兵地群众中形成融合发展、合作共赢的良好氛围。</w:t>
      </w:r>
    </w:p>
    <w:p w14:paraId="77280C40">
      <w:pPr>
        <w:pStyle w:val="5"/>
        <w:spacing w:before="0" w:line="363" w:lineRule="auto"/>
        <w:ind w:left="0" w:right="0" w:firstLine="528" w:firstLineChars="200"/>
        <w:jc w:val="both"/>
        <w:rPr>
          <w:spacing w:val="-8"/>
        </w:rPr>
      </w:pPr>
      <w:r>
        <w:rPr>
          <w:spacing w:val="-8"/>
        </w:rPr>
        <w:t>积极支持吐哈油气资源勘探开发和油田产能建设，配合吐哈油田公司做好电力供应、通讯保障、土地征用和用水等方面的工作。加强吐哈石油生活基地和哈密市区在市政设施上的共享共建。共同支持三塘湖输电工程建设。</w:t>
      </w:r>
    </w:p>
    <w:p w14:paraId="274F23FF">
      <w:pPr>
        <w:pStyle w:val="5"/>
        <w:spacing w:line="363" w:lineRule="auto"/>
        <w:ind w:left="0" w:right="0" w:firstLine="528" w:firstLineChars="200"/>
        <w:jc w:val="both"/>
        <w:rPr>
          <w:spacing w:val="-8"/>
        </w:rPr>
      </w:pPr>
      <w:r>
        <w:rPr>
          <w:spacing w:val="-8"/>
        </w:rPr>
        <w:t>继续巩固和完善铁地协调机制，最大限度争取铁路运力支持，切实提升当地产品铁路运输运量与区域工业经济同步增长，确保当地产品及时外销外运。支援铁路建设，有效做好各项协调服务工作。</w:t>
      </w:r>
    </w:p>
    <w:p w14:paraId="6A85EFDD">
      <w:pPr>
        <w:pStyle w:val="5"/>
        <w:spacing w:line="363" w:lineRule="auto"/>
        <w:ind w:left="0" w:right="0" w:firstLine="528" w:firstLineChars="200"/>
        <w:jc w:val="both"/>
        <w:rPr>
          <w:spacing w:val="-8"/>
        </w:rPr>
      </w:pPr>
      <w:r>
        <w:rPr>
          <w:spacing w:val="-8"/>
        </w:rPr>
        <w:t>加大石油资源的勘探开发利用，重点支持在三塘湖、淖毛湖、红台等区域加大勘探力度，力求取得新的资源储量突破。积极支持企业的生产和发展，全力支持煤炭生产与外运基地建设，煤电产业发展。加强矿区生活基地建设、棚户区改造相关协调服务工作，进一步改善矿区职工的生产生活环境。开展“百企帮百村，共建新农村”活动，促进地区各项社会事业快速发展。</w:t>
      </w:r>
    </w:p>
    <w:p w14:paraId="756908EC">
      <w:pPr>
        <w:pStyle w:val="2"/>
        <w:tabs>
          <w:tab w:val="left" w:pos="1499"/>
        </w:tabs>
        <w:spacing w:before="102"/>
        <w:ind w:right="0"/>
      </w:pPr>
      <w:bookmarkStart w:id="310" w:name="第十四章  深化改革扩大开放，构建科学发展体制"/>
      <w:bookmarkEnd w:id="310"/>
      <w:bookmarkStart w:id="311" w:name="_bookmark62"/>
      <w:bookmarkEnd w:id="311"/>
      <w:bookmarkStart w:id="312" w:name="_Toc406276838"/>
      <w:bookmarkStart w:id="313" w:name="_Toc1838084190"/>
      <w:bookmarkStart w:id="314" w:name="_Toc4329"/>
      <w:bookmarkStart w:id="315" w:name="_Toc422710174"/>
      <w:r>
        <w:t>第十四</w:t>
      </w:r>
      <w:r>
        <w:rPr>
          <w:spacing w:val="-10"/>
        </w:rPr>
        <w:t>章</w:t>
      </w:r>
      <w:r>
        <w:tab/>
      </w:r>
      <w:r>
        <w:t>深化改革扩大开放，构建科学发展体</w:t>
      </w:r>
      <w:r>
        <w:rPr>
          <w:spacing w:val="-10"/>
        </w:rPr>
        <w:t>制</w:t>
      </w:r>
      <w:bookmarkEnd w:id="312"/>
      <w:bookmarkEnd w:id="313"/>
      <w:bookmarkEnd w:id="314"/>
      <w:bookmarkEnd w:id="315"/>
    </w:p>
    <w:p w14:paraId="20ABC6CA">
      <w:pPr>
        <w:pStyle w:val="5"/>
        <w:spacing w:before="11"/>
        <w:ind w:left="0"/>
        <w:rPr>
          <w:rFonts w:ascii="黑体"/>
          <w:sz w:val="31"/>
        </w:rPr>
      </w:pPr>
    </w:p>
    <w:p w14:paraId="6A9B980D">
      <w:pPr>
        <w:pStyle w:val="3"/>
        <w:ind w:left="0" w:right="0"/>
      </w:pPr>
      <w:bookmarkStart w:id="316" w:name="_bookmark63"/>
      <w:bookmarkEnd w:id="316"/>
      <w:bookmarkStart w:id="317" w:name="第一节  建立高效行政体系，优化区域发展环境"/>
      <w:bookmarkEnd w:id="317"/>
      <w:bookmarkStart w:id="318" w:name="_Toc456775381"/>
      <w:bookmarkStart w:id="319" w:name="_Toc1016824883"/>
      <w:bookmarkStart w:id="320" w:name="_Toc1767"/>
      <w:bookmarkStart w:id="321" w:name="_Toc596479511"/>
      <w:r>
        <w:rPr>
          <w:i w:val="0"/>
          <w:iCs w:val="0"/>
        </w:rPr>
        <w:t>第一</w:t>
      </w:r>
      <w:r>
        <w:rPr>
          <w:i w:val="0"/>
          <w:iCs w:val="0"/>
          <w:spacing w:val="24"/>
        </w:rPr>
        <w:t>节 建</w:t>
      </w:r>
      <w:r>
        <w:rPr>
          <w:i w:val="0"/>
          <w:iCs w:val="0"/>
        </w:rPr>
        <w:t>立高效行政体系，优化区域发展环</w:t>
      </w:r>
      <w:r>
        <w:rPr>
          <w:i w:val="0"/>
          <w:iCs w:val="0"/>
          <w:spacing w:val="-10"/>
        </w:rPr>
        <w:t>境</w:t>
      </w:r>
      <w:bookmarkEnd w:id="318"/>
      <w:bookmarkEnd w:id="319"/>
      <w:bookmarkEnd w:id="320"/>
      <w:bookmarkEnd w:id="321"/>
    </w:p>
    <w:p w14:paraId="48925F4D">
      <w:pPr>
        <w:pStyle w:val="5"/>
        <w:spacing w:before="5"/>
        <w:ind w:left="0"/>
        <w:rPr>
          <w:rFonts w:ascii="楷体_GB2312"/>
          <w:b/>
          <w:i/>
          <w:sz w:val="34"/>
        </w:rPr>
      </w:pPr>
    </w:p>
    <w:p w14:paraId="2DD75486">
      <w:pPr>
        <w:pStyle w:val="5"/>
        <w:spacing w:line="363" w:lineRule="auto"/>
        <w:ind w:left="0" w:right="0" w:firstLine="528" w:firstLineChars="200"/>
        <w:jc w:val="both"/>
        <w:rPr>
          <w:spacing w:val="-8"/>
        </w:rPr>
      </w:pPr>
      <w:r>
        <w:rPr>
          <w:spacing w:val="-8"/>
        </w:rPr>
        <w:t>贯彻实施《</w:t>
      </w:r>
      <w:r>
        <w:rPr>
          <w:rFonts w:hint="default"/>
          <w:spacing w:val="-8"/>
          <w:lang w:eastAsia="zh-CN"/>
        </w:rPr>
        <w:t>中华人民共和国</w:t>
      </w:r>
      <w:r>
        <w:rPr>
          <w:spacing w:val="-8"/>
        </w:rPr>
        <w:t>行政许可法》，强化政府层级监督，推进政府依法行政。积极推进政务公开，强化行政问责制度，建立违法责任追究制度，完善政府决策机制。进一步提高各级政府的行政效能，努力创造廉洁高效的政务环境、公平公正的法制环境、规范诚信的市场环境与和谐稳定的社会环境。</w:t>
      </w:r>
    </w:p>
    <w:p w14:paraId="0EE933B7">
      <w:pPr>
        <w:pStyle w:val="5"/>
        <w:spacing w:before="0" w:line="363" w:lineRule="auto"/>
        <w:ind w:left="0" w:leftChars="0" w:right="0" w:firstLine="528" w:firstLineChars="200"/>
        <w:jc w:val="both"/>
      </w:pPr>
      <w:r>
        <w:rPr>
          <w:spacing w:val="-8"/>
        </w:rPr>
        <w:t>鼓励、支持和引导非公有制经济发展。注重发挥非公有制经济在新型工业化建设中的重要支撑作用，降低门槛，非禁即入，推进非公经济向社会化、市场化、现代化方向发展。进一步优化和完善政策环</w:t>
      </w:r>
      <w:r>
        <w:rPr>
          <w:spacing w:val="-2"/>
        </w:rPr>
        <w:t>境，研究制定促进非公经济和中小企业发展的优惠政策，在政策扶持、市场准入和监督管理，以及投资、融资、税收和土地等方面，加强和改进对非公有制企业的服务与监管，不断提高和拓宽非公有制经济发展的地位和领域。</w:t>
      </w:r>
    </w:p>
    <w:p w14:paraId="31C4D92F">
      <w:pPr>
        <w:pStyle w:val="5"/>
        <w:spacing w:line="363" w:lineRule="auto"/>
        <w:ind w:left="0" w:right="0" w:firstLine="552" w:firstLineChars="200"/>
        <w:jc w:val="both"/>
      </w:pPr>
      <w:r>
        <w:rPr>
          <w:spacing w:val="-2"/>
        </w:rPr>
        <w:t>加快推进财税改革，建立符合地区实际的公共财政和税收管理体</w:t>
      </w:r>
      <w:r>
        <w:rPr>
          <w:spacing w:val="-9"/>
        </w:rPr>
        <w:t>系。改革县乡财政管理体制，积极推行“乡财县管乡用”，巩固农村税</w:t>
      </w:r>
      <w:r>
        <w:rPr>
          <w:spacing w:val="-14"/>
        </w:rPr>
        <w:t>费改革成果。积极稳妥地推进政府收支分类改革，加强政府债务管理，</w:t>
      </w:r>
      <w:r>
        <w:rPr>
          <w:spacing w:val="-2"/>
        </w:rPr>
        <w:t>建立政府债务风险防范和化解机制。加强和规范税收管理，积极落实中央、自治区税制改革政策，完善地方税收体系。</w:t>
      </w:r>
    </w:p>
    <w:p w14:paraId="285BBE8D">
      <w:pPr>
        <w:pStyle w:val="5"/>
        <w:spacing w:line="363" w:lineRule="auto"/>
        <w:ind w:left="0" w:right="0" w:firstLine="552" w:firstLineChars="200"/>
        <w:jc w:val="both"/>
      </w:pPr>
      <w:r>
        <w:rPr>
          <w:spacing w:val="-2"/>
        </w:rPr>
        <w:t>继续深化金融体制改革，进一步增强金融支持地方经济发展的功能。按照现代化商业银行的要求，完善哈密城市商业银行的体制。进一步加快农村金融体制改革，建立机制灵活、功能完善的农村金融服务体系。加快农村和城市信用社改革步伐，拓展村镇银行网点，形成</w:t>
      </w:r>
      <w:r>
        <w:rPr>
          <w:spacing w:val="-14"/>
        </w:rPr>
        <w:t>新的融资渠道，促使大量社会闲散资金有效积聚并快速进入投资领域。</w:t>
      </w:r>
    </w:p>
    <w:p w14:paraId="299C34E6">
      <w:pPr>
        <w:pStyle w:val="5"/>
        <w:spacing w:line="363" w:lineRule="auto"/>
        <w:ind w:left="0" w:right="0" w:firstLine="536" w:firstLineChars="200"/>
        <w:jc w:val="both"/>
      </w:pPr>
      <w:r>
        <w:rPr>
          <w:spacing w:val="-6"/>
        </w:rPr>
        <w:t>推行现代流通方式，发展壮大商品市场，培育和发展资本、土地、</w:t>
      </w:r>
      <w:r>
        <w:rPr>
          <w:spacing w:val="-2"/>
        </w:rPr>
        <w:t>技术和劳动力等要素市场。努力解决民生价格问题，继续完善价格管</w:t>
      </w:r>
      <w:r>
        <w:rPr>
          <w:spacing w:val="-6"/>
        </w:rPr>
        <w:t>理政策。继续深化收费管理体制改革，健全收费制度，加强收费管理，</w:t>
      </w:r>
      <w:r>
        <w:rPr>
          <w:spacing w:val="-2"/>
        </w:rPr>
        <w:t>引导和规范收费行为，形成行为规范、公正透明的收费运行机制。整顿和规范市场秩序。</w:t>
      </w:r>
    </w:p>
    <w:p w14:paraId="31FBAEDE">
      <w:pPr>
        <w:pStyle w:val="3"/>
        <w:spacing w:before="102"/>
        <w:ind w:left="0" w:right="0"/>
        <w:rPr>
          <w:i w:val="0"/>
          <w:iCs w:val="0"/>
        </w:rPr>
      </w:pPr>
      <w:bookmarkStart w:id="322" w:name="_Toc23183"/>
      <w:bookmarkStart w:id="323" w:name="_Toc1417445141"/>
      <w:bookmarkStart w:id="324" w:name="_Toc578248586"/>
      <w:r>
        <w:rPr>
          <w:i w:val="0"/>
          <w:iCs w:val="0"/>
        </w:rPr>
        <w:t>第二</w:t>
      </w:r>
      <w:r>
        <w:rPr>
          <w:i w:val="0"/>
          <w:iCs w:val="0"/>
          <w:spacing w:val="24"/>
        </w:rPr>
        <w:t>节 加</w:t>
      </w:r>
      <w:r>
        <w:rPr>
          <w:i w:val="0"/>
          <w:iCs w:val="0"/>
        </w:rPr>
        <w:t>大招商引资力度，提升对外开放水</w:t>
      </w:r>
      <w:r>
        <w:rPr>
          <w:i w:val="0"/>
          <w:iCs w:val="0"/>
          <w:spacing w:val="-10"/>
        </w:rPr>
        <w:t>平</w:t>
      </w:r>
      <w:bookmarkEnd w:id="322"/>
      <w:bookmarkEnd w:id="323"/>
      <w:bookmarkEnd w:id="324"/>
    </w:p>
    <w:p w14:paraId="7060C4DD">
      <w:pPr>
        <w:pStyle w:val="5"/>
        <w:spacing w:before="5"/>
        <w:ind w:left="0"/>
        <w:rPr>
          <w:rFonts w:ascii="楷体_GB2312"/>
          <w:b/>
          <w:i/>
          <w:sz w:val="34"/>
        </w:rPr>
      </w:pPr>
    </w:p>
    <w:p w14:paraId="5B81DEC5">
      <w:pPr>
        <w:pStyle w:val="5"/>
        <w:spacing w:before="0" w:line="363" w:lineRule="auto"/>
        <w:ind w:left="0" w:right="0" w:firstLine="468" w:firstLineChars="200"/>
        <w:jc w:val="both"/>
      </w:pPr>
      <w:r>
        <w:rPr>
          <w:spacing w:val="-23"/>
        </w:rPr>
        <w:t>进一步完善招商引资优惠政策，体现“新疆效率”和“哈密速度”，</w:t>
      </w:r>
      <w:r>
        <w:rPr>
          <w:spacing w:val="-6"/>
        </w:rPr>
        <w:t>按照科学发展、产业导向、节能减排的原则，努力营造“亲商、重商、</w:t>
      </w:r>
      <w:r>
        <w:rPr>
          <w:spacing w:val="-2"/>
        </w:rPr>
        <w:t>优商、安商”的良好投资环境，进一步加大招商引资力度。转变招商引资的观念和方式，以选商选资为重点，选择有诚信、有项目、有实力的大企业大集团入驻哈密开发建设，同时，积极引进下游产业，形成较为完善的产业体系。以各种招商引资活动为平台，大力宣传推介哈密地区优势资源，进一步打破行政界</w:t>
      </w:r>
      <w:r>
        <w:rPr>
          <w:rFonts w:hint="eastAsia"/>
          <w:spacing w:val="-2"/>
          <w:lang w:eastAsia="zh-CN"/>
        </w:rPr>
        <w:t>限</w:t>
      </w:r>
      <w:r>
        <w:rPr>
          <w:spacing w:val="-2"/>
        </w:rPr>
        <w:t>、行业隶属关系、所有制关系，用市场经济的手段来解决在招商引资中的各种壁垒。有效发挥园区招商平台作用，带动工业加工项目向园区集中，起到示范和带动效</w:t>
      </w:r>
      <w:r>
        <w:rPr>
          <w:spacing w:val="-6"/>
        </w:rPr>
        <w:t>应。</w:t>
      </w:r>
    </w:p>
    <w:p w14:paraId="4D66DBAE">
      <w:pPr>
        <w:pStyle w:val="5"/>
        <w:spacing w:after="0" w:line="363" w:lineRule="auto"/>
        <w:ind w:left="0" w:right="0" w:firstLine="552" w:firstLineChars="200"/>
        <w:jc w:val="both"/>
        <w:rPr>
          <w:spacing w:val="-2"/>
        </w:rPr>
      </w:pPr>
      <w:r>
        <w:rPr>
          <w:spacing w:val="-2"/>
        </w:rPr>
        <w:t>加快老爷庙口岸迁建工作，加大口岸基础设施建设投资力度，完善口岸服务功能，把老爷庙口岸打造成国际性常年开放口岸。积极扩大口岸贸易，开拓国内外矿产资源市场，形成区域经济新的增长点，建成我国连接东西、面向国际重要的对外贸易物流港和资源性产品进出口基地。</w:t>
      </w:r>
    </w:p>
    <w:p w14:paraId="607B0342">
      <w:pPr>
        <w:pStyle w:val="5"/>
        <w:spacing w:after="0" w:line="363" w:lineRule="auto"/>
        <w:ind w:left="0" w:right="0" w:firstLine="504" w:firstLineChars="200"/>
        <w:jc w:val="both"/>
        <w:rPr>
          <w:spacing w:val="-2"/>
        </w:rPr>
      </w:pPr>
      <w:r>
        <w:rPr>
          <w:spacing w:val="-14"/>
        </w:rPr>
        <w:t>灵活运用国家、自治区外经贸政策，进一步扩大和完善补偿贸易、</w:t>
      </w:r>
      <w:r>
        <w:rPr>
          <w:spacing w:val="-2"/>
        </w:rPr>
        <w:t xml:space="preserve">加工贸易、对销贸易、旅游贸易、边境小额贸易和劳务输出。创新外资利用方式，促进外商投资。鼓励所有非限制性领域向民间资本全面开放，积极承接中东部地区产业转移，鼓励具有一定经济实力和先进技术的企业，通过各种形式嫁接本地企业。积极培育 </w:t>
      </w:r>
      <w:r>
        <w:t>2-3</w:t>
      </w:r>
      <w:r>
        <w:rPr>
          <w:spacing w:val="-5"/>
        </w:rPr>
        <w:t xml:space="preserve"> 家本地企业</w:t>
      </w:r>
      <w:r>
        <w:rPr>
          <w:spacing w:val="-2"/>
        </w:rPr>
        <w:t>上市，鼓励企业外向性投资，提高竞争力，开拓区内外市场，促使地</w:t>
      </w:r>
      <w:r>
        <w:t>区对外开放水平和层次迈上新台阶。2015</w:t>
      </w:r>
      <w:r>
        <w:rPr>
          <w:spacing w:val="-7"/>
        </w:rPr>
        <w:t xml:space="preserve"> 年，全地区外贸进出口总额</w:t>
      </w:r>
      <w:r>
        <w:rPr>
          <w:spacing w:val="-3"/>
        </w:rPr>
        <w:t xml:space="preserve">力争实现 </w:t>
      </w:r>
      <w:r>
        <w:t>1</w:t>
      </w:r>
      <w:r>
        <w:rPr>
          <w:spacing w:val="-5"/>
        </w:rPr>
        <w:t xml:space="preserve"> 亿美元以上，年均增长 </w:t>
      </w:r>
      <w:r>
        <w:t>20%以上。老爷庙口岸进出口货物</w:t>
      </w:r>
      <w:r>
        <w:rPr>
          <w:spacing w:val="-5"/>
        </w:rPr>
        <w:t xml:space="preserve">总量达 </w:t>
      </w:r>
      <w:r>
        <w:t>300</w:t>
      </w:r>
      <w:r>
        <w:rPr>
          <w:spacing w:val="-7"/>
        </w:rPr>
        <w:t xml:space="preserve"> 万吨，年均增长 </w:t>
      </w:r>
      <w:r>
        <w:t>50%以上。</w:t>
      </w:r>
    </w:p>
    <w:p w14:paraId="326D4961">
      <w:pPr>
        <w:pStyle w:val="3"/>
        <w:spacing w:before="102"/>
        <w:ind w:left="0" w:right="0"/>
        <w:rPr>
          <w:i w:val="0"/>
          <w:iCs w:val="0"/>
        </w:rPr>
      </w:pPr>
      <w:bookmarkStart w:id="325" w:name="_Toc1682435413"/>
      <w:bookmarkStart w:id="326" w:name="_Toc1735011426"/>
      <w:bookmarkStart w:id="327" w:name="_Toc13409"/>
      <w:r>
        <w:rPr>
          <w:i w:val="0"/>
          <w:iCs w:val="0"/>
        </w:rPr>
        <w:t>第三</w:t>
      </w:r>
      <w:r>
        <w:rPr>
          <w:i w:val="0"/>
          <w:iCs w:val="0"/>
          <w:spacing w:val="21"/>
        </w:rPr>
        <w:t>节 加</w:t>
      </w:r>
      <w:r>
        <w:rPr>
          <w:i w:val="0"/>
          <w:iCs w:val="0"/>
        </w:rPr>
        <w:t>强市场物价调控，确保物价总水平基本稳</w:t>
      </w:r>
      <w:r>
        <w:rPr>
          <w:i w:val="0"/>
          <w:iCs w:val="0"/>
          <w:spacing w:val="-10"/>
        </w:rPr>
        <w:t>定</w:t>
      </w:r>
      <w:bookmarkEnd w:id="325"/>
      <w:bookmarkEnd w:id="326"/>
      <w:bookmarkEnd w:id="327"/>
    </w:p>
    <w:p w14:paraId="172C73D7">
      <w:pPr>
        <w:pStyle w:val="5"/>
        <w:spacing w:before="5"/>
        <w:ind w:left="0"/>
        <w:rPr>
          <w:rFonts w:ascii="楷体_GB2312"/>
          <w:b/>
          <w:i/>
          <w:sz w:val="34"/>
        </w:rPr>
      </w:pPr>
    </w:p>
    <w:p w14:paraId="66AFEEDA">
      <w:pPr>
        <w:pStyle w:val="5"/>
        <w:autoSpaceDE/>
        <w:autoSpaceDN/>
        <w:spacing w:before="0" w:after="0" w:line="363" w:lineRule="auto"/>
        <w:ind w:left="0" w:right="0" w:firstLine="536" w:firstLineChars="200"/>
        <w:jc w:val="both"/>
        <w:rPr>
          <w:spacing w:val="-2"/>
        </w:rPr>
      </w:pPr>
      <w:r>
        <w:rPr>
          <w:spacing w:val="-6"/>
        </w:rPr>
        <w:t>通过建基地、调品种、抓直销、保供给、管市场，减少中间环节，</w:t>
      </w:r>
      <w:r>
        <w:rPr>
          <w:spacing w:val="-2"/>
        </w:rPr>
        <w:t>增加直销网点，进一步提高农产品产销组织化程度，扩大覆盖面，有效增加市场供应能力，有效抑制市场物价过快上涨。严格落实“米袋</w:t>
      </w:r>
      <w:r>
        <w:rPr>
          <w:spacing w:val="-34"/>
        </w:rPr>
        <w:t>子”、“菜篮子”县</w:t>
      </w:r>
      <w:r>
        <w:rPr>
          <w:spacing w:val="-2"/>
        </w:rPr>
        <w:t>（市）长负责制，加快设施农业基地和标准化蔬菜生产基地建设步伐，有效提升市场供应能力；加大畜禽养殖基地</w:t>
      </w:r>
      <w:r>
        <w:rPr>
          <w:spacing w:val="-6"/>
        </w:rPr>
        <w:t>建设，努力增加肉、禽、蛋、奶等市场供应能力；完善农副产品生产、</w:t>
      </w:r>
      <w:r>
        <w:rPr>
          <w:spacing w:val="-2"/>
        </w:rPr>
        <w:t>市场配送供应、销售网点建立等“菜篮子”生产供应体系建设，减少中间环节，开通农副产品生产、运输、经营的绿色通道，降低农副产品经营成本。建立和完善冬春蔬菜、牛羊肉等储备制度，加强储备和</w:t>
      </w:r>
      <w:r>
        <w:rPr>
          <w:spacing w:val="-6"/>
        </w:rPr>
        <w:t>投放能力，提高储备规模，保障市场供应。进一步加强市场物价管控，</w:t>
      </w:r>
      <w:r>
        <w:rPr>
          <w:spacing w:val="-2"/>
        </w:rPr>
        <w:t>加大物价检查和市场价格监管力度，强化价格监测预警，严厉打击恶</w:t>
      </w:r>
      <w:r>
        <w:rPr>
          <w:spacing w:val="-6"/>
        </w:rPr>
        <w:t>意囤积、哄抬物价、牟取暴利等违法行为，确保物价总水平基本稳定。</w:t>
      </w:r>
      <w:r>
        <w:rPr>
          <w:spacing w:val="-2"/>
        </w:rPr>
        <w:t>建立物价上涨与困难群众生活补贴机制，保障困难群众基本生活。</w:t>
      </w:r>
    </w:p>
    <w:p w14:paraId="507A85E4">
      <w:pPr>
        <w:pStyle w:val="3"/>
        <w:spacing w:before="121"/>
        <w:ind w:left="0" w:right="0"/>
        <w:rPr>
          <w:i w:val="0"/>
          <w:iCs w:val="0"/>
        </w:rPr>
      </w:pPr>
      <w:bookmarkStart w:id="328" w:name="_Toc471248275"/>
      <w:bookmarkStart w:id="329" w:name="_Toc901388164"/>
      <w:bookmarkStart w:id="330" w:name="_Toc1914"/>
      <w:r>
        <w:rPr>
          <w:i w:val="0"/>
          <w:iCs w:val="0"/>
        </w:rPr>
        <w:t>第四</w:t>
      </w:r>
      <w:r>
        <w:rPr>
          <w:i w:val="0"/>
          <w:iCs w:val="0"/>
          <w:spacing w:val="21"/>
        </w:rPr>
        <w:t>节 加</w:t>
      </w:r>
      <w:r>
        <w:rPr>
          <w:i w:val="0"/>
          <w:iCs w:val="0"/>
        </w:rPr>
        <w:t>快金融平台建设，促进融投资能力大幅提</w:t>
      </w:r>
      <w:r>
        <w:rPr>
          <w:i w:val="0"/>
          <w:iCs w:val="0"/>
          <w:spacing w:val="-10"/>
        </w:rPr>
        <w:t>高</w:t>
      </w:r>
      <w:bookmarkEnd w:id="328"/>
      <w:bookmarkEnd w:id="329"/>
      <w:bookmarkEnd w:id="330"/>
    </w:p>
    <w:p w14:paraId="250D681A">
      <w:pPr>
        <w:pStyle w:val="5"/>
        <w:spacing w:before="5"/>
        <w:ind w:left="0"/>
        <w:rPr>
          <w:rFonts w:ascii="楷体_GB2312"/>
          <w:b/>
          <w:i/>
          <w:sz w:val="34"/>
        </w:rPr>
      </w:pPr>
    </w:p>
    <w:p w14:paraId="5F97A48F">
      <w:pPr>
        <w:pStyle w:val="5"/>
        <w:autoSpaceDE/>
        <w:autoSpaceDN/>
        <w:spacing w:line="363" w:lineRule="auto"/>
        <w:ind w:left="0" w:right="0" w:firstLine="552" w:firstLineChars="200"/>
        <w:jc w:val="both"/>
        <w:rPr>
          <w:spacing w:val="-2"/>
        </w:rPr>
      </w:pPr>
      <w:r>
        <w:rPr>
          <w:spacing w:val="-2"/>
        </w:rPr>
        <w:t>加快信贷平台建设。鼓励各类商业银行完善服务功能，创新服务品种，提高服务质量，拓展服务领域和范围，全面推广新型金融业务。各类银行通过增资扩股使资本金与达到未来 3-5 年业务发展规模相适应的额度，确保信贷规模不断壮大，为地区中小企业发展和经济发展提供有力的信贷支持。</w:t>
      </w:r>
    </w:p>
    <w:p w14:paraId="76727330">
      <w:pPr>
        <w:pStyle w:val="5"/>
        <w:autoSpaceDE/>
        <w:autoSpaceDN/>
        <w:spacing w:before="0" w:line="363" w:lineRule="auto"/>
        <w:ind w:left="0" w:right="0" w:firstLine="552" w:firstLineChars="200"/>
        <w:jc w:val="both"/>
        <w:rPr>
          <w:spacing w:val="-2"/>
        </w:rPr>
      </w:pPr>
      <w:r>
        <w:rPr>
          <w:spacing w:val="-2"/>
        </w:rPr>
        <w:t>加快担保平台建设。支持各类银行设立中小企业信贷专营机构，建立面向中小企业的信用担保体系。进一步扩大地区担保公司注册资本金的规模，解决地区中小企业生产发展中急需的资金短缺问题。加大对中小企业支持力度，尽快培育一批具有较高知名度的企业和品牌。到 2015 年，中小企业创造的最终产品和服务价值力争占到地区 GDP比重的 35%以上。</w:t>
      </w:r>
    </w:p>
    <w:p w14:paraId="5FA2AA69">
      <w:pPr>
        <w:pStyle w:val="5"/>
        <w:autoSpaceDE/>
        <w:autoSpaceDN/>
        <w:spacing w:before="0" w:line="363" w:lineRule="auto"/>
        <w:ind w:left="0" w:right="0" w:firstLine="552" w:firstLineChars="200"/>
        <w:jc w:val="both"/>
        <w:rPr>
          <w:spacing w:val="-2"/>
        </w:rPr>
      </w:pPr>
      <w:r>
        <w:rPr>
          <w:spacing w:val="-2"/>
        </w:rPr>
        <w:t>加快投融资平台建设。地区国投公司通过加大融资平台、投资项目履行企业股东权益工作力度，尽快做大做强，力争达到 10 亿元的资金规模。继续做好国家开发银行支持地区金融信用合作平台搭建工作，更好地为地区经济社会发展服务。采取政府支持、企业购入的方式，储备质量较好的土地和矿产资源，积极参与资源开发和项目建设，夯实企业发展基础。进一步加大专项清收工作力度，确保国有资产不流失；尽快组织和整合地区部分企业资产，形成企业规模效应。加强对国有资产的监督和管理，确保国有资产保值增值。</w:t>
      </w:r>
    </w:p>
    <w:p w14:paraId="638CF95C">
      <w:pPr>
        <w:pStyle w:val="2"/>
        <w:tabs>
          <w:tab w:val="left" w:pos="1499"/>
        </w:tabs>
        <w:spacing w:before="117"/>
        <w:ind w:right="0"/>
      </w:pPr>
      <w:bookmarkStart w:id="331" w:name="_bookmark67"/>
      <w:bookmarkEnd w:id="331"/>
      <w:bookmarkStart w:id="332" w:name="第十五章  提高社会管理水平，建设平安和谐哈密"/>
      <w:bookmarkEnd w:id="332"/>
      <w:bookmarkStart w:id="333" w:name="_Toc690110160"/>
      <w:bookmarkStart w:id="334" w:name="_Toc2100746721"/>
      <w:bookmarkStart w:id="335" w:name="_Toc1594045418"/>
      <w:bookmarkStart w:id="336" w:name="_Toc4017"/>
      <w:r>
        <w:t>第十五</w:t>
      </w:r>
      <w:r>
        <w:rPr>
          <w:spacing w:val="-10"/>
        </w:rPr>
        <w:t>章</w:t>
      </w:r>
      <w:r>
        <w:tab/>
      </w:r>
      <w:r>
        <w:t>提高社会管理水平，建设平安和谐哈</w:t>
      </w:r>
      <w:r>
        <w:rPr>
          <w:spacing w:val="-10"/>
        </w:rPr>
        <w:t>密</w:t>
      </w:r>
      <w:bookmarkEnd w:id="333"/>
      <w:bookmarkEnd w:id="334"/>
      <w:bookmarkEnd w:id="335"/>
      <w:bookmarkEnd w:id="336"/>
    </w:p>
    <w:p w14:paraId="642CEB43">
      <w:pPr>
        <w:pStyle w:val="5"/>
        <w:spacing w:before="11"/>
        <w:ind w:left="0"/>
        <w:rPr>
          <w:rFonts w:ascii="黑体"/>
          <w:sz w:val="31"/>
        </w:rPr>
      </w:pPr>
    </w:p>
    <w:p w14:paraId="7F003681">
      <w:pPr>
        <w:pStyle w:val="3"/>
        <w:ind w:left="0" w:right="0"/>
        <w:rPr>
          <w:i w:val="0"/>
          <w:iCs w:val="0"/>
        </w:rPr>
      </w:pPr>
      <w:bookmarkStart w:id="337" w:name="_bookmark68"/>
      <w:bookmarkEnd w:id="337"/>
      <w:bookmarkStart w:id="338" w:name="第一节  加强民族团结，维护社会稳定"/>
      <w:bookmarkEnd w:id="338"/>
      <w:bookmarkStart w:id="339" w:name="_Toc1386615023"/>
      <w:bookmarkStart w:id="340" w:name="_Toc18677"/>
      <w:bookmarkStart w:id="341" w:name="_Toc561745674"/>
      <w:bookmarkStart w:id="342" w:name="_Toc1341307260"/>
      <w:r>
        <w:rPr>
          <w:i w:val="0"/>
          <w:iCs w:val="0"/>
        </w:rPr>
        <w:t>第一节</w:t>
      </w:r>
      <w:r>
        <w:rPr>
          <w:i w:val="0"/>
          <w:iCs w:val="0"/>
          <w:spacing w:val="17"/>
          <w:w w:val="150"/>
        </w:rPr>
        <w:t xml:space="preserve"> </w:t>
      </w:r>
      <w:r>
        <w:rPr>
          <w:i w:val="0"/>
          <w:iCs w:val="0"/>
        </w:rPr>
        <w:t>加强民族团结，维护社会稳</w:t>
      </w:r>
      <w:r>
        <w:rPr>
          <w:i w:val="0"/>
          <w:iCs w:val="0"/>
          <w:spacing w:val="-10"/>
        </w:rPr>
        <w:t>定</w:t>
      </w:r>
      <w:bookmarkEnd w:id="339"/>
      <w:bookmarkEnd w:id="340"/>
      <w:bookmarkEnd w:id="341"/>
      <w:bookmarkEnd w:id="342"/>
    </w:p>
    <w:p w14:paraId="77C4A127">
      <w:pPr>
        <w:pStyle w:val="5"/>
        <w:spacing w:before="5"/>
        <w:ind w:left="0"/>
        <w:rPr>
          <w:rFonts w:ascii="楷体_GB2312"/>
          <w:b/>
          <w:i/>
          <w:sz w:val="34"/>
        </w:rPr>
      </w:pPr>
    </w:p>
    <w:p w14:paraId="1717A2D2">
      <w:pPr>
        <w:pStyle w:val="5"/>
        <w:autoSpaceDE/>
        <w:autoSpaceDN/>
        <w:spacing w:line="363" w:lineRule="auto"/>
        <w:ind w:left="0" w:right="0" w:firstLine="552" w:firstLineChars="200"/>
        <w:jc w:val="both"/>
        <w:rPr>
          <w:spacing w:val="-2"/>
        </w:rPr>
      </w:pPr>
      <w:r>
        <w:rPr>
          <w:spacing w:val="-2"/>
        </w:rPr>
        <w:t>把握各族人民共同团结奋斗、共同繁荣发展的主题，始终高举各民族大团结旗帜，深入持久地开展以“热爱伟大祖国、建设美好家园”为主题的民族团结宣传教育活动，加强马克思主义“五观”和“四个认同”的宣传教育，加强国家意识、公民意识、</w:t>
      </w:r>
      <w:r>
        <w:rPr>
          <w:rFonts w:hint="eastAsia"/>
          <w:spacing w:val="-2"/>
          <w:lang w:eastAsia="zh-CN"/>
        </w:rPr>
        <w:t>法治</w:t>
      </w:r>
      <w:r>
        <w:rPr>
          <w:spacing w:val="-2"/>
        </w:rPr>
        <w:t>意识教育。引导各族干部群众牢固树立“三个离不开”和“民族团结是新疆的生命线”的思想，引导各族干部群众争做民族团结的模范，夯实各民族大团结的思想基础。改进民族团结教育的方式方法，坚持把民族团结工作融入政治、经济、文化和社会生活的各个领域，贯穿到人们的日常工作生活当中。</w:t>
      </w:r>
    </w:p>
    <w:p w14:paraId="776AAFAD">
      <w:pPr>
        <w:pStyle w:val="3"/>
        <w:spacing w:before="141"/>
        <w:ind w:left="0" w:right="0"/>
        <w:rPr>
          <w:i w:val="0"/>
          <w:iCs w:val="0"/>
        </w:rPr>
      </w:pPr>
      <w:bookmarkStart w:id="343" w:name="第二节  强化民主法制，建设精神文明"/>
      <w:bookmarkEnd w:id="343"/>
      <w:bookmarkStart w:id="344" w:name="_bookmark69"/>
      <w:bookmarkEnd w:id="344"/>
      <w:bookmarkStart w:id="345" w:name="_Toc25635"/>
      <w:bookmarkStart w:id="346" w:name="_Toc493219264"/>
      <w:bookmarkStart w:id="347" w:name="_Toc578244173"/>
      <w:bookmarkStart w:id="348" w:name="_Toc884252763"/>
      <w:r>
        <w:rPr>
          <w:i w:val="0"/>
          <w:iCs w:val="0"/>
        </w:rPr>
        <w:t>第二节</w:t>
      </w:r>
      <w:r>
        <w:rPr>
          <w:i w:val="0"/>
          <w:iCs w:val="0"/>
          <w:spacing w:val="17"/>
          <w:w w:val="150"/>
        </w:rPr>
        <w:t xml:space="preserve"> </w:t>
      </w:r>
      <w:r>
        <w:rPr>
          <w:i w:val="0"/>
          <w:iCs w:val="0"/>
        </w:rPr>
        <w:t>强化民主法制，建设精神文</w:t>
      </w:r>
      <w:r>
        <w:rPr>
          <w:i w:val="0"/>
          <w:iCs w:val="0"/>
          <w:spacing w:val="-10"/>
        </w:rPr>
        <w:t>明</w:t>
      </w:r>
      <w:bookmarkEnd w:id="345"/>
      <w:bookmarkEnd w:id="346"/>
      <w:bookmarkEnd w:id="347"/>
      <w:bookmarkEnd w:id="348"/>
    </w:p>
    <w:p w14:paraId="2A1114A7">
      <w:pPr>
        <w:pStyle w:val="5"/>
        <w:spacing w:before="3"/>
        <w:ind w:left="0"/>
        <w:rPr>
          <w:rFonts w:ascii="楷体_GB2312"/>
          <w:b/>
          <w:i/>
          <w:sz w:val="26"/>
        </w:rPr>
      </w:pPr>
    </w:p>
    <w:p w14:paraId="58217080">
      <w:pPr>
        <w:pStyle w:val="5"/>
        <w:autoSpaceDE/>
        <w:autoSpaceDN/>
        <w:spacing w:before="0" w:line="363" w:lineRule="auto"/>
        <w:ind w:left="0" w:right="0" w:firstLine="552" w:firstLineChars="200"/>
        <w:jc w:val="both"/>
        <w:rPr>
          <w:spacing w:val="-2"/>
        </w:rPr>
      </w:pPr>
      <w:r>
        <w:rPr>
          <w:spacing w:val="-2"/>
        </w:rPr>
        <w:t>加强社会主义民主政治建设，积极稳妥推进政治体制改革。切实做好民族和宗教工作，全面落实村民自治制度，完善社区自治制度，巩固以职工代表大会为基本形式的企业民主管理制度，尊重和保障人权，促进人权事业全面发展，加强各级人大及其常委会的组织制度和工作制度建设。坚持依法治地，加强社会主义法制建设。推进司法体制改革，规范司法行为，加大司法监督，促进司法公正，维护司法权威。贯彻落实行政执法责任制、评议考核制，提高行政执法水平。深入开展普法教育，提高公民法律素质，做好普法工作。加强政法队伍和社会治安防控体系建设，充分发挥法治在促进、实现、保障社会和谐方面的重要作用。</w:t>
      </w:r>
    </w:p>
    <w:p w14:paraId="4DD41991">
      <w:pPr>
        <w:pStyle w:val="5"/>
        <w:autoSpaceDE/>
        <w:autoSpaceDN/>
        <w:spacing w:line="363" w:lineRule="auto"/>
        <w:ind w:left="0" w:right="0" w:firstLine="552" w:firstLineChars="200"/>
        <w:jc w:val="both"/>
        <w:rPr>
          <w:spacing w:val="-2"/>
        </w:rPr>
      </w:pPr>
      <w:r>
        <w:rPr>
          <w:spacing w:val="-2"/>
        </w:rPr>
        <w:t>深入贯彻党在新时期的路线、方针、政策，大力弘扬以爱国主义为核心的民族精神和以改革创新为核心的时代精神。贯彻实施《公民道德建设实施纲要》，广泛开展社会公德、职业道德、家庭美德和未成年人思想道德建设，着力加强城市现代文明教育和新农村、新农民、新居民现代文明教育。大力倡导爱国守法、明礼诚信、团结友善、勤俭自强、敬业奉献的基本道德规范。切实推进“构筑终身教育体系，建设学习型社会”的进程。努力学习新知识，研究新情况，提高解决实际问题的能力，增强应对复杂局面和突发性事件的能力。</w:t>
      </w:r>
    </w:p>
    <w:p w14:paraId="315881BC">
      <w:pPr>
        <w:pStyle w:val="3"/>
        <w:spacing w:before="139"/>
        <w:ind w:left="0" w:right="0"/>
        <w:rPr>
          <w:i w:val="0"/>
          <w:iCs w:val="0"/>
        </w:rPr>
      </w:pPr>
      <w:bookmarkStart w:id="349" w:name="_bookmark70"/>
      <w:bookmarkEnd w:id="349"/>
      <w:bookmarkStart w:id="350" w:name="第三节  加强社会组织建设，创新社会管理体制 "/>
      <w:bookmarkEnd w:id="350"/>
      <w:bookmarkStart w:id="351" w:name="_Toc96984583"/>
      <w:bookmarkStart w:id="352" w:name="_Toc18330"/>
      <w:bookmarkStart w:id="353" w:name="_Toc1507811259"/>
      <w:bookmarkStart w:id="354" w:name="_Toc1366189758"/>
      <w:r>
        <w:rPr>
          <w:i w:val="0"/>
          <w:iCs w:val="0"/>
        </w:rPr>
        <w:t>第三</w:t>
      </w:r>
      <w:r>
        <w:rPr>
          <w:i w:val="0"/>
          <w:iCs w:val="0"/>
          <w:spacing w:val="24"/>
        </w:rPr>
        <w:t>节 加</w:t>
      </w:r>
      <w:r>
        <w:rPr>
          <w:i w:val="0"/>
          <w:iCs w:val="0"/>
        </w:rPr>
        <w:t>强社会组织建设，创新社会管理体</w:t>
      </w:r>
      <w:r>
        <w:rPr>
          <w:i w:val="0"/>
          <w:iCs w:val="0"/>
          <w:spacing w:val="-10"/>
        </w:rPr>
        <w:t>制</w:t>
      </w:r>
      <w:bookmarkEnd w:id="351"/>
      <w:bookmarkEnd w:id="352"/>
      <w:bookmarkEnd w:id="353"/>
      <w:bookmarkEnd w:id="354"/>
    </w:p>
    <w:p w14:paraId="5D68BA94">
      <w:pPr>
        <w:pStyle w:val="5"/>
        <w:spacing w:before="4"/>
        <w:ind w:left="0"/>
        <w:rPr>
          <w:rFonts w:ascii="楷体_GB2312"/>
          <w:b/>
          <w:i/>
          <w:sz w:val="26"/>
        </w:rPr>
      </w:pPr>
    </w:p>
    <w:p w14:paraId="141FADD8">
      <w:pPr>
        <w:pStyle w:val="5"/>
        <w:autoSpaceDE/>
        <w:autoSpaceDN/>
        <w:spacing w:line="363" w:lineRule="auto"/>
        <w:ind w:left="0" w:right="0" w:firstLine="552" w:firstLineChars="200"/>
        <w:jc w:val="both"/>
        <w:rPr>
          <w:spacing w:val="-2"/>
        </w:rPr>
      </w:pPr>
      <w:r>
        <w:rPr>
          <w:spacing w:val="-2"/>
        </w:rPr>
        <w:t>加快培育发展社会组织。认真落实党和国家鼓励和引导社会组织发展的一系列方针政策，积极培育市场需求、社会需求、群众欢迎的各类社会性组织。在农村培育和发展一批具有本地特色、效益好、作用发挥突出、对当地经济有影响的农村专业经济协会，提高农民的组织化程度；在城市重点扶持、发展公益性社会组织、行业协会和社区社会组织。探索建设社会组织自我发展、自律管理机制。充分发挥各类社会组织在服务地区经济建设和社会发展中的重要作用。建立健全社会组织监督管理体系，逐步逐项推进社会组织评估工作，更好地发挥公民和社会组织在社会公共事务管理中作用。</w:t>
      </w:r>
    </w:p>
    <w:p w14:paraId="24C59A11">
      <w:pPr>
        <w:pStyle w:val="3"/>
        <w:spacing w:before="121"/>
        <w:ind w:left="0" w:right="0"/>
        <w:rPr>
          <w:i w:val="0"/>
          <w:iCs w:val="0"/>
        </w:rPr>
      </w:pPr>
      <w:bookmarkStart w:id="355" w:name="_bookmark71"/>
      <w:bookmarkEnd w:id="355"/>
      <w:bookmarkStart w:id="356" w:name="第四节  加强公共安全体系建设，有效提高安全保障能力 "/>
      <w:bookmarkEnd w:id="356"/>
      <w:bookmarkStart w:id="357" w:name="_Toc8287"/>
      <w:bookmarkStart w:id="358" w:name="_Toc630722962"/>
      <w:bookmarkStart w:id="359" w:name="_Toc2057554138"/>
      <w:bookmarkStart w:id="360" w:name="_Toc1980900119"/>
      <w:r>
        <w:rPr>
          <w:i w:val="0"/>
          <w:iCs w:val="0"/>
        </w:rPr>
        <w:t>第四</w:t>
      </w:r>
      <w:r>
        <w:rPr>
          <w:i w:val="0"/>
          <w:iCs w:val="0"/>
          <w:spacing w:val="19"/>
        </w:rPr>
        <w:t>节 加</w:t>
      </w:r>
      <w:r>
        <w:rPr>
          <w:i w:val="0"/>
          <w:iCs w:val="0"/>
        </w:rPr>
        <w:t>强公共安全体系建设，有效提高安全保障能</w:t>
      </w:r>
      <w:r>
        <w:rPr>
          <w:i w:val="0"/>
          <w:iCs w:val="0"/>
          <w:spacing w:val="-10"/>
        </w:rPr>
        <w:t>力</w:t>
      </w:r>
      <w:bookmarkEnd w:id="357"/>
      <w:bookmarkEnd w:id="358"/>
      <w:bookmarkEnd w:id="359"/>
      <w:bookmarkEnd w:id="360"/>
    </w:p>
    <w:p w14:paraId="387C24E3">
      <w:pPr>
        <w:pStyle w:val="5"/>
        <w:spacing w:before="5"/>
        <w:ind w:left="0"/>
        <w:rPr>
          <w:rFonts w:ascii="楷体_GB2312"/>
          <w:b/>
          <w:i/>
          <w:sz w:val="34"/>
        </w:rPr>
      </w:pPr>
    </w:p>
    <w:p w14:paraId="49A939BA">
      <w:pPr>
        <w:pStyle w:val="5"/>
        <w:spacing w:line="363" w:lineRule="auto"/>
        <w:ind w:left="0" w:firstLine="552" w:firstLineChars="200"/>
        <w:jc w:val="both"/>
      </w:pPr>
      <w:r>
        <w:rPr>
          <w:spacing w:val="-2"/>
        </w:rPr>
        <w:t>牢固树立“安全第一、预防为主、综合治理”，完善安全生产长效机制；严格落实安全生产责任制，强化政府安全监管主体责任和企业安全生产主体责任；加强安全生产宣传教育培训体系建设，提高从业人员的安全生产意识和安全生产技能；加强各级安全生产监管机构队伍和执法能力建设，强化安全生产监管；加快安全生产应急救援和技术支撑体系建设；以道路交通、矿山、危险化学品、建筑施工、人员密集场所消防、农业机械等高危行业或领域为重点，积极推广安全生产先进技术和企业安全生产表转化建设，加大事故隐患治理力度，切实提高安全生产保障能力，防止较大事故和减少一般事故的发生，保</w:t>
      </w:r>
      <w:r>
        <w:rPr>
          <w:spacing w:val="-12"/>
        </w:rPr>
        <w:t xml:space="preserve">障人民群众生命和财产安全。到 </w:t>
      </w:r>
      <w:r>
        <w:rPr>
          <w:spacing w:val="-2"/>
        </w:rPr>
        <w:t>2015</w:t>
      </w:r>
      <w:r>
        <w:rPr>
          <w:spacing w:val="-36"/>
        </w:rPr>
        <w:t xml:space="preserve"> 年，亿元 </w:t>
      </w:r>
      <w:r>
        <w:rPr>
          <w:spacing w:val="-2"/>
        </w:rPr>
        <w:t>GDP</w:t>
      </w:r>
      <w:r>
        <w:rPr>
          <w:spacing w:val="-12"/>
        </w:rPr>
        <w:t xml:space="preserve"> 事故死亡率控制在</w:t>
      </w:r>
      <w:r>
        <w:rPr>
          <w:spacing w:val="-2"/>
        </w:rPr>
        <w:t>0.3</w:t>
      </w:r>
      <w:r>
        <w:rPr>
          <w:spacing w:val="-21"/>
        </w:rPr>
        <w:t xml:space="preserve"> 以下。</w:t>
      </w:r>
    </w:p>
    <w:p w14:paraId="457A0E98">
      <w:pPr>
        <w:pStyle w:val="5"/>
        <w:spacing w:before="0" w:line="363" w:lineRule="auto"/>
        <w:ind w:left="0" w:right="0" w:firstLine="552" w:firstLineChars="200"/>
        <w:jc w:val="both"/>
        <w:rPr>
          <w:spacing w:val="-2"/>
        </w:rPr>
      </w:pPr>
      <w:r>
        <w:rPr>
          <w:spacing w:val="-2"/>
        </w:rPr>
        <w:t>重视公共环境安全，严格执行建设项目环境影响评价制度。加强环境敏感区（点）、城市空气质量、饮用水水质、噪声污染、重点污染源和农产品生产安全的检测，加快危险废物收贮设施和医疗废物处置设施建设。巩固、提高、完善适应经济社会发展需求的气象服务体系，提高气象灾害的监测预报水平。进一步推进地震宏观监测网、地震灾情速报网和防震减灾宣传网建设，切实抓好地震监测预报及震害防御工作。</w:t>
      </w:r>
    </w:p>
    <w:p w14:paraId="01501E23">
      <w:pPr>
        <w:pStyle w:val="3"/>
        <w:spacing w:before="125"/>
        <w:rPr>
          <w:i w:val="0"/>
          <w:iCs w:val="0"/>
          <w:spacing w:val="-10"/>
        </w:rPr>
      </w:pPr>
      <w:bookmarkStart w:id="361" w:name="_Toc26120"/>
      <w:bookmarkStart w:id="362" w:name="_Toc575747546"/>
      <w:bookmarkStart w:id="363" w:name="_Toc440606801"/>
      <w:r>
        <w:rPr>
          <w:i w:val="0"/>
          <w:iCs w:val="0"/>
        </w:rPr>
        <w:t>第</w:t>
      </w:r>
      <w:r>
        <w:rPr>
          <w:rFonts w:hint="eastAsia"/>
          <w:i w:val="0"/>
          <w:iCs w:val="0"/>
          <w:lang w:eastAsia="zh-CN"/>
        </w:rPr>
        <w:t>五</w:t>
      </w:r>
      <w:r>
        <w:rPr>
          <w:i w:val="0"/>
          <w:iCs w:val="0"/>
          <w:spacing w:val="25"/>
        </w:rPr>
        <w:t>节 加</w:t>
      </w:r>
      <w:r>
        <w:rPr>
          <w:i w:val="0"/>
          <w:iCs w:val="0"/>
        </w:rPr>
        <w:t>强</w:t>
      </w:r>
      <w:r>
        <w:rPr>
          <w:rFonts w:hint="eastAsia"/>
          <w:i w:val="0"/>
          <w:iCs w:val="0"/>
          <w:lang w:eastAsia="zh-CN"/>
        </w:rPr>
        <w:t>和</w:t>
      </w:r>
      <w:r>
        <w:rPr>
          <w:i w:val="0"/>
          <w:iCs w:val="0"/>
        </w:rPr>
        <w:t>改进党的领导，提高党的执政能</w:t>
      </w:r>
      <w:r>
        <w:rPr>
          <w:i w:val="0"/>
          <w:iCs w:val="0"/>
          <w:spacing w:val="-10"/>
        </w:rPr>
        <w:t>力</w:t>
      </w:r>
      <w:bookmarkEnd w:id="361"/>
      <w:bookmarkEnd w:id="362"/>
      <w:bookmarkEnd w:id="363"/>
    </w:p>
    <w:p w14:paraId="0FEA0EC2">
      <w:pPr>
        <w:spacing w:before="125"/>
        <w:outlineLvl w:val="9"/>
        <w:rPr>
          <w:rFonts w:ascii="仿宋_GB2312" w:hAnsi="仿宋_GB2312" w:eastAsia="仿宋_GB2312" w:cs="仿宋_GB2312"/>
          <w:b w:val="0"/>
          <w:bCs w:val="0"/>
          <w:i w:val="0"/>
          <w:iCs w:val="0"/>
          <w:spacing w:val="-15"/>
          <w:sz w:val="28"/>
        </w:rPr>
      </w:pPr>
    </w:p>
    <w:p w14:paraId="5D62EF9D">
      <w:pPr>
        <w:spacing w:line="363" w:lineRule="auto"/>
        <w:ind w:firstLine="500" w:firstLineChars="200"/>
        <w:jc w:val="both"/>
        <w:rPr>
          <w:sz w:val="28"/>
          <w:szCs w:val="28"/>
        </w:rPr>
      </w:pPr>
      <w:r>
        <w:rPr>
          <w:spacing w:val="-15"/>
          <w:sz w:val="28"/>
          <w:szCs w:val="28"/>
        </w:rPr>
        <w:t>加强和改进党的领导，全面推进党的政治、思想、组织、作风、制度、廉政建设，进一步提高党的领导水平和执政能力，保持和发展党的先进性。大力加强学习型党组织建设。弘扬理论联系实际的学风，抓好领导班子和干部队伍建设；着力提高理论素养和解决实际问题的能力，坚持民主、公开、竞争、择优的原则，推进干部人事制度改革，提高选人用人公信度，形成充满活力的选人用人机制；加强基层组织建设。始终重视基层、加强基层、服务基层，加大社区阵地和服务设施建设力度，加强社区干部队伍培训和建设，大力营造基层一线“拴住人心、干事创业”的环境氛围。把农村村级和城镇社区基层组织建设作为重点，建设一支强有力的基层干部队伍；深入推进党风廉政建设，进一步改进干部作风。继续加强和完善党风廉政建设责任制工作，加强党员领导干部的党性修养和作风建设，建立健全长效机制，切实抓好对关键岗位、领域、环节的预防和治理工作，继续加大查办案件工作力度，坚决惩治腐败，不断创新完善监督检查机制，坚决维护党的政治纪律；建立和健全民主集中制，进一步完善民主决策的规则和程序。实行党委和政府领导责任制，建立决策目标、执行责任和考核监督体系，做到任务明确、责任到人、措施到位。</w:t>
      </w:r>
    </w:p>
    <w:p w14:paraId="7502647A">
      <w:pPr>
        <w:pStyle w:val="2"/>
        <w:tabs>
          <w:tab w:val="left" w:pos="1499"/>
        </w:tabs>
        <w:spacing w:before="110"/>
        <w:ind w:right="0"/>
      </w:pPr>
      <w:bookmarkStart w:id="364" w:name="_Toc1430618320"/>
      <w:bookmarkStart w:id="365" w:name="_Toc1470236432"/>
      <w:bookmarkStart w:id="366" w:name="_Toc22738"/>
      <w:r>
        <w:t>第十六</w:t>
      </w:r>
      <w:r>
        <w:rPr>
          <w:spacing w:val="-10"/>
        </w:rPr>
        <w:t>章</w:t>
      </w:r>
      <w:r>
        <w:tab/>
      </w:r>
      <w:r>
        <w:t>规划实施保障措</w:t>
      </w:r>
      <w:r>
        <w:rPr>
          <w:spacing w:val="-10"/>
        </w:rPr>
        <w:t>施</w:t>
      </w:r>
      <w:bookmarkEnd w:id="364"/>
      <w:bookmarkEnd w:id="365"/>
      <w:bookmarkEnd w:id="366"/>
    </w:p>
    <w:p w14:paraId="3886B382">
      <w:pPr>
        <w:pStyle w:val="5"/>
        <w:spacing w:before="5"/>
        <w:ind w:left="0"/>
        <w:rPr>
          <w:rFonts w:ascii="黑体"/>
          <w:sz w:val="33"/>
        </w:rPr>
      </w:pPr>
    </w:p>
    <w:p w14:paraId="740DCDBA">
      <w:pPr>
        <w:pStyle w:val="5"/>
        <w:spacing w:line="363" w:lineRule="auto"/>
        <w:ind w:left="0" w:right="0" w:firstLine="500" w:firstLineChars="200"/>
        <w:jc w:val="both"/>
        <w:rPr>
          <w:spacing w:val="-2"/>
        </w:rPr>
      </w:pPr>
      <w:r>
        <w:rPr>
          <w:spacing w:val="-15"/>
        </w:rPr>
        <w:t>为全面完成“十二五”规划确定的各项目标和任务，必须进一步发挥政府对规划实施的组织、引导和保障作用，高起点、高水平、高质量做好各项规划工作，建立分类指导的实施机制，统筹规划进度安排；按照“统筹协调、分工负责”的原则，进一步健全责任制，动员和引导社会广泛参与，完善考核评价和加强实施监督；落实规划实施调整，确保规划分阶段有效进行和发展目标的如期实现。</w:t>
      </w:r>
    </w:p>
    <w:p w14:paraId="505E6C25">
      <w:pPr>
        <w:pStyle w:val="3"/>
        <w:spacing w:before="0"/>
        <w:ind w:left="0" w:right="0"/>
        <w:rPr>
          <w:rFonts w:hint="eastAsia" w:eastAsia="楷体_GB2312"/>
          <w:i w:val="0"/>
          <w:iCs w:val="0"/>
          <w:lang w:val="en-US" w:eastAsia="zh-CN"/>
        </w:rPr>
      </w:pPr>
      <w:bookmarkStart w:id="367" w:name="_Toc23062"/>
      <w:bookmarkStart w:id="368" w:name="_Toc1835906685"/>
      <w:bookmarkStart w:id="369" w:name="_Toc784848341"/>
      <w:r>
        <w:rPr>
          <w:i w:val="0"/>
          <w:iCs w:val="0"/>
        </w:rPr>
        <w:t>第一节</w:t>
      </w:r>
      <w:r>
        <w:rPr>
          <w:i w:val="0"/>
          <w:iCs w:val="0"/>
          <w:spacing w:val="44"/>
          <w:w w:val="150"/>
        </w:rPr>
        <w:t xml:space="preserve"> </w:t>
      </w:r>
      <w:r>
        <w:rPr>
          <w:i w:val="0"/>
          <w:iCs w:val="0"/>
        </w:rPr>
        <w:t>做好各项</w:t>
      </w:r>
      <w:r>
        <w:rPr>
          <w:i w:val="0"/>
          <w:iCs w:val="0"/>
          <w:spacing w:val="-5"/>
        </w:rPr>
        <w:t>规划</w:t>
      </w:r>
      <w:bookmarkEnd w:id="367"/>
      <w:bookmarkEnd w:id="368"/>
      <w:bookmarkEnd w:id="369"/>
      <w:r>
        <w:rPr>
          <w:rFonts w:hint="eastAsia"/>
          <w:i w:val="0"/>
          <w:iCs w:val="0"/>
          <w:spacing w:val="-5"/>
          <w:lang w:val="en-US" w:eastAsia="zh-CN"/>
        </w:rPr>
        <w:tab/>
      </w:r>
    </w:p>
    <w:p w14:paraId="14F52843">
      <w:pPr>
        <w:pStyle w:val="5"/>
        <w:spacing w:before="5"/>
        <w:ind w:left="0"/>
        <w:rPr>
          <w:rFonts w:ascii="楷体_GB2312"/>
          <w:b/>
          <w:i/>
          <w:sz w:val="34"/>
        </w:rPr>
      </w:pPr>
    </w:p>
    <w:p w14:paraId="43040B21">
      <w:pPr>
        <w:pStyle w:val="5"/>
        <w:spacing w:line="363" w:lineRule="auto"/>
        <w:ind w:left="0" w:right="0" w:firstLine="500" w:firstLineChars="200"/>
        <w:jc w:val="both"/>
        <w:rPr>
          <w:spacing w:val="-15"/>
        </w:rPr>
      </w:pPr>
      <w:r>
        <w:rPr>
          <w:spacing w:val="-15"/>
        </w:rPr>
        <w:t>按照“高起点、高水平、高效益”的原则和“新疆效率、率先发展、完善功能、提升品位”的要求，因地制宜、科学合理地做好具有前瞻性、指导性和操作性的各项规划编制工作，突出规划的引领和指导作用。由各职能部门牵头编制专项规划，由行署审定并对规划实施过程进行督察，提高规划对建设的约束力和执行力。</w:t>
      </w:r>
    </w:p>
    <w:p w14:paraId="1820C6EA">
      <w:pPr>
        <w:pStyle w:val="3"/>
        <w:spacing w:before="0"/>
        <w:ind w:left="0" w:right="0"/>
        <w:rPr>
          <w:i w:val="0"/>
          <w:iCs w:val="0"/>
        </w:rPr>
      </w:pPr>
      <w:bookmarkStart w:id="370" w:name="_Toc6801"/>
      <w:bookmarkStart w:id="371" w:name="_Toc1856187068"/>
      <w:bookmarkStart w:id="372" w:name="_Toc417593849"/>
      <w:r>
        <w:rPr>
          <w:i w:val="0"/>
          <w:iCs w:val="0"/>
        </w:rPr>
        <w:t>第二节</w:t>
      </w:r>
      <w:r>
        <w:rPr>
          <w:i w:val="0"/>
          <w:iCs w:val="0"/>
          <w:spacing w:val="44"/>
          <w:w w:val="150"/>
        </w:rPr>
        <w:t xml:space="preserve"> </w:t>
      </w:r>
      <w:r>
        <w:rPr>
          <w:i w:val="0"/>
          <w:iCs w:val="0"/>
        </w:rPr>
        <w:t>分类指导</w:t>
      </w:r>
      <w:r>
        <w:rPr>
          <w:i w:val="0"/>
          <w:iCs w:val="0"/>
          <w:spacing w:val="-5"/>
        </w:rPr>
        <w:t>实施</w:t>
      </w:r>
      <w:bookmarkEnd w:id="370"/>
      <w:bookmarkEnd w:id="371"/>
      <w:bookmarkEnd w:id="372"/>
    </w:p>
    <w:p w14:paraId="21EB47E1">
      <w:pPr>
        <w:pStyle w:val="5"/>
        <w:spacing w:before="5"/>
        <w:ind w:left="0"/>
        <w:rPr>
          <w:rFonts w:ascii="楷体_GB2312"/>
          <w:b/>
          <w:i/>
          <w:sz w:val="34"/>
        </w:rPr>
      </w:pPr>
    </w:p>
    <w:p w14:paraId="0B5388BC">
      <w:pPr>
        <w:pStyle w:val="5"/>
        <w:spacing w:before="0" w:line="363" w:lineRule="auto"/>
        <w:ind w:left="0" w:right="0" w:firstLine="500" w:firstLineChars="200"/>
        <w:jc w:val="both"/>
        <w:rPr>
          <w:spacing w:val="-15"/>
        </w:rPr>
      </w:pPr>
      <w:r>
        <w:rPr>
          <w:spacing w:val="-15"/>
        </w:rPr>
        <w:t>本规划确定的地区经济发展、社会事业发展、区域统筹协调发展、地区资源开发、地区基础设施建设等重点任务，主要通过完善市场机制和利益导向机制努力实现。政府要通过体制机制创新和完善政策，为激发市场主体的积极性、创造性营造良好的制度和政策环境。</w:t>
      </w:r>
    </w:p>
    <w:p w14:paraId="5BC6ECA0">
      <w:pPr>
        <w:pStyle w:val="5"/>
        <w:spacing w:line="363" w:lineRule="auto"/>
        <w:ind w:left="0" w:right="0" w:firstLine="500" w:firstLineChars="200"/>
        <w:jc w:val="both"/>
        <w:rPr>
          <w:spacing w:val="-15"/>
        </w:rPr>
      </w:pPr>
      <w:r>
        <w:rPr>
          <w:spacing w:val="-15"/>
        </w:rPr>
        <w:t>本规划确定的义务教育、公共卫生、社会保障、社会救助、促进就业、减少贫困、防灾减灾、公共安全、公共文化等公共服务领域的任务，是政府的承诺，各级政府要切实履行职能，运用公共资源全力完成。</w:t>
      </w:r>
    </w:p>
    <w:p w14:paraId="459CD8F9">
      <w:pPr>
        <w:pStyle w:val="5"/>
        <w:autoSpaceDE/>
        <w:autoSpaceDN/>
        <w:spacing w:line="363" w:lineRule="auto"/>
        <w:ind w:left="0" w:right="0" w:firstLine="500" w:firstLineChars="200"/>
        <w:jc w:val="both"/>
      </w:pPr>
      <w:r>
        <w:rPr>
          <w:spacing w:val="-15"/>
        </w:rPr>
        <w:t>本规划提出的生态环境保护、资源开发利用等要求，主要通过健全法律法规、加大执法力度等法律手段，并辅之以经济手段加以落实。</w:t>
      </w:r>
    </w:p>
    <w:p w14:paraId="770AAF39">
      <w:pPr>
        <w:pStyle w:val="5"/>
        <w:spacing w:line="363" w:lineRule="auto"/>
        <w:ind w:left="0" w:firstLine="500" w:firstLineChars="200"/>
        <w:jc w:val="both"/>
      </w:pPr>
      <w:r>
        <w:rPr>
          <w:spacing w:val="-15"/>
        </w:rPr>
        <w:t>本规划确定的改革任务，是政府的重要职责，必须放在政府工作的重要位置。要加强对改革的总体指导和统筹协调，将改革任务分解落实到有关部门，不失时机地推进，并注重及时把行之有效的改革措施，用规章和制度的形式确立下来。</w:t>
      </w:r>
    </w:p>
    <w:p w14:paraId="41125534">
      <w:pPr>
        <w:pStyle w:val="3"/>
        <w:spacing w:before="0"/>
        <w:ind w:left="0" w:right="0"/>
        <w:rPr>
          <w:i w:val="0"/>
          <w:iCs w:val="0"/>
        </w:rPr>
      </w:pPr>
      <w:bookmarkStart w:id="373" w:name="_Toc2137678620"/>
      <w:bookmarkStart w:id="374" w:name="_Toc1255424524"/>
      <w:bookmarkStart w:id="375" w:name="_Toc22711"/>
      <w:r>
        <w:rPr>
          <w:i w:val="0"/>
          <w:iCs w:val="0"/>
        </w:rPr>
        <w:t>第三节</w:t>
      </w:r>
      <w:r>
        <w:rPr>
          <w:i w:val="0"/>
          <w:iCs w:val="0"/>
          <w:spacing w:val="44"/>
          <w:w w:val="150"/>
        </w:rPr>
        <w:t xml:space="preserve"> </w:t>
      </w:r>
      <w:r>
        <w:rPr>
          <w:i w:val="0"/>
          <w:iCs w:val="0"/>
        </w:rPr>
        <w:t>统筹进度</w:t>
      </w:r>
      <w:r>
        <w:rPr>
          <w:i w:val="0"/>
          <w:iCs w:val="0"/>
          <w:spacing w:val="-5"/>
        </w:rPr>
        <w:t>安排</w:t>
      </w:r>
      <w:bookmarkEnd w:id="373"/>
      <w:bookmarkEnd w:id="374"/>
      <w:bookmarkEnd w:id="375"/>
    </w:p>
    <w:p w14:paraId="3BE7C516">
      <w:pPr>
        <w:pStyle w:val="5"/>
        <w:spacing w:before="5"/>
        <w:ind w:left="0"/>
        <w:rPr>
          <w:rFonts w:ascii="楷体_GB2312"/>
          <w:b/>
          <w:i/>
          <w:sz w:val="34"/>
        </w:rPr>
      </w:pPr>
    </w:p>
    <w:p w14:paraId="5874D0C7">
      <w:pPr>
        <w:pStyle w:val="5"/>
        <w:spacing w:line="363" w:lineRule="auto"/>
        <w:ind w:left="0" w:firstLine="500" w:firstLineChars="200"/>
        <w:jc w:val="both"/>
        <w:rPr>
          <w:b/>
          <w:bCs/>
          <w:spacing w:val="-2"/>
        </w:rPr>
      </w:pPr>
      <w:r>
        <w:rPr>
          <w:spacing w:val="-15"/>
        </w:rPr>
        <w:t>根据“十二五”时期哈密地区发展的特点，合理把握规划实施的阶段重点和建设节奏。要制订实施好年度发展计划，围绕规划纲要确定的发展目标和主要任务，明确进度要求和具体政策导向，确保规划目标任务有计划、按步骤地得到落实。加强统筹协调，继续做好总需求与总供给的平衡，特别要加强制度协调、规划协调和政策协调。改革体制、制定政策、安排投资、确定发展速度，都要充分考虑可持续性，防止急于求成。</w:t>
      </w:r>
    </w:p>
    <w:p w14:paraId="7A38BD71">
      <w:pPr>
        <w:pStyle w:val="3"/>
        <w:spacing w:before="0"/>
        <w:ind w:left="0" w:right="0"/>
        <w:rPr>
          <w:i w:val="0"/>
          <w:iCs w:val="0"/>
        </w:rPr>
      </w:pPr>
      <w:bookmarkStart w:id="376" w:name="_Toc92383178"/>
      <w:bookmarkStart w:id="377" w:name="_Toc31282"/>
      <w:bookmarkStart w:id="378" w:name="_Toc245110105"/>
      <w:r>
        <w:rPr>
          <w:i w:val="0"/>
          <w:iCs w:val="0"/>
        </w:rPr>
        <w:t>第四节</w:t>
      </w:r>
      <w:r>
        <w:rPr>
          <w:i w:val="0"/>
          <w:iCs w:val="0"/>
          <w:spacing w:val="44"/>
          <w:w w:val="150"/>
        </w:rPr>
        <w:t xml:space="preserve"> </w:t>
      </w:r>
      <w:r>
        <w:rPr>
          <w:i w:val="0"/>
          <w:iCs w:val="0"/>
        </w:rPr>
        <w:t>完善考核</w:t>
      </w:r>
      <w:r>
        <w:rPr>
          <w:i w:val="0"/>
          <w:iCs w:val="0"/>
          <w:spacing w:val="-5"/>
        </w:rPr>
        <w:t>评价</w:t>
      </w:r>
      <w:bookmarkEnd w:id="376"/>
      <w:bookmarkEnd w:id="377"/>
      <w:bookmarkEnd w:id="378"/>
    </w:p>
    <w:p w14:paraId="1AD4589D">
      <w:pPr>
        <w:pStyle w:val="5"/>
        <w:spacing w:before="5"/>
        <w:ind w:left="0"/>
        <w:jc w:val="both"/>
        <w:rPr>
          <w:rFonts w:ascii="楷体_GB2312"/>
          <w:b/>
          <w:i/>
          <w:sz w:val="34"/>
        </w:rPr>
      </w:pPr>
    </w:p>
    <w:p w14:paraId="57FE14DF">
      <w:pPr>
        <w:pStyle w:val="5"/>
        <w:spacing w:before="0" w:line="363" w:lineRule="auto"/>
        <w:ind w:left="0" w:right="0" w:firstLine="500" w:firstLineChars="200"/>
        <w:jc w:val="both"/>
        <w:rPr>
          <w:spacing w:val="-15"/>
        </w:rPr>
      </w:pPr>
      <w:r>
        <w:rPr>
          <w:spacing w:val="-15"/>
        </w:rPr>
        <w:t>本规划确定的约束性指标，具有法律效力，要纳入各市县、各部门经济社会发展综合评价和绩效考核，约束性指标要分解落实到有关部门。行署各部门要按照职责分工，将规划纲要确定的相关任务纳入本年度计划，明确责任人和进度要求，切实抓好落实，并及时将进展情况向地委行署报告。</w:t>
      </w:r>
    </w:p>
    <w:p w14:paraId="2637F847">
      <w:pPr>
        <w:pStyle w:val="5"/>
        <w:spacing w:line="363" w:lineRule="auto"/>
        <w:ind w:left="0" w:right="0" w:firstLine="500" w:firstLineChars="200"/>
        <w:jc w:val="both"/>
        <w:rPr>
          <w:spacing w:val="-15"/>
        </w:rPr>
      </w:pPr>
      <w:r>
        <w:rPr>
          <w:spacing w:val="-15"/>
        </w:rPr>
        <w:t>明确地、市、县主管领导为落实规划目标的第一责任人，各分管领导与职能部门领导是实施规划具体业务的承担人；按年度分解规划目标和任务，地、市、县主管领导要指导负责行业部门针对任务，制定具体措施切实形成一级抓一级，层层抓落实的工作格局。按照科学发展观的要求，进一步改进考核方法，完善评价机制。</w:t>
      </w:r>
    </w:p>
    <w:p w14:paraId="10D0FCF1">
      <w:pPr>
        <w:pStyle w:val="3"/>
        <w:spacing w:before="0"/>
        <w:ind w:left="0" w:right="0"/>
        <w:rPr>
          <w:i w:val="0"/>
          <w:iCs w:val="0"/>
        </w:rPr>
      </w:pPr>
      <w:bookmarkStart w:id="379" w:name="_bookmark78"/>
      <w:bookmarkEnd w:id="379"/>
      <w:bookmarkStart w:id="380" w:name="第五节  加强实施监督"/>
      <w:bookmarkEnd w:id="380"/>
      <w:bookmarkStart w:id="381" w:name="_Toc792756933"/>
      <w:bookmarkStart w:id="382" w:name="_Toc12781"/>
      <w:bookmarkStart w:id="383" w:name="_Toc1081251523"/>
      <w:bookmarkStart w:id="384" w:name="_Toc541386305"/>
      <w:r>
        <w:rPr>
          <w:i w:val="0"/>
          <w:iCs w:val="0"/>
        </w:rPr>
        <w:t>第</w:t>
      </w:r>
      <w:r>
        <w:rPr>
          <w:rFonts w:hint="eastAsia"/>
          <w:i w:val="0"/>
          <w:iCs w:val="0"/>
          <w:lang w:eastAsia="zh-CN"/>
        </w:rPr>
        <w:t>五</w:t>
      </w:r>
      <w:r>
        <w:rPr>
          <w:i w:val="0"/>
          <w:iCs w:val="0"/>
        </w:rPr>
        <w:t>节</w:t>
      </w:r>
      <w:r>
        <w:rPr>
          <w:i w:val="0"/>
          <w:iCs w:val="0"/>
          <w:spacing w:val="46"/>
          <w:w w:val="150"/>
        </w:rPr>
        <w:t xml:space="preserve"> </w:t>
      </w:r>
      <w:r>
        <w:rPr>
          <w:i w:val="0"/>
          <w:iCs w:val="0"/>
        </w:rPr>
        <w:t>加强实施</w:t>
      </w:r>
      <w:r>
        <w:rPr>
          <w:i w:val="0"/>
          <w:iCs w:val="0"/>
          <w:spacing w:val="-5"/>
        </w:rPr>
        <w:t>监督</w:t>
      </w:r>
      <w:bookmarkEnd w:id="381"/>
      <w:bookmarkEnd w:id="382"/>
      <w:bookmarkEnd w:id="383"/>
      <w:bookmarkEnd w:id="384"/>
    </w:p>
    <w:p w14:paraId="2C75F9A2">
      <w:pPr>
        <w:pStyle w:val="5"/>
        <w:spacing w:before="4"/>
        <w:ind w:left="0"/>
        <w:rPr>
          <w:rFonts w:ascii="楷体_GB2312"/>
          <w:b/>
          <w:i/>
          <w:sz w:val="34"/>
        </w:rPr>
      </w:pPr>
    </w:p>
    <w:p w14:paraId="54D45A9B">
      <w:pPr>
        <w:pStyle w:val="5"/>
        <w:spacing w:before="0" w:line="363" w:lineRule="auto"/>
        <w:ind w:left="0" w:right="0" w:firstLine="500" w:firstLineChars="200"/>
        <w:jc w:val="both"/>
        <w:rPr>
          <w:spacing w:val="-15"/>
        </w:rPr>
      </w:pPr>
      <w:r>
        <w:rPr>
          <w:spacing w:val="-15"/>
        </w:rPr>
        <w:t>政府有关部门要加强对本规划实施情况的跟踪分析，接受地区人大工委对规划实施情况的监督检查。</w:t>
      </w:r>
    </w:p>
    <w:p w14:paraId="1E47BC66">
      <w:pPr>
        <w:pStyle w:val="5"/>
        <w:spacing w:line="363" w:lineRule="auto"/>
        <w:ind w:left="0" w:right="0" w:firstLine="500" w:firstLineChars="200"/>
        <w:jc w:val="both"/>
        <w:rPr>
          <w:spacing w:val="-15"/>
        </w:rPr>
      </w:pPr>
      <w:r>
        <w:rPr>
          <w:spacing w:val="-15"/>
        </w:rPr>
        <w:t>进一步加强规划实施的监督，建立健全重大事项报告制度，定期将规划目标和主要任务的进展情况向地区人大工委报告，向地区政协工委通报；进一步扩大政务公开，强化信息引导，面向企业和公众，积极广泛地组织好规划宣传，及时披露相关政策和信息，给市场主体以合理预期和正确导向，形成全社会关心规划、参与实施和共同监督的良好氛围；发挥新闻媒体和群众社团的桥梁和监督作用，健全政府与企业、群众的信息沟通和反馈机制，促进规划实施。</w:t>
      </w:r>
    </w:p>
    <w:p w14:paraId="2698824C">
      <w:pPr>
        <w:pStyle w:val="3"/>
        <w:spacing w:before="0"/>
        <w:ind w:left="0" w:right="0"/>
        <w:rPr>
          <w:i w:val="0"/>
          <w:iCs w:val="0"/>
        </w:rPr>
      </w:pPr>
      <w:bookmarkStart w:id="385" w:name="第六节  规划实施调整"/>
      <w:bookmarkEnd w:id="385"/>
      <w:bookmarkStart w:id="386" w:name="_bookmark79"/>
      <w:bookmarkEnd w:id="386"/>
      <w:bookmarkStart w:id="387" w:name="_Toc1750291433"/>
      <w:bookmarkStart w:id="388" w:name="_Toc537318835"/>
      <w:bookmarkStart w:id="389" w:name="_Toc2102346409"/>
      <w:bookmarkStart w:id="390" w:name="_Toc26209"/>
      <w:r>
        <w:rPr>
          <w:i w:val="0"/>
          <w:iCs w:val="0"/>
        </w:rPr>
        <w:t>第六节</w:t>
      </w:r>
      <w:r>
        <w:rPr>
          <w:i w:val="0"/>
          <w:iCs w:val="0"/>
          <w:spacing w:val="44"/>
          <w:w w:val="150"/>
        </w:rPr>
        <w:t xml:space="preserve"> </w:t>
      </w:r>
      <w:r>
        <w:rPr>
          <w:i w:val="0"/>
          <w:iCs w:val="0"/>
        </w:rPr>
        <w:t>规划实施</w:t>
      </w:r>
      <w:r>
        <w:rPr>
          <w:i w:val="0"/>
          <w:iCs w:val="0"/>
          <w:spacing w:val="-5"/>
        </w:rPr>
        <w:t>调整</w:t>
      </w:r>
      <w:bookmarkEnd w:id="387"/>
      <w:bookmarkEnd w:id="388"/>
      <w:bookmarkEnd w:id="389"/>
      <w:bookmarkEnd w:id="390"/>
    </w:p>
    <w:p w14:paraId="1FE6F941">
      <w:pPr>
        <w:pStyle w:val="5"/>
        <w:spacing w:before="5"/>
        <w:ind w:left="0"/>
        <w:rPr>
          <w:rFonts w:ascii="楷体_GB2312"/>
          <w:b/>
          <w:i/>
          <w:sz w:val="34"/>
        </w:rPr>
      </w:pPr>
    </w:p>
    <w:p w14:paraId="45DD1DC0">
      <w:pPr>
        <w:pStyle w:val="5"/>
        <w:spacing w:before="0" w:line="363" w:lineRule="auto"/>
        <w:ind w:left="0" w:right="0" w:firstLine="500" w:firstLineChars="200"/>
        <w:jc w:val="both"/>
        <w:rPr>
          <w:spacing w:val="-15"/>
        </w:rPr>
      </w:pPr>
      <w:r>
        <w:rPr>
          <w:spacing w:val="-15"/>
        </w:rPr>
        <w:t>在本规划实施的中期阶段，要对规划实施情况进行中期评估。积极借助社会中介组织力量，多角度分析评价规划实施效果和政策措施落实情况，及时发现问题和提出改进意见，保障规划目标实现；加强重大问题的跟进研究，不断探求解决问题的新思路、新机制、新办法，为本规划纲要的有效实施和滚动发展规划的研究制订创造条件，中期评估报告提交地区人大工委审议。经中期评估需要修订本规划时，报地区人大工委批准实施。</w:t>
      </w:r>
    </w:p>
    <w:p w14:paraId="5E7B5EC4">
      <w:pPr>
        <w:outlineLvl w:val="9"/>
        <w:rPr>
          <w:spacing w:val="-10"/>
        </w:rPr>
      </w:pPr>
      <w:bookmarkStart w:id="391" w:name="结   语"/>
      <w:bookmarkEnd w:id="391"/>
      <w:bookmarkStart w:id="392" w:name="_bookmark80"/>
      <w:bookmarkEnd w:id="392"/>
      <w:bookmarkStart w:id="393" w:name="_Toc2127797800"/>
    </w:p>
    <w:p w14:paraId="26E6DC5A">
      <w:pPr>
        <w:outlineLvl w:val="9"/>
        <w:rPr>
          <w:spacing w:val="-10"/>
        </w:rPr>
      </w:pPr>
    </w:p>
    <w:p w14:paraId="41CB6169">
      <w:pPr>
        <w:pStyle w:val="2"/>
        <w:tabs>
          <w:tab w:val="left" w:pos="748"/>
        </w:tabs>
        <w:spacing w:before="223"/>
        <w:ind w:right="0"/>
      </w:pPr>
      <w:bookmarkStart w:id="394" w:name="_Toc25990"/>
      <w:bookmarkStart w:id="395" w:name="_Toc1712820580"/>
      <w:bookmarkStart w:id="396" w:name="_Toc1546396787"/>
      <w:r>
        <w:rPr>
          <w:spacing w:val="-10"/>
        </w:rPr>
        <w:t>结</w:t>
      </w:r>
      <w:r>
        <w:tab/>
      </w:r>
      <w:r>
        <w:rPr>
          <w:spacing w:val="-10"/>
        </w:rPr>
        <w:t>语</w:t>
      </w:r>
      <w:bookmarkEnd w:id="393"/>
      <w:bookmarkEnd w:id="394"/>
      <w:bookmarkEnd w:id="395"/>
      <w:bookmarkEnd w:id="396"/>
    </w:p>
    <w:p w14:paraId="019723DB">
      <w:pPr>
        <w:pStyle w:val="5"/>
        <w:spacing w:before="8"/>
        <w:ind w:left="0"/>
        <w:rPr>
          <w:rFonts w:ascii="黑体"/>
          <w:sz w:val="41"/>
        </w:rPr>
      </w:pPr>
    </w:p>
    <w:p w14:paraId="1403E25A">
      <w:pPr>
        <w:pStyle w:val="5"/>
        <w:autoSpaceDE/>
        <w:autoSpaceDN/>
        <w:spacing w:line="363" w:lineRule="auto"/>
        <w:ind w:left="0" w:right="0" w:firstLine="500" w:firstLineChars="200"/>
        <w:jc w:val="both"/>
        <w:rPr>
          <w:spacing w:val="-15"/>
        </w:rPr>
      </w:pPr>
      <w:r>
        <w:rPr>
          <w:spacing w:val="-15"/>
        </w:rPr>
        <w:t>“十二五”规划是为推进哈密地区跨越式发展和长治久安的重要规划。全地区各族干部群众要在哈密地委、行署的坚强领导下，紧紧抓住新疆大建设、大开放和大发展的历史机遇，以邓小平理论和“三个代表”重要思想为指导，全面深入贯彻落实科学发展观，坚定不移贯彻中央关于新疆发展和稳定、对口援建的总体部署，努力解放思想，坚决破除条件论、特殊论、资源论和唯水论，以经济建设为中心，全面推进经济建设、政治建设、文化建设、社会建设以及生态文明建设和党的建设，努力实现科学跨越和后发赶超，不断开创地区改革发展稳定的新局面，为率先实现全面建设小康社会目标，加快建设强而精、富而美的和谐哈密而努力奋斗。</w:t>
      </w:r>
    </w:p>
    <w:sectPr>
      <w:pgSz w:w="11910" w:h="16840"/>
      <w:pgMar w:top="1540" w:right="1260" w:bottom="1180" w:left="148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60B2">
    <w:pPr>
      <w:pStyle w:val="5"/>
      <w:spacing w:line="14" w:lineRule="auto"/>
      <w:ind w:left="0"/>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1271C">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0C005">
                          <w:pPr>
                            <w:pStyle w:val="7"/>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60C005">
                    <w:pPr>
                      <w:pStyle w:val="7"/>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75B16">
    <w:pPr>
      <w:pStyle w:val="5"/>
      <w:spacing w:line="14" w:lineRule="auto"/>
      <w:ind w:left="0"/>
      <w:rPr>
        <w:sz w:val="2"/>
      </w:rPr>
    </w:pPr>
    <w:r>
      <w:rPr>
        <w:sz w:val="2"/>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1CB15C">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1CB15C">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5BB60">
    <w:pPr>
      <w:pStyle w:val="7"/>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BF71B">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AFBF71B">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14EE6">
    <w:pPr>
      <w:pStyle w:val="5"/>
      <w:spacing w:line="14" w:lineRule="auto"/>
      <w:ind w:left="0"/>
      <w:rPr>
        <w:sz w:val="2"/>
      </w:rPr>
    </w:pPr>
    <w:r>
      <w:rPr>
        <w:sz w:val="2"/>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FFEB5">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4FFEB5">
                    <w:pPr>
                      <w:pStyle w:val="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A270">
    <w:pPr>
      <w:pStyle w:val="7"/>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5FCCB">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0</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865FCCB">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0</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ADBFE">
    <w:pPr>
      <w:pStyle w:val="5"/>
      <w:spacing w:line="14" w:lineRule="auto"/>
      <w:ind w:left="0"/>
      <w:rPr>
        <w:sz w:val="20"/>
      </w:rPr>
    </w:pPr>
    <w:r>
      <w:pict>
        <v:shape id="docshape3" o:spid="_x0000_s2051" o:spt="202" type="#_x0000_t202" style="position:absolute;left:0pt;margin-top:0pt;height:16.05pt;width:37.15pt;mso-position-horizontal:outside;mso-position-horizontal-relative:margin;z-index:251661312;mso-width-relative:page;mso-height-relative:page;" filled="f" stroked="f" coordsize="21600,21600">
          <v:path/>
          <v:fill on="f" focussize="0,0"/>
          <v:stroke on="f"/>
          <v:imagedata o:title=""/>
          <o:lock v:ext="edit" aspectratio="f"/>
          <v:textbox inset="0mm,0mm,0mm,0mm">
            <w:txbxContent>
              <w:p w14:paraId="20808DE3">
                <w:pPr>
                  <w:pStyle w:val="5"/>
                  <w:spacing w:line="321" w:lineRule="exact"/>
                  <w:ind w:left="20"/>
                  <w:jc w:val="right"/>
                </w:pPr>
                <w:r>
                  <w:fldChar w:fldCharType="begin"/>
                </w:r>
                <w:r>
                  <w:instrText xml:space="preserve"> PAGE  \* MERGEFORMAT </w:instrText>
                </w:r>
                <w:r>
                  <w:fldChar w:fldCharType="separate"/>
                </w:r>
                <w:r>
                  <w:t>7</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49CA5">
    <w:pPr>
      <w:pStyle w:val="5"/>
      <w:spacing w:line="14" w:lineRule="auto"/>
      <w:ind w:left="0"/>
      <w:rPr>
        <w:sz w:val="20"/>
      </w:rPr>
    </w:pPr>
    <w:r>
      <w:pict>
        <v:shape id="docshape4" o:spid="_x0000_s2052" o:spt="202" type="#_x0000_t202" style="position:absolute;left:0pt;margin-top:0pt;height:16.05pt;width:37pt;mso-position-horizontal:outside;mso-position-horizontal-relative:margin;z-index:251662336;mso-width-relative:page;mso-height-relative:page;" filled="f" stroked="f" coordsize="21600,21600">
          <v:path/>
          <v:fill on="f" focussize="0,0"/>
          <v:stroke on="f"/>
          <v:imagedata o:title=""/>
          <o:lock v:ext="edit" aspectratio="f"/>
          <v:textbox inset="0mm,0mm,0mm,0mm">
            <w:txbxContent>
              <w:p w14:paraId="6F4377A7">
                <w:pPr>
                  <w:pStyle w:val="5"/>
                  <w:spacing w:line="321" w:lineRule="exact"/>
                  <w:ind w:left="20"/>
                </w:pPr>
                <w:r>
                  <w:fldChar w:fldCharType="begin"/>
                </w:r>
                <w:r>
                  <w:instrText xml:space="preserve"> PAGE  \* MERGEFORMAT </w:instrText>
                </w:r>
                <w:r>
                  <w:fldChar w:fldCharType="separate"/>
                </w:r>
                <w:r>
                  <w:t>8</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F8831">
    <w:pPr>
      <w:pStyle w:val="5"/>
      <w:spacing w:line="14" w:lineRule="auto"/>
      <w:ind w:left="0"/>
      <w:rPr>
        <w:sz w:val="20"/>
      </w:rPr>
    </w:pPr>
    <w:r>
      <w:pict>
        <v:shape id="docshape9" o:spid="_x0000_s2054" o:spt="202" type="#_x0000_t202" style="position:absolute;left:0pt;margin-top:0pt;height:16.05pt;width:44.1pt;mso-position-horizontal:outside;mso-position-horizontal-relative:margin;z-index:251663360;mso-width-relative:page;mso-height-relative:page;" filled="f" stroked="f" coordsize="21600,21600">
          <v:path/>
          <v:fill on="f" focussize="0,0"/>
          <v:stroke on="f"/>
          <v:imagedata o:title=""/>
          <o:lock v:ext="edit" aspectratio="f"/>
          <v:textbox inset="0mm,0mm,0mm,0mm">
            <w:txbxContent>
              <w:p w14:paraId="189A138A">
                <w:pPr>
                  <w:pStyle w:val="5"/>
                  <w:spacing w:line="321" w:lineRule="exact"/>
                  <w:ind w:left="20"/>
                  <w:jc w:val="right"/>
                </w:pPr>
                <w:r>
                  <w:fldChar w:fldCharType="begin"/>
                </w:r>
                <w:r>
                  <w:instrText xml:space="preserve"> PAGE  \* MERGEFORMAT </w:instrText>
                </w:r>
                <w:r>
                  <w:fldChar w:fldCharType="separate"/>
                </w:r>
                <w:r>
                  <w:t>11</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41011">
    <w:pPr>
      <w:pStyle w:val="5"/>
      <w:spacing w:line="14" w:lineRule="auto"/>
      <w:ind w:left="0"/>
      <w:rPr>
        <w:sz w:val="20"/>
      </w:rPr>
    </w:pPr>
    <w:r>
      <w:pict>
        <v:shape id="docshape8" o:spid="_x0000_s2053" o:spt="202" type="#_x0000_t202" style="position:absolute;left:0pt;margin-top:0pt;height:16.05pt;width:43.95pt;mso-position-horizontal:outside;mso-position-horizontal-relative:margin;z-index:251662336;mso-width-relative:page;mso-height-relative:page;" filled="f" stroked="f" coordsize="21600,21600">
          <v:path/>
          <v:fill on="f" focussize="0,0"/>
          <v:stroke on="f"/>
          <v:imagedata o:title=""/>
          <o:lock v:ext="edit" aspectratio="f"/>
          <v:textbox inset="0mm,0mm,0mm,0mm">
            <w:txbxContent>
              <w:p w14:paraId="0058A08D">
                <w:pPr>
                  <w:pStyle w:val="5"/>
                  <w:spacing w:line="321" w:lineRule="exact"/>
                  <w:ind w:left="20"/>
                </w:pPr>
                <w:r>
                  <w:fldChar w:fldCharType="begin"/>
                </w:r>
                <w:r>
                  <w:instrText xml:space="preserve"> PAGE  \* MERGEFORMAT </w:instrText>
                </w:r>
                <w:r>
                  <w:fldChar w:fldCharType="separate"/>
                </w:r>
                <w:r>
                  <w:t>10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trackRevisions w:val="1"/>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025263E9"/>
    <w:rsid w:val="0AB7B7CC"/>
    <w:rsid w:val="0DCFA435"/>
    <w:rsid w:val="0FEEF19F"/>
    <w:rsid w:val="0FFB5D84"/>
    <w:rsid w:val="178766DD"/>
    <w:rsid w:val="1957BBBB"/>
    <w:rsid w:val="19F76EB6"/>
    <w:rsid w:val="1A46462D"/>
    <w:rsid w:val="1C915908"/>
    <w:rsid w:val="1EFF7715"/>
    <w:rsid w:val="1F3EA13A"/>
    <w:rsid w:val="1F8654CC"/>
    <w:rsid w:val="215A451A"/>
    <w:rsid w:val="27EF93DA"/>
    <w:rsid w:val="2B312790"/>
    <w:rsid w:val="2FB78AC0"/>
    <w:rsid w:val="2FDEC15A"/>
    <w:rsid w:val="2FFB7355"/>
    <w:rsid w:val="2FFD2DBF"/>
    <w:rsid w:val="2FFF79D1"/>
    <w:rsid w:val="2FFFD8C2"/>
    <w:rsid w:val="30405223"/>
    <w:rsid w:val="3355548A"/>
    <w:rsid w:val="336B25B7"/>
    <w:rsid w:val="33BD7B76"/>
    <w:rsid w:val="34FB7D30"/>
    <w:rsid w:val="377761A9"/>
    <w:rsid w:val="37D68DB5"/>
    <w:rsid w:val="3B404329"/>
    <w:rsid w:val="3BEFBA21"/>
    <w:rsid w:val="3CBE92FE"/>
    <w:rsid w:val="3CFD8BC1"/>
    <w:rsid w:val="3E1FC27D"/>
    <w:rsid w:val="3E72CFE7"/>
    <w:rsid w:val="3EDF65CB"/>
    <w:rsid w:val="3F143C52"/>
    <w:rsid w:val="3F5E74F7"/>
    <w:rsid w:val="3F7D99BC"/>
    <w:rsid w:val="3FBF1E46"/>
    <w:rsid w:val="3FDD6560"/>
    <w:rsid w:val="3FDDD8CA"/>
    <w:rsid w:val="3FEE2C36"/>
    <w:rsid w:val="3FF91D36"/>
    <w:rsid w:val="3FFD6CC7"/>
    <w:rsid w:val="421107CE"/>
    <w:rsid w:val="43FFD955"/>
    <w:rsid w:val="45DDD221"/>
    <w:rsid w:val="47F95F8C"/>
    <w:rsid w:val="482A25E9"/>
    <w:rsid w:val="48343468"/>
    <w:rsid w:val="49FB423D"/>
    <w:rsid w:val="4EF9D92F"/>
    <w:rsid w:val="4F5FB2FC"/>
    <w:rsid w:val="4F8F0E85"/>
    <w:rsid w:val="553EC1F8"/>
    <w:rsid w:val="55EF6140"/>
    <w:rsid w:val="55F6465E"/>
    <w:rsid w:val="56BFFC4F"/>
    <w:rsid w:val="56FBCC79"/>
    <w:rsid w:val="576D6085"/>
    <w:rsid w:val="57F95409"/>
    <w:rsid w:val="59FD5E80"/>
    <w:rsid w:val="5AB7B508"/>
    <w:rsid w:val="5ADA7AE4"/>
    <w:rsid w:val="5BFB490A"/>
    <w:rsid w:val="5D7385DF"/>
    <w:rsid w:val="5DFF759E"/>
    <w:rsid w:val="5EBF1885"/>
    <w:rsid w:val="5F5EEDF2"/>
    <w:rsid w:val="5F7F1FED"/>
    <w:rsid w:val="5FAF1382"/>
    <w:rsid w:val="5FB87C4D"/>
    <w:rsid w:val="5FCF16E3"/>
    <w:rsid w:val="619FBB2A"/>
    <w:rsid w:val="63AF727A"/>
    <w:rsid w:val="64169DD2"/>
    <w:rsid w:val="65EB6EC7"/>
    <w:rsid w:val="65FD06E7"/>
    <w:rsid w:val="66EF8680"/>
    <w:rsid w:val="677B33AC"/>
    <w:rsid w:val="679E1F41"/>
    <w:rsid w:val="67DF735C"/>
    <w:rsid w:val="67DFFB03"/>
    <w:rsid w:val="6AA3E428"/>
    <w:rsid w:val="6BCFF8AD"/>
    <w:rsid w:val="6C7EE97B"/>
    <w:rsid w:val="6D52238D"/>
    <w:rsid w:val="6DF6B660"/>
    <w:rsid w:val="6DFFF781"/>
    <w:rsid w:val="6FFC6A2E"/>
    <w:rsid w:val="6FFF928C"/>
    <w:rsid w:val="718F3339"/>
    <w:rsid w:val="72646574"/>
    <w:rsid w:val="727B6076"/>
    <w:rsid w:val="72AF5CC6"/>
    <w:rsid w:val="73C93E5F"/>
    <w:rsid w:val="73E54CA7"/>
    <w:rsid w:val="75EF9159"/>
    <w:rsid w:val="76AF1D88"/>
    <w:rsid w:val="76DF25EC"/>
    <w:rsid w:val="76F74FCD"/>
    <w:rsid w:val="76FB5361"/>
    <w:rsid w:val="775E591D"/>
    <w:rsid w:val="776E8EB6"/>
    <w:rsid w:val="77CD51B9"/>
    <w:rsid w:val="77E774D4"/>
    <w:rsid w:val="77F15BD7"/>
    <w:rsid w:val="77FB89C4"/>
    <w:rsid w:val="77FE87B9"/>
    <w:rsid w:val="77FEF1FE"/>
    <w:rsid w:val="78DB3308"/>
    <w:rsid w:val="796BAA3C"/>
    <w:rsid w:val="799C6C19"/>
    <w:rsid w:val="7A7B5EBC"/>
    <w:rsid w:val="7ABFBFF6"/>
    <w:rsid w:val="7B53D027"/>
    <w:rsid w:val="7B6538C0"/>
    <w:rsid w:val="7B7FA4FD"/>
    <w:rsid w:val="7BA774D1"/>
    <w:rsid w:val="7BC38331"/>
    <w:rsid w:val="7BDE1304"/>
    <w:rsid w:val="7BFF7891"/>
    <w:rsid w:val="7C1ED00A"/>
    <w:rsid w:val="7C779520"/>
    <w:rsid w:val="7C7FAC21"/>
    <w:rsid w:val="7CBDC9D0"/>
    <w:rsid w:val="7CEF253A"/>
    <w:rsid w:val="7D3B8FD4"/>
    <w:rsid w:val="7DAB6014"/>
    <w:rsid w:val="7DBDA984"/>
    <w:rsid w:val="7DDD3305"/>
    <w:rsid w:val="7DDFE7D0"/>
    <w:rsid w:val="7DFE9516"/>
    <w:rsid w:val="7E144A1A"/>
    <w:rsid w:val="7E57952C"/>
    <w:rsid w:val="7E796EBB"/>
    <w:rsid w:val="7E7E74EF"/>
    <w:rsid w:val="7E9F34DE"/>
    <w:rsid w:val="7EB2224C"/>
    <w:rsid w:val="7EB73E1F"/>
    <w:rsid w:val="7EBE3BC2"/>
    <w:rsid w:val="7EBF3953"/>
    <w:rsid w:val="7EDB6247"/>
    <w:rsid w:val="7EDD1726"/>
    <w:rsid w:val="7EF3D248"/>
    <w:rsid w:val="7EFCC4FB"/>
    <w:rsid w:val="7F37A235"/>
    <w:rsid w:val="7F4E6E8A"/>
    <w:rsid w:val="7F7FFC1A"/>
    <w:rsid w:val="7F9DED34"/>
    <w:rsid w:val="7F9DF618"/>
    <w:rsid w:val="7FB74FB2"/>
    <w:rsid w:val="7FBF5538"/>
    <w:rsid w:val="7FDE8F45"/>
    <w:rsid w:val="7FEED172"/>
    <w:rsid w:val="7FEF72F6"/>
    <w:rsid w:val="7FEFAF1E"/>
    <w:rsid w:val="7FF09317"/>
    <w:rsid w:val="7FFB8AC0"/>
    <w:rsid w:val="7FFEF5B9"/>
    <w:rsid w:val="8FF86897"/>
    <w:rsid w:val="92BFCEA0"/>
    <w:rsid w:val="96DBBBEF"/>
    <w:rsid w:val="97C734D6"/>
    <w:rsid w:val="9DE44ED5"/>
    <w:rsid w:val="9DFBC454"/>
    <w:rsid w:val="9E25F910"/>
    <w:rsid w:val="9F4EB023"/>
    <w:rsid w:val="A7D5E293"/>
    <w:rsid w:val="A7DD070C"/>
    <w:rsid w:val="AF7B5713"/>
    <w:rsid w:val="AFDD231F"/>
    <w:rsid w:val="B4DBBE66"/>
    <w:rsid w:val="B6EF22EE"/>
    <w:rsid w:val="B7AE6308"/>
    <w:rsid w:val="B8FD235B"/>
    <w:rsid w:val="B9773CE6"/>
    <w:rsid w:val="BBFEEBC3"/>
    <w:rsid w:val="BBFFE315"/>
    <w:rsid w:val="BC79AAA5"/>
    <w:rsid w:val="BDAFB37C"/>
    <w:rsid w:val="BDEE2456"/>
    <w:rsid w:val="BEEE5A78"/>
    <w:rsid w:val="BEF793E5"/>
    <w:rsid w:val="BEFBAD08"/>
    <w:rsid w:val="BEFF15D8"/>
    <w:rsid w:val="BFED0D4A"/>
    <w:rsid w:val="BFF3957C"/>
    <w:rsid w:val="BFFE215A"/>
    <w:rsid w:val="BFFF7D93"/>
    <w:rsid w:val="CBFA0DD6"/>
    <w:rsid w:val="CDB570AC"/>
    <w:rsid w:val="CDF50CBC"/>
    <w:rsid w:val="CEBB0136"/>
    <w:rsid w:val="CEDB1999"/>
    <w:rsid w:val="CEED07C2"/>
    <w:rsid w:val="CFEDD67D"/>
    <w:rsid w:val="D1F6E8E7"/>
    <w:rsid w:val="D73FE12C"/>
    <w:rsid w:val="D7A70FE3"/>
    <w:rsid w:val="D7CFAD11"/>
    <w:rsid w:val="DBBA9E2A"/>
    <w:rsid w:val="DC7E188F"/>
    <w:rsid w:val="DCFE5360"/>
    <w:rsid w:val="DCFF09E4"/>
    <w:rsid w:val="DD7FD9F9"/>
    <w:rsid w:val="DD9E8900"/>
    <w:rsid w:val="DE376F0C"/>
    <w:rsid w:val="DEEFB3A2"/>
    <w:rsid w:val="DEFD2741"/>
    <w:rsid w:val="DF6F0732"/>
    <w:rsid w:val="DFDF4A97"/>
    <w:rsid w:val="DFDF5A79"/>
    <w:rsid w:val="DFE7D987"/>
    <w:rsid w:val="E2FFF1E5"/>
    <w:rsid w:val="E59A2FCB"/>
    <w:rsid w:val="E6F6ADB9"/>
    <w:rsid w:val="E715877A"/>
    <w:rsid w:val="E7ED203E"/>
    <w:rsid w:val="E7FA9A4F"/>
    <w:rsid w:val="E90E6873"/>
    <w:rsid w:val="EBF6351E"/>
    <w:rsid w:val="EDB5C264"/>
    <w:rsid w:val="EDB6BB98"/>
    <w:rsid w:val="EDE785F9"/>
    <w:rsid w:val="EEFF3EF8"/>
    <w:rsid w:val="EEFF6D6E"/>
    <w:rsid w:val="EF4DCDCD"/>
    <w:rsid w:val="EF7EEDFC"/>
    <w:rsid w:val="EF9F58FF"/>
    <w:rsid w:val="EFAF30FC"/>
    <w:rsid w:val="EFBA404C"/>
    <w:rsid w:val="EFCB4E75"/>
    <w:rsid w:val="EFFF153C"/>
    <w:rsid w:val="F1FDE28E"/>
    <w:rsid w:val="F25FFD80"/>
    <w:rsid w:val="F2FBB1D8"/>
    <w:rsid w:val="F5A3CF05"/>
    <w:rsid w:val="F5AF42D4"/>
    <w:rsid w:val="F5DF5434"/>
    <w:rsid w:val="F5FCAA26"/>
    <w:rsid w:val="F6DFC432"/>
    <w:rsid w:val="F6EF1165"/>
    <w:rsid w:val="F7A3C29F"/>
    <w:rsid w:val="F7B56278"/>
    <w:rsid w:val="F8159474"/>
    <w:rsid w:val="F95E1942"/>
    <w:rsid w:val="FA3F3D6C"/>
    <w:rsid w:val="FA6F2FFF"/>
    <w:rsid w:val="FAE7130B"/>
    <w:rsid w:val="FAED6F40"/>
    <w:rsid w:val="FAFD4274"/>
    <w:rsid w:val="FBBFDD2B"/>
    <w:rsid w:val="FBC16C02"/>
    <w:rsid w:val="FBDFCAA1"/>
    <w:rsid w:val="FBEF61D7"/>
    <w:rsid w:val="FBFCEE9A"/>
    <w:rsid w:val="FC5130E1"/>
    <w:rsid w:val="FC9FABFB"/>
    <w:rsid w:val="FDB73444"/>
    <w:rsid w:val="FDEB9D00"/>
    <w:rsid w:val="FDFD5E81"/>
    <w:rsid w:val="FDFF17B5"/>
    <w:rsid w:val="FDFFA96E"/>
    <w:rsid w:val="FEAB9C69"/>
    <w:rsid w:val="FEAFE0EF"/>
    <w:rsid w:val="FEB9DE81"/>
    <w:rsid w:val="FEDF59E9"/>
    <w:rsid w:val="FEFF0914"/>
    <w:rsid w:val="FF8DC216"/>
    <w:rsid w:val="FFA76C1F"/>
    <w:rsid w:val="FFAE8AFC"/>
    <w:rsid w:val="FFB8E655"/>
    <w:rsid w:val="FFBBC618"/>
    <w:rsid w:val="FFCB72E5"/>
    <w:rsid w:val="FFCF518D"/>
    <w:rsid w:val="FFCF92B6"/>
    <w:rsid w:val="FFDBC2D1"/>
    <w:rsid w:val="FFDE8BAF"/>
    <w:rsid w:val="FFE34D26"/>
    <w:rsid w:val="FFE593C3"/>
    <w:rsid w:val="FFE78607"/>
    <w:rsid w:val="FFEF1AB6"/>
    <w:rsid w:val="FFF55C79"/>
    <w:rsid w:val="FFF97A1F"/>
    <w:rsid w:val="FFF9FCE8"/>
    <w:rsid w:val="FFFF3663"/>
    <w:rsid w:val="FFFFD332"/>
    <w:rsid w:val="FFFFEA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en-US" w:eastAsia="zh-CN" w:bidi="ar-SA"/>
    </w:rPr>
  </w:style>
  <w:style w:type="paragraph" w:styleId="2">
    <w:name w:val="heading 1"/>
    <w:basedOn w:val="1"/>
    <w:qFormat/>
    <w:uiPriority w:val="1"/>
    <w:pPr>
      <w:ind w:right="320"/>
      <w:jc w:val="center"/>
      <w:outlineLvl w:val="1"/>
    </w:pPr>
    <w:rPr>
      <w:rFonts w:ascii="黑体" w:hAnsi="黑体" w:eastAsia="黑体" w:cs="黑体"/>
      <w:sz w:val="30"/>
      <w:szCs w:val="30"/>
      <w:lang w:val="en-US" w:eastAsia="zh-CN" w:bidi="ar-SA"/>
    </w:rPr>
  </w:style>
  <w:style w:type="paragraph" w:styleId="3">
    <w:name w:val="heading 2"/>
    <w:basedOn w:val="1"/>
    <w:qFormat/>
    <w:uiPriority w:val="1"/>
    <w:pPr>
      <w:ind w:left="975" w:right="1298"/>
      <w:jc w:val="center"/>
      <w:outlineLvl w:val="2"/>
    </w:pPr>
    <w:rPr>
      <w:rFonts w:ascii="楷体_GB2312" w:hAnsi="楷体_GB2312" w:eastAsia="楷体_GB2312" w:cs="楷体_GB2312"/>
      <w:b/>
      <w:bCs/>
      <w:i/>
      <w:iCs/>
      <w:sz w:val="28"/>
      <w:szCs w:val="28"/>
      <w:lang w:val="en-US" w:eastAsia="zh-CN" w:bidi="ar-SA"/>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221"/>
    </w:pPr>
    <w:rPr>
      <w:rFonts w:ascii="仿宋_GB2312" w:hAnsi="仿宋_GB2312" w:eastAsia="仿宋_GB2312" w:cs="仿宋_GB2312"/>
      <w:sz w:val="28"/>
      <w:szCs w:val="28"/>
      <w:lang w:val="en-US" w:eastAsia="zh-CN" w:bidi="ar-SA"/>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style>
  <w:style w:type="paragraph" w:styleId="10">
    <w:name w:val="Body Text 2"/>
    <w:basedOn w:val="1"/>
    <w:qFormat/>
    <w:uiPriority w:val="0"/>
    <w:pPr>
      <w:spacing w:after="120" w:line="480" w:lineRule="auto"/>
    </w:pPr>
  </w:style>
  <w:style w:type="paragraph" w:styleId="11">
    <w:name w:val="Title"/>
    <w:basedOn w:val="1"/>
    <w:qFormat/>
    <w:uiPriority w:val="1"/>
    <w:pPr>
      <w:spacing w:before="28"/>
      <w:ind w:left="1080" w:right="1298"/>
      <w:jc w:val="center"/>
    </w:pPr>
    <w:rPr>
      <w:rFonts w:ascii="宋体" w:hAnsi="宋体" w:eastAsia="宋体" w:cs="宋体"/>
      <w:b/>
      <w:bCs/>
      <w:sz w:val="52"/>
      <w:szCs w:val="52"/>
      <w:lang w:val="en-US" w:eastAsia="zh-CN" w:bidi="ar-SA"/>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rPr>
      <w:lang w:val="en-US" w:eastAsia="zh-CN" w:bidi="ar-SA"/>
    </w:rPr>
  </w:style>
  <w:style w:type="paragraph" w:customStyle="1" w:styleId="16">
    <w:name w:val="Table Paragraph"/>
    <w:basedOn w:val="1"/>
    <w:qFormat/>
    <w:uiPriority w:val="1"/>
    <w:pPr>
      <w:spacing w:before="91"/>
      <w:jc w:val="center"/>
    </w:pPr>
    <w:rPr>
      <w:rFonts w:ascii="仿宋_GB2312" w:hAnsi="仿宋_GB2312" w:eastAsia="仿宋_GB2312" w:cs="仿宋_GB231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1"/>
    <customShpInfo spid="_x0000_s2052"/>
    <customShpInfo spid="_x0000_s2054"/>
    <customShpInfo spid="_x0000_s2053"/>
    <customShpInfo spid="_x0000_s1027"/>
    <customShpInfo spid="_x0000_s1028"/>
    <customShpInfo spid="_x0000_s1032"/>
    <customShpInfo spid="_x0000_s1033"/>
    <customShpInfo spid="_x0000_s1031"/>
    <customShpInfo spid="_x0000_s1034"/>
    <customShpInfo spid="_x0000_s1036"/>
    <customShpInfo spid="_x0000_s1037"/>
    <customShpInfo spid="_x0000_s1035"/>
    <customShpInfo spid="_x0000_s1038"/>
    <customShpInfo spid="_x0000_s1039"/>
    <customShpInfo spid="_x0000_s1040"/>
    <customShpInfo spid="_x0000_s1045"/>
    <customShpInfo spid="_x0000_s1049"/>
    <customShpInfo spid="_x0000_s1051"/>
    <customShpInfo spid="_x0000_s1052"/>
    <customShpInfo spid="_x0000_s1050"/>
    <customShpInfo spid="_x0000_s1053"/>
    <customShpInfo spid="_x0000_s1054"/>
    <customShpInfo spid="_x0000_s1056"/>
    <customShpInfo spid="_x0000_s1057"/>
    <customShpInfo spid="_x0000_s1055"/>
    <customShpInfo spid="_x0000_s1059"/>
    <customShpInfo spid="_x0000_s1060"/>
    <customShpInfo spid="_x0000_s1058"/>
    <customShpInfo spid="_x0000_s1061"/>
    <customShpInfo spid="_x0000_s1062"/>
    <customShpInfo spid="_x0000_s1064"/>
    <customShpInfo spid="_x0000_s1065"/>
    <customShpInfo spid="_x0000_s1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8255</Words>
  <Characters>8837</Characters>
  <TotalTime>8</TotalTime>
  <ScaleCrop>false</ScaleCrop>
  <LinksUpToDate>false</LinksUpToDate>
  <CharactersWithSpaces>9330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2025-10-18T04:47:00Z</dcterms:created>
  <dc:creator>sunyuncheng</dc:creator>
  <cp:lastModifiedBy>Hн</cp:lastModifiedBy>
  <dcterms:modified xsi:type="dcterms:W3CDTF">2025-11-19T10:26:03Z</dcterms:modified>
  <dc:title>哈密地区国民经济和社会发展第十二个五年规划纲要</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2023-12-20T00:00:00Z</vt:filetime>
  </property>
  <property fmtid="{D5CDD505-2E9C-101B-9397-08002B2CF9AE}" pid="3" name="Creator">
    <vt:lpwstr>WPS 文字</vt:lpwstr>
  </property>
  <property fmtid="{D5CDD505-2E9C-101B-9397-08002B2CF9AE}" pid="4" name="LastSaved">
    <vt:filetime>2025-10-14T00:00:00Z</vt:filetime>
  </property>
  <property fmtid="{D5CDD505-2E9C-101B-9397-08002B2CF9AE}" pid="5" name="SourceModified">
    <vt:lpwstr>D:20231220112752+03'27'</vt:lpwstr>
  </property>
  <property fmtid="{D5CDD505-2E9C-101B-9397-08002B2CF9AE}" pid="6" name="KSOProductBuildVer">
    <vt:lpwstr>2052-12.1.0.23125</vt:lpwstr>
  </property>
  <property fmtid="{D5CDD505-2E9C-101B-9397-08002B2CF9AE}" pid="7" name="ICV">
    <vt:lpwstr>2FC6209E651DB6C62ABE156947573D14</vt:lpwstr>
  </property>
  <property fmtid="{D5CDD505-2E9C-101B-9397-08002B2CF9AE}" pid="8" name="KSOTemplateDocerSaveRecord">
    <vt:lpwstr>eyJoZGlkIjoiYTNmMzU2YTk1MzVlOTEzZGM1Y2JmMTk5ZTMyMTY1MDciLCJ1c2VySWQiOiI2NjEzOTg2NTAifQ==</vt:lpwstr>
  </property>
</Properties>
</file>