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Style w:val="19"/>
          <w:rFonts w:ascii="仿宋_GB2312" w:hAnsi="仿宋_GB2312" w:eastAsia="仿宋_GB2312" w:cs="仿宋_GB2312"/>
          <w:b/>
          <w:bCs w:val="0"/>
          <w:spacing w:val="-4"/>
          <w:sz w:val="30"/>
          <w:szCs w:val="30"/>
        </w:rPr>
      </w:pPr>
      <w:r>
        <w:rPr>
          <w:rStyle w:val="19"/>
          <w:rFonts w:hint="eastAsia" w:ascii="黑体" w:hAnsi="黑体" w:eastAsia="黑体" w:cs="黑体"/>
          <w:b/>
          <w:bCs w:val="0"/>
          <w:spacing w:val="-4"/>
          <w:sz w:val="44"/>
          <w:szCs w:val="44"/>
          <w:lang w:eastAsia="zh-CN"/>
        </w:rPr>
        <w:t>关于</w:t>
      </w:r>
      <w:r>
        <w:rPr>
          <w:rStyle w:val="19"/>
          <w:rFonts w:hint="eastAsia" w:ascii="黑体" w:hAnsi="黑体" w:eastAsia="黑体" w:cs="黑体"/>
          <w:b/>
          <w:bCs w:val="0"/>
          <w:spacing w:val="-4"/>
          <w:sz w:val="44"/>
          <w:szCs w:val="44"/>
          <w:lang w:val="en-US" w:eastAsia="zh-CN"/>
        </w:rPr>
        <w:t>2021年哈密市本级社会保险基金决算公开有关情况的说明</w:t>
      </w:r>
    </w:p>
    <w:p>
      <w:pPr>
        <w:spacing w:line="560" w:lineRule="exact"/>
        <w:ind w:firstLine="567"/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</w:pPr>
    </w:p>
    <w:p>
      <w:pPr>
        <w:spacing w:line="560" w:lineRule="exact"/>
        <w:ind w:firstLine="567"/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2021年，哈密市本级社会保险基金总收入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28.90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亿元（决算报表中“小计数”</w:t>
      </w:r>
      <w:bookmarkStart w:id="0" w:name="_GoBack"/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，</w:t>
      </w:r>
      <w:bookmarkEnd w:id="0"/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不含上下级往来，下同），总支出</w:t>
      </w:r>
      <w:r>
        <w:rPr>
          <w:rFonts w:hint="eastAsia" w:ascii="仿宋_GB2312" w:hAnsi="仿宋_GB2312" w:eastAsia="仿宋_GB2312" w:cs="仿宋_GB2312"/>
          <w:bCs/>
          <w:sz w:val="30"/>
          <w:szCs w:val="30"/>
          <w:highlight w:val="none"/>
          <w:lang w:val="en-US" w:eastAsia="zh-CN"/>
        </w:rPr>
        <w:t>25.52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亿元，本年收支结余3.38亿元，年末滚存结余20.25亿元。分项情况如下：</w:t>
      </w:r>
    </w:p>
    <w:p>
      <w:pPr>
        <w:pStyle w:val="2"/>
        <w:ind w:firstLine="600"/>
        <w:jc w:val="left"/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  <w:t>一、机关事业单位基本养老保险基金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  <w:t xml:space="preserve">   本年收入12.32亿元，其中：保险费收入5.41亿元，利息收入0.02亿元，财政补贴收入6.32亿元，其他收入0.003亿元，转移收入0.05亿元；本年支出12.01亿元，其中：社会保险待遇支出11.98亿元，转移支出0.03亿元；本年收支结余0.31亿元；年末滚存结余1.38亿元。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  <w:t xml:space="preserve">   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  <w:t>二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  <w:t>、职工基本医疗保险基金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  <w:t xml:space="preserve">   本年收入10.13亿元，其中：保险费收入8.53亿元，利息收入0.06亿元，转移收入0.02亿元，其他收入0.18亿元；本年支出8.10亿元，其中：社会保险待遇支出6.57亿元，其他支出0.26亿元，转移支出0.02亿元；本年收支结余2.03亿元；年末滚存结余11.83亿元。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  <w:t xml:space="preserve">   三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  <w:t>、城乡居民基本医疗保险基金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  <w:t xml:space="preserve">   本年收入3.97亿元，其中：保险费收入0.99亿元，财政补贴收入2.18亿元，利息收入0.02亿元，其他收入0.14亿元；本年支出3.39亿元，其中：社会保险待遇支出2.20亿元，其他支出0.16亿元；本年收支结余0.58亿元；年末滚存结余2.43亿元。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  <w:t xml:space="preserve">  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  <w:t xml:space="preserve"> 四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  <w:t>、城乡居民基本养老保险基金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  <w:t xml:space="preserve">   本年收入1.43亿元，其中：保险费收入0.23亿元，财政补贴收入1.12亿元，利息收入0.02亿元，委托投资收益0.02亿元，转移收入0.007亿元，其他收入0.01亿元；本年支出1.15亿元，其中：社会保险待遇支出1.14亿元，转移支出0.003亿元；本年收支结余0.28亿元；年末滚存结余2.21亿元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  <w:t>五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0"/>
          <w:szCs w:val="30"/>
          <w:lang w:val="en-US" w:eastAsia="zh-CN" w:bidi="ar-SA"/>
        </w:rPr>
        <w:t>、失业保险基金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  <w:t>本年收入1.05亿元，其中：保险费收入0.73亿元，利息收入0.02亿元，转移收入0.0007亿元，其他收入0.0004亿元；本年支出0.87亿元，其中：社会保险待遇支出0.24亿元，其他支出0.14亿元，转移支出0.001亿元；本年收支结余0.18亿元；年末滚存结余2.40亿元。</w:t>
      </w:r>
    </w:p>
    <w:p>
      <w:pPr>
        <w:pStyle w:val="2"/>
        <w:numPr>
          <w:ilvl w:val="0"/>
          <w:numId w:val="0"/>
        </w:numPr>
        <w:ind w:firstLine="600"/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firstLine="600"/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  <w:t>附件：2021年哈密市本级社会保险基金收支决算总表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0"/>
          <w:szCs w:val="30"/>
          <w:lang w:val="en-US" w:eastAsia="zh-CN" w:bidi="ar-SA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0979F9"/>
    <w:rsid w:val="000D3913"/>
    <w:rsid w:val="000D5F79"/>
    <w:rsid w:val="00121AE4"/>
    <w:rsid w:val="00136DE7"/>
    <w:rsid w:val="00146AAD"/>
    <w:rsid w:val="00176D8D"/>
    <w:rsid w:val="001B3A40"/>
    <w:rsid w:val="001B6CEB"/>
    <w:rsid w:val="00240D24"/>
    <w:rsid w:val="002C4738"/>
    <w:rsid w:val="00325819"/>
    <w:rsid w:val="00330ED3"/>
    <w:rsid w:val="003336AD"/>
    <w:rsid w:val="00341FB9"/>
    <w:rsid w:val="00344593"/>
    <w:rsid w:val="00392327"/>
    <w:rsid w:val="0039385F"/>
    <w:rsid w:val="00406F50"/>
    <w:rsid w:val="004306B1"/>
    <w:rsid w:val="004366A8"/>
    <w:rsid w:val="004973F4"/>
    <w:rsid w:val="004B7832"/>
    <w:rsid w:val="004C4ED4"/>
    <w:rsid w:val="004D71F7"/>
    <w:rsid w:val="00502BA7"/>
    <w:rsid w:val="005047F1"/>
    <w:rsid w:val="0051288D"/>
    <w:rsid w:val="005162F1"/>
    <w:rsid w:val="00522A1B"/>
    <w:rsid w:val="00533701"/>
    <w:rsid w:val="00535153"/>
    <w:rsid w:val="00536224"/>
    <w:rsid w:val="00554F82"/>
    <w:rsid w:val="0056390D"/>
    <w:rsid w:val="005719B0"/>
    <w:rsid w:val="005C288A"/>
    <w:rsid w:val="005D10D6"/>
    <w:rsid w:val="00605468"/>
    <w:rsid w:val="00607BC6"/>
    <w:rsid w:val="006877E9"/>
    <w:rsid w:val="006F1484"/>
    <w:rsid w:val="00741077"/>
    <w:rsid w:val="00774FC7"/>
    <w:rsid w:val="007A2073"/>
    <w:rsid w:val="007A2BE6"/>
    <w:rsid w:val="007B5683"/>
    <w:rsid w:val="007D5005"/>
    <w:rsid w:val="007F570C"/>
    <w:rsid w:val="0080095D"/>
    <w:rsid w:val="00847D1B"/>
    <w:rsid w:val="00855E3A"/>
    <w:rsid w:val="00892FAA"/>
    <w:rsid w:val="008C75F9"/>
    <w:rsid w:val="008E231B"/>
    <w:rsid w:val="00922CB9"/>
    <w:rsid w:val="00932027"/>
    <w:rsid w:val="00952059"/>
    <w:rsid w:val="00962F90"/>
    <w:rsid w:val="009B5D7E"/>
    <w:rsid w:val="009C31E6"/>
    <w:rsid w:val="009E5CD9"/>
    <w:rsid w:val="009F4E7D"/>
    <w:rsid w:val="009F6192"/>
    <w:rsid w:val="00A26421"/>
    <w:rsid w:val="00A4293B"/>
    <w:rsid w:val="00A64271"/>
    <w:rsid w:val="00A6681C"/>
    <w:rsid w:val="00A67D50"/>
    <w:rsid w:val="00A81CDE"/>
    <w:rsid w:val="00A8691A"/>
    <w:rsid w:val="00A93AEF"/>
    <w:rsid w:val="00AC1946"/>
    <w:rsid w:val="00AE55FA"/>
    <w:rsid w:val="00B219C9"/>
    <w:rsid w:val="00B224C0"/>
    <w:rsid w:val="00B40063"/>
    <w:rsid w:val="00B41F61"/>
    <w:rsid w:val="00B45DF1"/>
    <w:rsid w:val="00B65F35"/>
    <w:rsid w:val="00BA46E6"/>
    <w:rsid w:val="00BB200C"/>
    <w:rsid w:val="00BC5DAB"/>
    <w:rsid w:val="00BF7F73"/>
    <w:rsid w:val="00C0269D"/>
    <w:rsid w:val="00C0636D"/>
    <w:rsid w:val="00C56C72"/>
    <w:rsid w:val="00C5727A"/>
    <w:rsid w:val="00C70524"/>
    <w:rsid w:val="00C75D58"/>
    <w:rsid w:val="00C77377"/>
    <w:rsid w:val="00C865D2"/>
    <w:rsid w:val="00CA6457"/>
    <w:rsid w:val="00CE2067"/>
    <w:rsid w:val="00D17F2E"/>
    <w:rsid w:val="00D25887"/>
    <w:rsid w:val="00D270E5"/>
    <w:rsid w:val="00D30354"/>
    <w:rsid w:val="00D66EEB"/>
    <w:rsid w:val="00DF42A0"/>
    <w:rsid w:val="00E25910"/>
    <w:rsid w:val="00E3679E"/>
    <w:rsid w:val="00E769FE"/>
    <w:rsid w:val="00E944FC"/>
    <w:rsid w:val="00EA2CBE"/>
    <w:rsid w:val="00EB6145"/>
    <w:rsid w:val="00EC3B97"/>
    <w:rsid w:val="00EF13FA"/>
    <w:rsid w:val="00F002CD"/>
    <w:rsid w:val="00F0324D"/>
    <w:rsid w:val="00F32FEE"/>
    <w:rsid w:val="00F7692E"/>
    <w:rsid w:val="00FB10BB"/>
    <w:rsid w:val="00FC14E1"/>
    <w:rsid w:val="01116FEC"/>
    <w:rsid w:val="0277635B"/>
    <w:rsid w:val="03A76AA5"/>
    <w:rsid w:val="04A7508F"/>
    <w:rsid w:val="04EB4934"/>
    <w:rsid w:val="07202B1B"/>
    <w:rsid w:val="09A50626"/>
    <w:rsid w:val="0B6E7FB8"/>
    <w:rsid w:val="0BBC293C"/>
    <w:rsid w:val="10763D0C"/>
    <w:rsid w:val="128946C3"/>
    <w:rsid w:val="14515D20"/>
    <w:rsid w:val="16054287"/>
    <w:rsid w:val="166879CC"/>
    <w:rsid w:val="16B15AA0"/>
    <w:rsid w:val="1BA40D39"/>
    <w:rsid w:val="1D0169C3"/>
    <w:rsid w:val="20317511"/>
    <w:rsid w:val="220A6449"/>
    <w:rsid w:val="246916BE"/>
    <w:rsid w:val="263D4293"/>
    <w:rsid w:val="280D426F"/>
    <w:rsid w:val="2AE45F76"/>
    <w:rsid w:val="2B9D2A91"/>
    <w:rsid w:val="2BB8257B"/>
    <w:rsid w:val="2DCC62C6"/>
    <w:rsid w:val="2DDF6276"/>
    <w:rsid w:val="2EBA418A"/>
    <w:rsid w:val="30BE0F9C"/>
    <w:rsid w:val="30EE20E9"/>
    <w:rsid w:val="31446F01"/>
    <w:rsid w:val="317869AA"/>
    <w:rsid w:val="31F23AFE"/>
    <w:rsid w:val="32B252D2"/>
    <w:rsid w:val="356A7949"/>
    <w:rsid w:val="367A4211"/>
    <w:rsid w:val="37413820"/>
    <w:rsid w:val="375F7C3A"/>
    <w:rsid w:val="37C45358"/>
    <w:rsid w:val="39EF4840"/>
    <w:rsid w:val="3AF71C40"/>
    <w:rsid w:val="3BB70555"/>
    <w:rsid w:val="3BC7304C"/>
    <w:rsid w:val="3D263659"/>
    <w:rsid w:val="41D95409"/>
    <w:rsid w:val="41F46496"/>
    <w:rsid w:val="449C451D"/>
    <w:rsid w:val="45DD0C25"/>
    <w:rsid w:val="466F183E"/>
    <w:rsid w:val="47FB44A6"/>
    <w:rsid w:val="4A7342F5"/>
    <w:rsid w:val="4AE1187D"/>
    <w:rsid w:val="4BDB7DA7"/>
    <w:rsid w:val="4C5F7F78"/>
    <w:rsid w:val="4DC11521"/>
    <w:rsid w:val="50F83254"/>
    <w:rsid w:val="53005138"/>
    <w:rsid w:val="5447318A"/>
    <w:rsid w:val="58D75736"/>
    <w:rsid w:val="5AA453CD"/>
    <w:rsid w:val="5BD37F56"/>
    <w:rsid w:val="5C4806EE"/>
    <w:rsid w:val="5D57207E"/>
    <w:rsid w:val="608C353B"/>
    <w:rsid w:val="63314715"/>
    <w:rsid w:val="63D23A57"/>
    <w:rsid w:val="643724A6"/>
    <w:rsid w:val="65C07533"/>
    <w:rsid w:val="66437D33"/>
    <w:rsid w:val="684B0830"/>
    <w:rsid w:val="69B91819"/>
    <w:rsid w:val="6AF3174B"/>
    <w:rsid w:val="6C0A0ACE"/>
    <w:rsid w:val="6C74389A"/>
    <w:rsid w:val="6D747692"/>
    <w:rsid w:val="6E2B7C6A"/>
    <w:rsid w:val="700010A2"/>
    <w:rsid w:val="70B07B00"/>
    <w:rsid w:val="74D53E28"/>
    <w:rsid w:val="7546593F"/>
    <w:rsid w:val="75AE4E59"/>
    <w:rsid w:val="76243622"/>
    <w:rsid w:val="77692F40"/>
    <w:rsid w:val="77716415"/>
    <w:rsid w:val="7B270171"/>
    <w:rsid w:val="7BDE0F75"/>
    <w:rsid w:val="7D980D38"/>
    <w:rsid w:val="7E670D9A"/>
    <w:rsid w:val="7EF1461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10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1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unhideWhenUsed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1"/>
    <w:qFormat/>
    <w:uiPriority w:val="99"/>
    <w:pPr>
      <w:jc w:val="center"/>
    </w:pPr>
    <w:rPr>
      <w:rFonts w:eastAsia="方正小标宋简体"/>
      <w:b/>
      <w:bCs/>
      <w:sz w:val="44"/>
    </w:rPr>
  </w:style>
  <w:style w:type="paragraph" w:styleId="12">
    <w:name w:val="Balloon Text"/>
    <w:basedOn w:val="1"/>
    <w:link w:val="32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5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17">
    <w:name w:val="Title"/>
    <w:basedOn w:val="1"/>
    <w:next w:val="1"/>
    <w:link w:val="36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2">
    <w:name w:val="标题 1 Char"/>
    <w:basedOn w:val="18"/>
    <w:link w:val="3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标题 2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标题 3 Char"/>
    <w:basedOn w:val="18"/>
    <w:link w:val="5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标题 4 Char"/>
    <w:basedOn w:val="18"/>
    <w:link w:val="6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标题 5 Char"/>
    <w:basedOn w:val="18"/>
    <w:link w:val="7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标题 6 Char"/>
    <w:basedOn w:val="18"/>
    <w:link w:val="8"/>
    <w:semiHidden/>
    <w:qFormat/>
    <w:locked/>
    <w:uiPriority w:val="99"/>
    <w:rPr>
      <w:rFonts w:cs="Times New Roman"/>
      <w:b/>
      <w:bCs/>
    </w:rPr>
  </w:style>
  <w:style w:type="character" w:customStyle="1" w:styleId="28">
    <w:name w:val="标题 7 Char"/>
    <w:basedOn w:val="18"/>
    <w:link w:val="9"/>
    <w:semiHidden/>
    <w:qFormat/>
    <w:locked/>
    <w:uiPriority w:val="99"/>
    <w:rPr>
      <w:rFonts w:cs="Times New Roman"/>
      <w:sz w:val="24"/>
      <w:szCs w:val="24"/>
    </w:rPr>
  </w:style>
  <w:style w:type="character" w:customStyle="1" w:styleId="29">
    <w:name w:val="标题 8 Char"/>
    <w:basedOn w:val="18"/>
    <w:link w:val="10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标题 9 Char"/>
    <w:basedOn w:val="18"/>
    <w:link w:val="11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1">
    <w:name w:val="正文文本 Char"/>
    <w:basedOn w:val="18"/>
    <w:link w:val="2"/>
    <w:semiHidden/>
    <w:qFormat/>
    <w:uiPriority w:val="99"/>
    <w:rPr>
      <w:szCs w:val="24"/>
    </w:rPr>
  </w:style>
  <w:style w:type="character" w:customStyle="1" w:styleId="32">
    <w:name w:val="批注框文本 Char"/>
    <w:basedOn w:val="18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3">
    <w:name w:val="页脚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4">
    <w:name w:val="页眉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5">
    <w:name w:val="副标题 Char"/>
    <w:basedOn w:val="18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6">
    <w:name w:val="标题 Char"/>
    <w:basedOn w:val="18"/>
    <w:link w:val="17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7">
    <w:name w:val="无间隔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8">
    <w:name w:val="列出段落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9">
    <w:name w:val="引用1"/>
    <w:basedOn w:val="1"/>
    <w:next w:val="1"/>
    <w:link w:val="40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40">
    <w:name w:val="引用 Char"/>
    <w:basedOn w:val="18"/>
    <w:link w:val="39"/>
    <w:qFormat/>
    <w:locked/>
    <w:uiPriority w:val="99"/>
    <w:rPr>
      <w:rFonts w:cs="Times New Roman"/>
      <w:i/>
      <w:sz w:val="24"/>
      <w:szCs w:val="24"/>
    </w:rPr>
  </w:style>
  <w:style w:type="paragraph" w:customStyle="1" w:styleId="41">
    <w:name w:val="明显引用1"/>
    <w:basedOn w:val="1"/>
    <w:next w:val="1"/>
    <w:link w:val="42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2">
    <w:name w:val="明显引用 Char"/>
    <w:basedOn w:val="18"/>
    <w:link w:val="41"/>
    <w:qFormat/>
    <w:locked/>
    <w:uiPriority w:val="99"/>
    <w:rPr>
      <w:rFonts w:cs="Times New Roman"/>
      <w:b/>
      <w:i/>
      <w:sz w:val="24"/>
    </w:rPr>
  </w:style>
  <w:style w:type="character" w:customStyle="1" w:styleId="43">
    <w:name w:val="Subtle Emphasis1"/>
    <w:qFormat/>
    <w:uiPriority w:val="99"/>
    <w:rPr>
      <w:i/>
      <w:color w:val="595959"/>
    </w:rPr>
  </w:style>
  <w:style w:type="character" w:customStyle="1" w:styleId="44">
    <w:name w:val="Intense Emphasis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5">
    <w:name w:val="Subtle Reference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6">
    <w:name w:val="Intense Reference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7">
    <w:name w:val="Book Title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8">
    <w:name w:val="TOC Heading1"/>
    <w:basedOn w:val="3"/>
    <w:next w:val="1"/>
    <w:semiHidden/>
    <w:qFormat/>
    <w:uiPriority w:val="99"/>
    <w:pPr>
      <w:outlineLvl w:val="9"/>
    </w:pPr>
    <w:rPr>
      <w:lang w:eastAsia="en-US"/>
    </w:rPr>
  </w:style>
  <w:style w:type="paragraph" w:customStyle="1" w:styleId="4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1044</Words>
  <Characters>5951</Characters>
  <Lines>49</Lines>
  <Paragraphs>13</Paragraphs>
  <ScaleCrop>false</ScaleCrop>
  <LinksUpToDate>false</LinksUpToDate>
  <CharactersWithSpaces>6982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lg</cp:lastModifiedBy>
  <cp:lastPrinted>2019-02-19T09:24:00Z</cp:lastPrinted>
  <dcterms:modified xsi:type="dcterms:W3CDTF">2022-09-27T11:16:49Z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