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  <w:t>2021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哈密市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政府债务</w:t>
      </w:r>
    </w:p>
    <w:p>
      <w:pPr>
        <w:widowControl w:val="0"/>
        <w:wordWrap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highlight w:val="none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</w:rPr>
        <w:t>情况说明</w:t>
      </w:r>
    </w:p>
    <w:p>
      <w:pPr>
        <w:widowControl w:val="0"/>
        <w:wordWrap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</w:pP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年度政府债务限额总体情况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273.51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59.38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214.13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债务限额分类型情况。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153.61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16.48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137.13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119.9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42.9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16.5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47.8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22.1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新增政府专项债务限额为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242.27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273.51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57.02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185.25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124.68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14.42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110.25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117.59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42.6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74.99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年度政府债券发行使用情况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74.5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63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23.22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51.28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亿元。上述债券资金主要用于义务教育、脱贫攻坚、农林水利、市政基础设施等领域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3年期、5年期、7年期、10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为3.34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47.5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21.8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亿元。上述债券资金主要用于交通、能源、农林水利、生态环保、社会事业、城乡冷链物流基础设施、市政和产业园区基础设施、保障性安居工程等重点领域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7年期、10年期、15年期、20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为3.42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3年期、5年期、7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年度政府债券还本付息情况</w:t>
      </w:r>
    </w:p>
    <w:p>
      <w:pPr>
        <w:widowControl w:val="0"/>
        <w:wordWrap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30.64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本金23.31亿元，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11.81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3.51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本金1.95亿元，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1.56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27.13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本金21.36亿元，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11.08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5.77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27.31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本金22.95亿元，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11.45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11.5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4.36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2.51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本金1.95亿元，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1.22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0.56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本金21亿元，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10.72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10.28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本金0.36亿元，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0.36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2.97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哈密市本级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1.00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1.00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本金0.36亿元，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0.36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1.97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>
      <w:pPr>
        <w:widowControl w:val="0"/>
        <w:wordWrap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>
      <w:pPr>
        <w:widowControl w:val="0"/>
        <w:wordWrap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1.1-1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债务限额、余额情况表</w:t>
      </w:r>
    </w:p>
    <w:p>
      <w:pPr>
        <w:widowControl w:val="0"/>
        <w:wordWrap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1-2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债务限额、余额情况表</w:t>
      </w:r>
    </w:p>
    <w:p>
      <w:pPr>
        <w:widowControl w:val="0"/>
        <w:wordWrap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1-3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政府债务限额、余额（含一般债务限额、余额和专项债务限额、余额）情况表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哈密市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政府债券发行情况表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哈密市政府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明细表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哈密市本级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表</w:t>
      </w:r>
    </w:p>
    <w:p>
      <w:pPr>
        <w:widowControl w:val="0"/>
        <w:numPr>
          <w:ilvl w:val="0"/>
          <w:numId w:val="0"/>
        </w:numPr>
        <w:wordWrap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2-4 2021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度哈密市还本付息决算情况表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w:pict>
        <v:rect id="文本框 1" o:spid="_x0000_s2049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01B36FE2"/>
    <w:rsid w:val="04AD2225"/>
    <w:rsid w:val="063F2F9D"/>
    <w:rsid w:val="090B4E5B"/>
    <w:rsid w:val="0E25722D"/>
    <w:rsid w:val="0E8D4F6B"/>
    <w:rsid w:val="160A3EF1"/>
    <w:rsid w:val="182373F8"/>
    <w:rsid w:val="18823C8F"/>
    <w:rsid w:val="18D86125"/>
    <w:rsid w:val="1C460386"/>
    <w:rsid w:val="1D57227F"/>
    <w:rsid w:val="2AB37734"/>
    <w:rsid w:val="2B0F4298"/>
    <w:rsid w:val="2FBE46FB"/>
    <w:rsid w:val="31D13988"/>
    <w:rsid w:val="325A2235"/>
    <w:rsid w:val="353C53B6"/>
    <w:rsid w:val="36B666B6"/>
    <w:rsid w:val="388F1457"/>
    <w:rsid w:val="47B72475"/>
    <w:rsid w:val="485E7AB6"/>
    <w:rsid w:val="4B080752"/>
    <w:rsid w:val="4DB47F12"/>
    <w:rsid w:val="50CE11ED"/>
    <w:rsid w:val="51D77DB9"/>
    <w:rsid w:val="53013412"/>
    <w:rsid w:val="59E94415"/>
    <w:rsid w:val="5EBE204C"/>
    <w:rsid w:val="61CE0116"/>
    <w:rsid w:val="6541174B"/>
    <w:rsid w:val="692F2D63"/>
    <w:rsid w:val="6ACF7A08"/>
    <w:rsid w:val="6B080355"/>
    <w:rsid w:val="70E57CED"/>
    <w:rsid w:val="7149137C"/>
    <w:rsid w:val="71827528"/>
    <w:rsid w:val="764A4A9E"/>
    <w:rsid w:val="77BB7AC7"/>
    <w:rsid w:val="791768FB"/>
    <w:rsid w:val="7C61677A"/>
    <w:rsid w:val="7DB521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="Calibri" w:eastAsia="宋体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2022-10-08T10:38:02Z</dcterms:modified>
  <dc:title>2021年度哈密市政府债务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