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002060"/>
  <w:body>
    <w:p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小标宋_GBK" w:hAnsi="华文中宋" w:eastAsia="方正小标宋_GBK"/>
          <w:sz w:val="44"/>
          <w:szCs w:val="36"/>
        </w:rPr>
      </w:pPr>
      <w:r>
        <w:rPr>
          <w:rFonts w:hint="eastAsia" w:ascii="方正小标宋_GBK" w:hAnsi="华文中宋" w:eastAsia="方正小标宋_GBK"/>
          <w:sz w:val="44"/>
          <w:szCs w:val="36"/>
          <w:lang w:eastAsia="zh-CN"/>
        </w:rPr>
        <w:t>2022</w:t>
      </w:r>
      <w:r>
        <w:rPr>
          <w:rFonts w:hint="eastAsia" w:ascii="方正小标宋_GBK" w:hAnsi="华文中宋" w:eastAsia="方正小标宋_GBK"/>
          <w:sz w:val="44"/>
          <w:szCs w:val="36"/>
        </w:rPr>
        <w:t>年</w:t>
      </w:r>
      <w:r>
        <w:rPr>
          <w:rFonts w:hint="eastAsia" w:ascii="方正小标宋_GBK" w:hAnsi="华文中宋" w:eastAsia="方正小标宋_GBK"/>
          <w:sz w:val="44"/>
          <w:szCs w:val="36"/>
          <w:lang w:eastAsia="zh-CN"/>
        </w:rPr>
        <w:t>哈密市</w:t>
      </w:r>
      <w:r>
        <w:rPr>
          <w:rFonts w:hint="eastAsia" w:ascii="方正小标宋_GBK" w:hAnsi="华文中宋" w:eastAsia="方正小标宋_GBK"/>
          <w:sz w:val="44"/>
          <w:szCs w:val="36"/>
        </w:rPr>
        <w:t>国有资本经营预算执行情况说明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2022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哈密市</w:t>
      </w:r>
      <w:r>
        <w:rPr>
          <w:rFonts w:hint="eastAsia" w:ascii="黑体" w:hAnsi="黑体" w:eastAsia="黑体"/>
          <w:sz w:val="32"/>
          <w:szCs w:val="32"/>
        </w:rPr>
        <w:t>国有资本经营预算执行情况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627" w:firstLineChars="200"/>
        <w:textAlignment w:val="auto"/>
        <w:outlineLvl w:val="9"/>
        <w:rPr>
          <w:rFonts w:hint="default" w:eastAsia="仿宋_GB2312"/>
          <w:sz w:val="32"/>
          <w:szCs w:val="32"/>
          <w:lang w:val="en-US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（一）收入情况。</w:t>
      </w:r>
      <w:r>
        <w:rPr>
          <w:rFonts w:hint="eastAsia" w:eastAsia="仿宋_GB2312"/>
          <w:sz w:val="32"/>
          <w:szCs w:val="32"/>
          <w:lang w:eastAsia="zh-CN"/>
        </w:rPr>
        <w:t>哈密市</w:t>
      </w:r>
      <w:r>
        <w:rPr>
          <w:rFonts w:eastAsia="仿宋_GB2312"/>
          <w:sz w:val="32"/>
          <w:szCs w:val="32"/>
        </w:rPr>
        <w:t>国有资本经营预算收入</w:t>
      </w:r>
      <w:r>
        <w:rPr>
          <w:rFonts w:hint="eastAsia" w:eastAsia="仿宋_GB2312"/>
          <w:sz w:val="32"/>
          <w:szCs w:val="32"/>
          <w:lang w:val="en-US" w:eastAsia="zh-CN"/>
        </w:rPr>
        <w:t>5192万</w:t>
      </w:r>
      <w:r>
        <w:rPr>
          <w:rFonts w:eastAsia="仿宋_GB2312"/>
          <w:sz w:val="32"/>
          <w:szCs w:val="32"/>
        </w:rPr>
        <w:t>元，为预算</w:t>
      </w:r>
      <w:r>
        <w:rPr>
          <w:rFonts w:hint="eastAsia" w:eastAsia="仿宋_GB2312"/>
          <w:sz w:val="32"/>
          <w:szCs w:val="32"/>
          <w:lang w:val="en-US" w:eastAsia="zh-CN"/>
        </w:rPr>
        <w:t>5227万元</w:t>
      </w:r>
      <w:r>
        <w:rPr>
          <w:rFonts w:hint="eastAsia" w:eastAsia="仿宋_GB2312"/>
          <w:sz w:val="32"/>
          <w:szCs w:val="32"/>
          <w:lang w:eastAsia="zh-CN"/>
        </w:rPr>
        <w:t>的</w:t>
      </w:r>
      <w:r>
        <w:rPr>
          <w:rFonts w:hint="eastAsia" w:eastAsia="仿宋_GB2312"/>
          <w:sz w:val="32"/>
          <w:szCs w:val="32"/>
          <w:lang w:val="en-US" w:eastAsia="zh-CN"/>
        </w:rPr>
        <w:t>99.33</w:t>
      </w:r>
      <w:r>
        <w:rPr>
          <w:rFonts w:eastAsia="仿宋_GB2312"/>
          <w:sz w:val="32"/>
          <w:szCs w:val="32"/>
        </w:rPr>
        <w:t>%，</w:t>
      </w:r>
      <w:r>
        <w:rPr>
          <w:rFonts w:hint="eastAsia" w:eastAsia="仿宋_GB2312"/>
          <w:sz w:val="32"/>
          <w:szCs w:val="32"/>
          <w:lang w:eastAsia="zh-CN"/>
        </w:rPr>
        <w:t>较</w:t>
      </w:r>
      <w:r>
        <w:rPr>
          <w:rFonts w:hint="eastAsia" w:eastAsia="仿宋_GB2312"/>
          <w:sz w:val="32"/>
          <w:szCs w:val="32"/>
          <w:lang w:val="en-US" w:eastAsia="zh-CN"/>
        </w:rPr>
        <w:t>2021年增加2469万元，</w:t>
      </w:r>
      <w:r>
        <w:rPr>
          <w:rFonts w:hint="eastAsia" w:eastAsia="仿宋_GB2312"/>
          <w:sz w:val="32"/>
          <w:szCs w:val="32"/>
          <w:lang w:eastAsia="zh-CN"/>
        </w:rPr>
        <w:t>增长</w:t>
      </w:r>
      <w:r>
        <w:rPr>
          <w:rFonts w:hint="eastAsia" w:eastAsia="仿宋_GB2312"/>
          <w:sz w:val="32"/>
          <w:szCs w:val="32"/>
          <w:lang w:val="en-US" w:eastAsia="zh-CN"/>
        </w:rPr>
        <w:t>90.67%。其中：利润收入5192万元。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hint="default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（二）支出情况。</w:t>
      </w:r>
      <w:r>
        <w:rPr>
          <w:rFonts w:hint="eastAsia" w:eastAsia="仿宋_GB2312"/>
          <w:sz w:val="32"/>
          <w:szCs w:val="32"/>
          <w:lang w:eastAsia="zh-CN"/>
        </w:rPr>
        <w:t>哈密市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国有资本经营预算支出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5009万元，完成预算5654万元的88.59%，较2021年增加2759万元，增长122.62%。其中：解决历史遗留问题及改革成本支出1765万元，国有企业资本金注入1735万元，国有企业政策性补贴1509万元。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  <w:lang w:eastAsia="zh-CN"/>
        </w:rPr>
        <w:t>（三）</w:t>
      </w: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收支平衡情况。</w:t>
      </w:r>
      <w:r>
        <w:rPr>
          <w:rFonts w:hint="eastAsia" w:eastAsia="仿宋_GB2312"/>
          <w:sz w:val="32"/>
          <w:szCs w:val="32"/>
          <w:lang w:eastAsia="zh-CN"/>
        </w:rPr>
        <w:t>哈密市国有资本经营预算收入总计</w:t>
      </w:r>
      <w:r>
        <w:rPr>
          <w:rFonts w:hint="eastAsia" w:eastAsia="仿宋_GB2312"/>
          <w:sz w:val="32"/>
          <w:szCs w:val="32"/>
          <w:lang w:val="en-US" w:eastAsia="zh-CN"/>
        </w:rPr>
        <w:t>7187万元，其中：</w:t>
      </w:r>
      <w:r>
        <w:rPr>
          <w:rFonts w:eastAsia="仿宋_GB2312"/>
          <w:sz w:val="32"/>
          <w:szCs w:val="32"/>
        </w:rPr>
        <w:t>国有资本经营预算收入</w:t>
      </w:r>
      <w:r>
        <w:rPr>
          <w:rFonts w:hint="eastAsia" w:eastAsia="仿宋_GB2312"/>
          <w:sz w:val="32"/>
          <w:szCs w:val="32"/>
          <w:lang w:val="en-US" w:eastAsia="zh-CN"/>
        </w:rPr>
        <w:t>5192万</w:t>
      </w:r>
      <w:r>
        <w:rPr>
          <w:rFonts w:eastAsia="仿宋_GB2312"/>
          <w:sz w:val="32"/>
          <w:szCs w:val="32"/>
        </w:rPr>
        <w:t>元</w:t>
      </w:r>
      <w:r>
        <w:rPr>
          <w:rFonts w:hint="eastAsia" w:eastAsia="仿宋_GB2312"/>
          <w:sz w:val="32"/>
          <w:szCs w:val="32"/>
          <w:lang w:eastAsia="zh-CN"/>
        </w:rPr>
        <w:t>，上级补助收入</w:t>
      </w:r>
      <w:r>
        <w:rPr>
          <w:rFonts w:hint="eastAsia" w:eastAsia="仿宋_GB2312"/>
          <w:sz w:val="32"/>
          <w:szCs w:val="32"/>
          <w:lang w:val="en-US" w:eastAsia="zh-CN"/>
        </w:rPr>
        <w:t>673万元，上年结转收入1322万元。支出总计6569万元，其中：国有资本经营预算支出5009万元，调出资金1560万元。收支相抵，年终结余618万元。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eastAsia="zh-CN"/>
        </w:rPr>
        <w:t>2022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哈密市</w:t>
      </w:r>
      <w:r>
        <w:rPr>
          <w:rFonts w:hint="eastAsia" w:ascii="黑体" w:hAnsi="黑体" w:eastAsia="黑体"/>
          <w:sz w:val="32"/>
          <w:szCs w:val="32"/>
        </w:rPr>
        <w:t>本级国有资本经营预算执行情况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627" w:firstLineChars="200"/>
        <w:textAlignment w:val="auto"/>
        <w:outlineLvl w:val="9"/>
        <w:rPr>
          <w:rFonts w:hint="default" w:eastAsia="仿宋_GB2312"/>
          <w:sz w:val="32"/>
          <w:szCs w:val="32"/>
          <w:lang w:val="en-US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（一）收入情况。</w:t>
      </w:r>
      <w:r>
        <w:rPr>
          <w:rFonts w:hint="eastAsia" w:eastAsia="仿宋_GB2312"/>
          <w:sz w:val="32"/>
          <w:szCs w:val="32"/>
          <w:lang w:eastAsia="zh-CN"/>
        </w:rPr>
        <w:t>哈密市</w:t>
      </w:r>
      <w:r>
        <w:rPr>
          <w:rFonts w:eastAsia="仿宋_GB2312"/>
          <w:sz w:val="32"/>
          <w:szCs w:val="32"/>
        </w:rPr>
        <w:t>本级国有资本经营预算收入</w:t>
      </w:r>
      <w:r>
        <w:rPr>
          <w:rFonts w:hint="eastAsia" w:eastAsia="仿宋_GB2312"/>
          <w:sz w:val="32"/>
          <w:szCs w:val="32"/>
          <w:lang w:val="en-US" w:eastAsia="zh-CN"/>
        </w:rPr>
        <w:t>2481万元</w:t>
      </w:r>
      <w:r>
        <w:rPr>
          <w:rFonts w:eastAsia="仿宋_GB2312"/>
          <w:sz w:val="32"/>
          <w:szCs w:val="32"/>
        </w:rPr>
        <w:t>，为预算</w:t>
      </w:r>
      <w:r>
        <w:rPr>
          <w:rFonts w:hint="eastAsia" w:eastAsia="仿宋_GB2312"/>
          <w:sz w:val="32"/>
          <w:szCs w:val="32"/>
          <w:lang w:val="en-US" w:eastAsia="zh-CN"/>
        </w:rPr>
        <w:t>2632万元</w:t>
      </w:r>
      <w:r>
        <w:rPr>
          <w:rFonts w:eastAsia="仿宋_GB2312"/>
          <w:sz w:val="32"/>
          <w:szCs w:val="32"/>
        </w:rPr>
        <w:t>的</w:t>
      </w:r>
      <w:r>
        <w:rPr>
          <w:rFonts w:hint="eastAsia" w:eastAsia="仿宋_GB2312"/>
          <w:sz w:val="32"/>
          <w:szCs w:val="32"/>
          <w:lang w:val="en-US" w:eastAsia="zh-CN"/>
        </w:rPr>
        <w:t>94.26</w:t>
      </w:r>
      <w:r>
        <w:rPr>
          <w:rFonts w:eastAsia="仿宋_GB2312"/>
          <w:sz w:val="32"/>
          <w:szCs w:val="32"/>
        </w:rPr>
        <w:t>%，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较2021年增加2015万元，</w:t>
      </w:r>
      <w:r>
        <w:rPr>
          <w:rFonts w:eastAsia="仿宋_GB2312"/>
          <w:sz w:val="32"/>
          <w:szCs w:val="32"/>
        </w:rPr>
        <w:t>增长</w:t>
      </w:r>
      <w:r>
        <w:rPr>
          <w:rFonts w:hint="eastAsia" w:eastAsia="仿宋_GB2312"/>
          <w:sz w:val="32"/>
          <w:szCs w:val="32"/>
          <w:lang w:val="en-US" w:eastAsia="zh-CN"/>
        </w:rPr>
        <w:t>432.4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sz w:val="32"/>
          <w:szCs w:val="32"/>
          <w:lang w:val="en-US" w:eastAsia="zh-CN"/>
        </w:rPr>
        <w:t>其中：利润收入2481万元。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（二）支出情况。</w:t>
      </w:r>
      <w:r>
        <w:rPr>
          <w:rFonts w:hint="eastAsia" w:eastAsia="仿宋_GB2312"/>
          <w:sz w:val="32"/>
          <w:szCs w:val="32"/>
          <w:lang w:eastAsia="zh-CN"/>
        </w:rPr>
        <w:t>哈密市</w:t>
      </w:r>
      <w:r>
        <w:rPr>
          <w:rFonts w:eastAsia="仿宋_GB2312"/>
          <w:sz w:val="32"/>
          <w:szCs w:val="32"/>
        </w:rPr>
        <w:t>本级国有资本经营预算支出</w:t>
      </w:r>
      <w:r>
        <w:rPr>
          <w:rFonts w:hint="eastAsia" w:eastAsia="仿宋_GB2312"/>
          <w:sz w:val="32"/>
          <w:szCs w:val="32"/>
          <w:lang w:val="en-US" w:eastAsia="zh-CN"/>
        </w:rPr>
        <w:t>1735万元</w:t>
      </w:r>
      <w:r>
        <w:rPr>
          <w:rFonts w:eastAsia="仿宋_GB2312"/>
          <w:sz w:val="32"/>
          <w:szCs w:val="32"/>
        </w:rPr>
        <w:t>，为预算</w:t>
      </w:r>
      <w:r>
        <w:rPr>
          <w:rFonts w:hint="eastAsia" w:eastAsia="仿宋_GB2312"/>
          <w:sz w:val="32"/>
          <w:szCs w:val="32"/>
          <w:lang w:val="en-US" w:eastAsia="zh-CN"/>
        </w:rPr>
        <w:t>1842万元</w:t>
      </w:r>
      <w:r>
        <w:rPr>
          <w:rFonts w:hint="eastAsia" w:eastAsia="仿宋_GB2312"/>
          <w:sz w:val="32"/>
          <w:szCs w:val="32"/>
          <w:lang w:eastAsia="zh-CN"/>
        </w:rPr>
        <w:t>的</w:t>
      </w:r>
      <w:r>
        <w:rPr>
          <w:rFonts w:hint="eastAsia" w:eastAsia="仿宋_GB2312"/>
          <w:sz w:val="32"/>
          <w:szCs w:val="32"/>
          <w:lang w:val="en-US" w:eastAsia="zh-CN"/>
        </w:rPr>
        <w:t>94.19</w:t>
      </w:r>
      <w:r>
        <w:rPr>
          <w:rFonts w:eastAsia="仿宋_GB2312"/>
          <w:sz w:val="32"/>
          <w:szCs w:val="32"/>
        </w:rPr>
        <w:t>%，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较2021年增加1076万元，</w:t>
      </w:r>
      <w:r>
        <w:rPr>
          <w:rFonts w:hint="eastAsia" w:eastAsia="仿宋_GB2312"/>
          <w:sz w:val="32"/>
          <w:szCs w:val="32"/>
          <w:lang w:eastAsia="zh-CN"/>
        </w:rPr>
        <w:t>增长</w:t>
      </w:r>
      <w:r>
        <w:rPr>
          <w:rFonts w:hint="eastAsia" w:eastAsia="仿宋_GB2312"/>
          <w:sz w:val="32"/>
          <w:szCs w:val="32"/>
          <w:lang w:val="en-US" w:eastAsia="zh-CN"/>
        </w:rPr>
        <w:t>163.28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其中：国有企业资本金注入1735万元。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（三）收支平衡情况。</w:t>
      </w:r>
      <w:r>
        <w:rPr>
          <w:rFonts w:hint="eastAsia" w:eastAsia="仿宋_GB2312"/>
          <w:sz w:val="32"/>
          <w:szCs w:val="32"/>
          <w:lang w:eastAsia="zh-CN"/>
        </w:rPr>
        <w:t>哈密市本级</w:t>
      </w:r>
      <w:r>
        <w:rPr>
          <w:rFonts w:eastAsia="仿宋_GB2312"/>
          <w:sz w:val="32"/>
          <w:szCs w:val="32"/>
        </w:rPr>
        <w:t>国有资本经营预算收入</w:t>
      </w:r>
      <w:r>
        <w:rPr>
          <w:rFonts w:hint="eastAsia" w:eastAsia="仿宋_GB2312"/>
          <w:sz w:val="32"/>
          <w:szCs w:val="32"/>
          <w:lang w:eastAsia="zh-CN"/>
        </w:rPr>
        <w:t>总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计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3154万</w:t>
      </w:r>
      <w:r>
        <w:rPr>
          <w:rFonts w:hint="eastAsia" w:eastAsia="仿宋_GB2312"/>
          <w:sz w:val="32"/>
          <w:szCs w:val="32"/>
          <w:lang w:val="en-US" w:eastAsia="zh-CN"/>
        </w:rPr>
        <w:t>元，其中：国有资本经营预算收入2481万</w:t>
      </w:r>
      <w:r>
        <w:rPr>
          <w:rFonts w:eastAsia="仿宋_GB2312"/>
          <w:sz w:val="32"/>
          <w:szCs w:val="32"/>
        </w:rPr>
        <w:t>元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，上级补助收入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673万元。支出总计3154万元，其</w:t>
      </w:r>
      <w:r>
        <w:rPr>
          <w:rFonts w:hint="eastAsia" w:eastAsia="仿宋_GB2312"/>
          <w:sz w:val="32"/>
          <w:szCs w:val="32"/>
          <w:lang w:val="en-US" w:eastAsia="zh-CN"/>
        </w:rPr>
        <w:t>中：国有资本经营预算支出1735万元，补助下级支出673万元，调出资金746万元。收支相抵，收支平衡。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418" w:bottom="192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1"/>
      </w:rPr>
    </w:pPr>
    <w:r>
      <w:rPr>
        <w:rFonts w:ascii="宋体" w:hAnsi="宋体"/>
        <w:sz w:val="21"/>
      </w:rPr>
      <w:fldChar w:fldCharType="begin"/>
    </w:r>
    <w:r>
      <w:rPr>
        <w:rFonts w:ascii="宋体" w:hAnsi="宋体"/>
        <w:sz w:val="21"/>
      </w:rPr>
      <w:instrText xml:space="preserve">PAGE   \* MERGEFORMAT</w:instrText>
    </w:r>
    <w:r>
      <w:rPr>
        <w:rFonts w:ascii="宋体" w:hAnsi="宋体"/>
        <w:sz w:val="21"/>
      </w:rPr>
      <w:fldChar w:fldCharType="separate"/>
    </w:r>
    <w:r>
      <w:rPr>
        <w:rFonts w:ascii="宋体" w:hAnsi="宋体"/>
        <w:sz w:val="21"/>
        <w:lang w:val="zh-CN"/>
      </w:rPr>
      <w:t>-</w:t>
    </w:r>
    <w:r>
      <w:rPr>
        <w:rFonts w:ascii="宋体" w:hAnsi="宋体"/>
        <w:sz w:val="21"/>
      </w:rPr>
      <w:t xml:space="preserve"> 6 -</w:t>
    </w:r>
    <w:r>
      <w:rPr>
        <w:rFonts w:ascii="宋体" w:hAnsi="宋体"/>
        <w:sz w:val="21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- 6 -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14F6"/>
    <w:rsid w:val="009C4A0E"/>
    <w:rsid w:val="00FC3B2D"/>
    <w:rsid w:val="01983920"/>
    <w:rsid w:val="01DA4F0D"/>
    <w:rsid w:val="01E56C82"/>
    <w:rsid w:val="02A1339E"/>
    <w:rsid w:val="03967BEE"/>
    <w:rsid w:val="03C4523A"/>
    <w:rsid w:val="03F168FD"/>
    <w:rsid w:val="0492646B"/>
    <w:rsid w:val="04C252C4"/>
    <w:rsid w:val="04CE48B9"/>
    <w:rsid w:val="04FD623C"/>
    <w:rsid w:val="05136F53"/>
    <w:rsid w:val="052109FA"/>
    <w:rsid w:val="053A1EBA"/>
    <w:rsid w:val="05905759"/>
    <w:rsid w:val="05924DF5"/>
    <w:rsid w:val="085903A2"/>
    <w:rsid w:val="086C493E"/>
    <w:rsid w:val="08BC3D82"/>
    <w:rsid w:val="090B1C1D"/>
    <w:rsid w:val="095D24D7"/>
    <w:rsid w:val="09700C89"/>
    <w:rsid w:val="09C9387B"/>
    <w:rsid w:val="0A2271DE"/>
    <w:rsid w:val="0A7D5943"/>
    <w:rsid w:val="0A973138"/>
    <w:rsid w:val="0A9C5E26"/>
    <w:rsid w:val="0B580B29"/>
    <w:rsid w:val="0CB67114"/>
    <w:rsid w:val="0CF56DBA"/>
    <w:rsid w:val="0D3C60F6"/>
    <w:rsid w:val="0D642A3A"/>
    <w:rsid w:val="0DAC357C"/>
    <w:rsid w:val="0DC87629"/>
    <w:rsid w:val="0E071BA4"/>
    <w:rsid w:val="0E6971B2"/>
    <w:rsid w:val="0EF8579D"/>
    <w:rsid w:val="0F000694"/>
    <w:rsid w:val="0F8F10CC"/>
    <w:rsid w:val="0FB2447A"/>
    <w:rsid w:val="0FF55F30"/>
    <w:rsid w:val="10067B46"/>
    <w:rsid w:val="106946FA"/>
    <w:rsid w:val="10755F8E"/>
    <w:rsid w:val="1086462A"/>
    <w:rsid w:val="11120C03"/>
    <w:rsid w:val="11470BDE"/>
    <w:rsid w:val="1168681B"/>
    <w:rsid w:val="126A5DD3"/>
    <w:rsid w:val="13340090"/>
    <w:rsid w:val="13C969BD"/>
    <w:rsid w:val="13F57E33"/>
    <w:rsid w:val="14DF394F"/>
    <w:rsid w:val="14F87626"/>
    <w:rsid w:val="15642BF1"/>
    <w:rsid w:val="15C239E3"/>
    <w:rsid w:val="15CE4434"/>
    <w:rsid w:val="16060C01"/>
    <w:rsid w:val="16187B2B"/>
    <w:rsid w:val="16E02F88"/>
    <w:rsid w:val="16E931A3"/>
    <w:rsid w:val="1748060C"/>
    <w:rsid w:val="18FF7428"/>
    <w:rsid w:val="19713256"/>
    <w:rsid w:val="19C56116"/>
    <w:rsid w:val="19D46F97"/>
    <w:rsid w:val="1AC5557F"/>
    <w:rsid w:val="1AC97109"/>
    <w:rsid w:val="1ACF721B"/>
    <w:rsid w:val="1AD150F8"/>
    <w:rsid w:val="1C03488A"/>
    <w:rsid w:val="1C3E2585"/>
    <w:rsid w:val="1C3E28B0"/>
    <w:rsid w:val="1CBF065F"/>
    <w:rsid w:val="1CCD032B"/>
    <w:rsid w:val="1CF3778C"/>
    <w:rsid w:val="1D102D80"/>
    <w:rsid w:val="1D9F6650"/>
    <w:rsid w:val="1DC110DE"/>
    <w:rsid w:val="1DC345E1"/>
    <w:rsid w:val="1F2A51BC"/>
    <w:rsid w:val="1FC62AAD"/>
    <w:rsid w:val="201560AF"/>
    <w:rsid w:val="208A3AF0"/>
    <w:rsid w:val="20DC3DA8"/>
    <w:rsid w:val="20EC6F16"/>
    <w:rsid w:val="21227600"/>
    <w:rsid w:val="217F7880"/>
    <w:rsid w:val="21DC530D"/>
    <w:rsid w:val="21F27BBF"/>
    <w:rsid w:val="21F6407F"/>
    <w:rsid w:val="22245E0F"/>
    <w:rsid w:val="22AF27C7"/>
    <w:rsid w:val="23035369"/>
    <w:rsid w:val="230B33D0"/>
    <w:rsid w:val="23493DFC"/>
    <w:rsid w:val="23645BD7"/>
    <w:rsid w:val="23B35136"/>
    <w:rsid w:val="24015C20"/>
    <w:rsid w:val="24164041"/>
    <w:rsid w:val="247C5E11"/>
    <w:rsid w:val="250433AF"/>
    <w:rsid w:val="255277E6"/>
    <w:rsid w:val="255C749C"/>
    <w:rsid w:val="25B811EE"/>
    <w:rsid w:val="26293690"/>
    <w:rsid w:val="26B806FE"/>
    <w:rsid w:val="26BA4F6B"/>
    <w:rsid w:val="270004F3"/>
    <w:rsid w:val="270E6187"/>
    <w:rsid w:val="277A68D1"/>
    <w:rsid w:val="281954D5"/>
    <w:rsid w:val="284827A1"/>
    <w:rsid w:val="289F08F0"/>
    <w:rsid w:val="29311825"/>
    <w:rsid w:val="2932339F"/>
    <w:rsid w:val="29955CC7"/>
    <w:rsid w:val="29EE24DE"/>
    <w:rsid w:val="2A4A4D66"/>
    <w:rsid w:val="2B754ED7"/>
    <w:rsid w:val="2B9B099A"/>
    <w:rsid w:val="2BA91EAE"/>
    <w:rsid w:val="2CF16ACA"/>
    <w:rsid w:val="2D0E71F7"/>
    <w:rsid w:val="2D7635CE"/>
    <w:rsid w:val="2DC459C4"/>
    <w:rsid w:val="2E627098"/>
    <w:rsid w:val="2EB904C8"/>
    <w:rsid w:val="2F7A35C1"/>
    <w:rsid w:val="2FF96CC5"/>
    <w:rsid w:val="30114D4A"/>
    <w:rsid w:val="30742D8C"/>
    <w:rsid w:val="3080489F"/>
    <w:rsid w:val="31304903"/>
    <w:rsid w:val="31916FD2"/>
    <w:rsid w:val="323D333F"/>
    <w:rsid w:val="32717641"/>
    <w:rsid w:val="32B10138"/>
    <w:rsid w:val="3304578A"/>
    <w:rsid w:val="33B2575C"/>
    <w:rsid w:val="33D52053"/>
    <w:rsid w:val="341F2EDB"/>
    <w:rsid w:val="34B641C5"/>
    <w:rsid w:val="35375F4B"/>
    <w:rsid w:val="354446B5"/>
    <w:rsid w:val="36375CEC"/>
    <w:rsid w:val="36771768"/>
    <w:rsid w:val="37AA65BD"/>
    <w:rsid w:val="37F52A52"/>
    <w:rsid w:val="3844568A"/>
    <w:rsid w:val="388C3A7A"/>
    <w:rsid w:val="389034D4"/>
    <w:rsid w:val="38BE0728"/>
    <w:rsid w:val="38C940FE"/>
    <w:rsid w:val="396D5F42"/>
    <w:rsid w:val="39AF7CB0"/>
    <w:rsid w:val="3A02553C"/>
    <w:rsid w:val="3A4C058B"/>
    <w:rsid w:val="3A6E549A"/>
    <w:rsid w:val="3AAC43A2"/>
    <w:rsid w:val="3B1A5872"/>
    <w:rsid w:val="3B6D0F0B"/>
    <w:rsid w:val="3C0738EE"/>
    <w:rsid w:val="3C7452CD"/>
    <w:rsid w:val="3D8F2176"/>
    <w:rsid w:val="3D98059B"/>
    <w:rsid w:val="3DC67ACD"/>
    <w:rsid w:val="3DE1510D"/>
    <w:rsid w:val="3DFE37C3"/>
    <w:rsid w:val="3E145966"/>
    <w:rsid w:val="3E4A09EE"/>
    <w:rsid w:val="3E7246AD"/>
    <w:rsid w:val="3EC76A8F"/>
    <w:rsid w:val="3ECD2B96"/>
    <w:rsid w:val="3F1F4F1F"/>
    <w:rsid w:val="402B10B7"/>
    <w:rsid w:val="406B5FEA"/>
    <w:rsid w:val="40BA6BEE"/>
    <w:rsid w:val="40EA28CC"/>
    <w:rsid w:val="41074DDF"/>
    <w:rsid w:val="4121212D"/>
    <w:rsid w:val="41317E02"/>
    <w:rsid w:val="413F74D4"/>
    <w:rsid w:val="419C74B1"/>
    <w:rsid w:val="42560402"/>
    <w:rsid w:val="42CE1D8E"/>
    <w:rsid w:val="430147FA"/>
    <w:rsid w:val="43752043"/>
    <w:rsid w:val="437B6879"/>
    <w:rsid w:val="43FD3798"/>
    <w:rsid w:val="4404061E"/>
    <w:rsid w:val="44C066D2"/>
    <w:rsid w:val="456778F2"/>
    <w:rsid w:val="45931D2F"/>
    <w:rsid w:val="45BB0276"/>
    <w:rsid w:val="45DB5C32"/>
    <w:rsid w:val="45E43639"/>
    <w:rsid w:val="45E479C8"/>
    <w:rsid w:val="4714479B"/>
    <w:rsid w:val="47771ED1"/>
    <w:rsid w:val="47F5689C"/>
    <w:rsid w:val="48677B29"/>
    <w:rsid w:val="48E05AF7"/>
    <w:rsid w:val="494452A8"/>
    <w:rsid w:val="49A14359"/>
    <w:rsid w:val="49AD7D2D"/>
    <w:rsid w:val="49F2070A"/>
    <w:rsid w:val="4A091A19"/>
    <w:rsid w:val="4B2A1C61"/>
    <w:rsid w:val="4B657135"/>
    <w:rsid w:val="4B8F463C"/>
    <w:rsid w:val="4BB0026F"/>
    <w:rsid w:val="4C253134"/>
    <w:rsid w:val="4CE41B4D"/>
    <w:rsid w:val="4CF878D3"/>
    <w:rsid w:val="4D25749E"/>
    <w:rsid w:val="4E1C1FB4"/>
    <w:rsid w:val="4F187F56"/>
    <w:rsid w:val="4F1918E4"/>
    <w:rsid w:val="4F230624"/>
    <w:rsid w:val="4F354C7F"/>
    <w:rsid w:val="4F552635"/>
    <w:rsid w:val="4F8F4094"/>
    <w:rsid w:val="4FCB6A17"/>
    <w:rsid w:val="50474198"/>
    <w:rsid w:val="5057605B"/>
    <w:rsid w:val="514F4C21"/>
    <w:rsid w:val="518B1F36"/>
    <w:rsid w:val="524F09FF"/>
    <w:rsid w:val="52687BF5"/>
    <w:rsid w:val="52F939C8"/>
    <w:rsid w:val="5371708D"/>
    <w:rsid w:val="53887198"/>
    <w:rsid w:val="539A2935"/>
    <w:rsid w:val="53F17D1C"/>
    <w:rsid w:val="542E33E4"/>
    <w:rsid w:val="54440BD0"/>
    <w:rsid w:val="54B44240"/>
    <w:rsid w:val="54CB68CC"/>
    <w:rsid w:val="562B19BB"/>
    <w:rsid w:val="563A36BF"/>
    <w:rsid w:val="56C00F63"/>
    <w:rsid w:val="5787124E"/>
    <w:rsid w:val="57F72542"/>
    <w:rsid w:val="58140DC4"/>
    <w:rsid w:val="592615C5"/>
    <w:rsid w:val="59263890"/>
    <w:rsid w:val="59E54F88"/>
    <w:rsid w:val="5A897C95"/>
    <w:rsid w:val="5AD84D95"/>
    <w:rsid w:val="5AD9798D"/>
    <w:rsid w:val="5ADE0A23"/>
    <w:rsid w:val="5B1D5577"/>
    <w:rsid w:val="5B5C3DFD"/>
    <w:rsid w:val="5BDB5443"/>
    <w:rsid w:val="5C6462A1"/>
    <w:rsid w:val="5CBA5401"/>
    <w:rsid w:val="5CE65545"/>
    <w:rsid w:val="5E1D3074"/>
    <w:rsid w:val="5EC51179"/>
    <w:rsid w:val="5F7C7B38"/>
    <w:rsid w:val="5F7F0ABD"/>
    <w:rsid w:val="5FB20F0C"/>
    <w:rsid w:val="5FD56323"/>
    <w:rsid w:val="5FDA4AD7"/>
    <w:rsid w:val="60BB7C42"/>
    <w:rsid w:val="61283FE8"/>
    <w:rsid w:val="61CF3BB8"/>
    <w:rsid w:val="620718C1"/>
    <w:rsid w:val="62672A8C"/>
    <w:rsid w:val="629D7104"/>
    <w:rsid w:val="62D12FBB"/>
    <w:rsid w:val="62F432A1"/>
    <w:rsid w:val="631F2FA5"/>
    <w:rsid w:val="633C39C4"/>
    <w:rsid w:val="63552369"/>
    <w:rsid w:val="64233AC2"/>
    <w:rsid w:val="64B45886"/>
    <w:rsid w:val="656770AE"/>
    <w:rsid w:val="65694BE4"/>
    <w:rsid w:val="66333A39"/>
    <w:rsid w:val="67130DC2"/>
    <w:rsid w:val="671343AC"/>
    <w:rsid w:val="674F037B"/>
    <w:rsid w:val="67703AB6"/>
    <w:rsid w:val="678420E1"/>
    <w:rsid w:val="680A7E6E"/>
    <w:rsid w:val="685A7431"/>
    <w:rsid w:val="687407FC"/>
    <w:rsid w:val="68912F34"/>
    <w:rsid w:val="68A869C0"/>
    <w:rsid w:val="691A347C"/>
    <w:rsid w:val="69544D74"/>
    <w:rsid w:val="6A21622D"/>
    <w:rsid w:val="6A4341E3"/>
    <w:rsid w:val="6B2135DB"/>
    <w:rsid w:val="6B5479C3"/>
    <w:rsid w:val="6B8B1F7C"/>
    <w:rsid w:val="6BEF18B9"/>
    <w:rsid w:val="6CAC58D7"/>
    <w:rsid w:val="6D5131E7"/>
    <w:rsid w:val="6D661C87"/>
    <w:rsid w:val="6EE167F4"/>
    <w:rsid w:val="6F472EA5"/>
    <w:rsid w:val="6F6C0CDE"/>
    <w:rsid w:val="6F810575"/>
    <w:rsid w:val="7016381D"/>
    <w:rsid w:val="703E57B3"/>
    <w:rsid w:val="70683C45"/>
    <w:rsid w:val="70A751E2"/>
    <w:rsid w:val="70BB02A9"/>
    <w:rsid w:val="70FF2AA0"/>
    <w:rsid w:val="71DE4F9F"/>
    <w:rsid w:val="72274354"/>
    <w:rsid w:val="723A0ADD"/>
    <w:rsid w:val="72A204A0"/>
    <w:rsid w:val="72A97E2B"/>
    <w:rsid w:val="730157AB"/>
    <w:rsid w:val="73330F1D"/>
    <w:rsid w:val="737E72C9"/>
    <w:rsid w:val="73D12296"/>
    <w:rsid w:val="73FE73EB"/>
    <w:rsid w:val="744B33D4"/>
    <w:rsid w:val="75537644"/>
    <w:rsid w:val="756C49D4"/>
    <w:rsid w:val="75E77C1D"/>
    <w:rsid w:val="765D58DE"/>
    <w:rsid w:val="76753FF5"/>
    <w:rsid w:val="76D85607"/>
    <w:rsid w:val="76DA4242"/>
    <w:rsid w:val="77702F00"/>
    <w:rsid w:val="7778770E"/>
    <w:rsid w:val="777A2C11"/>
    <w:rsid w:val="77A4040C"/>
    <w:rsid w:val="77BF7E83"/>
    <w:rsid w:val="77F547E3"/>
    <w:rsid w:val="781431D8"/>
    <w:rsid w:val="78BF7C94"/>
    <w:rsid w:val="78C50FED"/>
    <w:rsid w:val="78D704FE"/>
    <w:rsid w:val="793F7BE2"/>
    <w:rsid w:val="799828B0"/>
    <w:rsid w:val="79D939F5"/>
    <w:rsid w:val="79E34167"/>
    <w:rsid w:val="79E948AF"/>
    <w:rsid w:val="7A0958B7"/>
    <w:rsid w:val="7A0E7B77"/>
    <w:rsid w:val="7A124E54"/>
    <w:rsid w:val="7A346392"/>
    <w:rsid w:val="7A4F58AC"/>
    <w:rsid w:val="7A792ED3"/>
    <w:rsid w:val="7ACF7200"/>
    <w:rsid w:val="7B82052E"/>
    <w:rsid w:val="7B8F5645"/>
    <w:rsid w:val="7C3A7CDC"/>
    <w:rsid w:val="7C985AF7"/>
    <w:rsid w:val="7DA261A2"/>
    <w:rsid w:val="7DF7593D"/>
    <w:rsid w:val="7E1F35F5"/>
    <w:rsid w:val="7ED2552B"/>
    <w:rsid w:val="7EE53919"/>
    <w:rsid w:val="7F7B4715"/>
    <w:rsid w:val="7FCF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2022-12-31T09:34:00Z</dcterms:created>
  <dc:creator>Administrator</dc:creator>
  <cp:lastModifiedBy>Administrator</cp:lastModifiedBy>
  <cp:lastPrinted>2023-08-09T05:36:00Z</cp:lastPrinted>
  <dcterms:modified xsi:type="dcterms:W3CDTF">2023-09-01T08:42:33Z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87298221B5684024AED83E3BABEC9CC8</vt:lpwstr>
  </property>
</Properties>
</file>