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哈密市转移支付执行情况</w:t>
      </w: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的说明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2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哈密市第二届人大常委会第十一次会议于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2023年8月23日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批准了202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年哈密市本级决算。根据《中华人民共和国预算法》和哈密市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决算工作的相关要求，现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年哈密市转移支付执行情况说明如下：</w:t>
      </w:r>
    </w:p>
    <w:p>
      <w:pPr>
        <w:pStyle w:val="6"/>
        <w:numPr>
          <w:ilvl w:val="0"/>
          <w:numId w:val="0"/>
        </w:numPr>
        <w:ind w:left="640" w:left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sz w:val="32"/>
          <w:szCs w:val="32"/>
        </w:rPr>
        <w:t>关</w:t>
      </w:r>
      <w:r>
        <w:rPr>
          <w:rFonts w:ascii="黑体" w:hAnsi="黑体" w:eastAsia="黑体"/>
          <w:sz w:val="32"/>
          <w:szCs w:val="32"/>
        </w:rPr>
        <w:t>于</w:t>
      </w:r>
      <w:r>
        <w:rPr>
          <w:rFonts w:hint="eastAsia" w:ascii="黑体" w:hAnsi="黑体" w:eastAsia="黑体"/>
          <w:sz w:val="32"/>
          <w:szCs w:val="32"/>
        </w:rPr>
        <w:t>自治区财政对哈密市</w:t>
      </w:r>
      <w:r>
        <w:rPr>
          <w:rFonts w:ascii="黑体" w:hAnsi="黑体" w:eastAsia="黑体"/>
          <w:sz w:val="32"/>
          <w:szCs w:val="32"/>
        </w:rPr>
        <w:t>转移支付情况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，自治区财政对哈密市一般公共预算转移支付补助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83.75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15.81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23.27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%。其中：返还性收入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2021年持平</w:t>
      </w:r>
      <w:r>
        <w:rPr>
          <w:rFonts w:hint="eastAsia" w:ascii="仿宋_GB2312" w:hAnsi="仿宋_GB2312" w:eastAsia="仿宋_GB2312" w:cs="仿宋_GB2312"/>
          <w:sz w:val="32"/>
          <w:szCs w:val="32"/>
        </w:rPr>
        <w:t>；一般性转移支付收入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76.5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16.82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28.18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%；专项转移支付收入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3.79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1.01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21.04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政府性基金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0.16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72.73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国有资本经营预算转移支付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0.067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0.033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2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具体项目明细：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单位：万元</w:t>
      </w:r>
    </w:p>
    <w:tbl>
      <w:tblPr>
        <w:tblStyle w:val="4"/>
        <w:tblW w:w="81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9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val="en-US" w:eastAsia="zh-CN"/>
              </w:rPr>
              <w:t>一般公共预算转移支付收入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837520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返还性收入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34610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所得税基数返还收入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2,107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成品油税费改革税收返还收入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增值税税收返还收入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8,904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消费税税收返还收入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增值税“五五分享”税收返还收入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7,700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其他返还性收入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15659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val="en-US" w:eastAsia="zh-CN"/>
              </w:rPr>
              <w:t xml:space="preserve"> 一般性转移支付收入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765039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体制补助收入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12083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均衡性转移支付收入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75869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县级基本财力保障机制奖补资金收入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32553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结算补助收入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12875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资源枯竭型城市转移支付补助收入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企业事业单位划转补助收入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8285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产粮(油)大县奖励资金收入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重点生态功能区转移支付收入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固定数额补助收入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117048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革命老区转移支付收入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民族地区转移支付收入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边境地区转移支付收入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30565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贫困地区转移支付收入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39306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一般公共服务共同财政事权转移支付收入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2573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外交共同财政事权转移支付收入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国防共同财政事权转移支付收入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公共安全共同财政事权转移支付收入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17681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教育共同财政事权转移支付收入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28194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科学技术共同财政事权转移支付收入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文化旅游体育与传媒共同财政事权转移支付收入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社会保障和就业共同财政事权转移支付收入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36160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医疗卫生共同财政事权转移支付收入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37534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节能环保共同财政事权转移支付收入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2651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城乡社区共同财政事权转移支付收入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农林水共同财政事权转移支付收入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52530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交通运输共同财政事权转移支付收入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127887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资源勘探信息等共同财政事权转移支付收入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商业服务业等共同财政事权转移支付收入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金融共同财政事权转移支付收入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自然资源海洋气象等共同财政事权转移支付收入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住房保障共同财政事权转移支付收入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10104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灾害防治及应急管理共同财政事权转移支付收入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其他共同财政事权转移支付收入 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增值税留抵退税转移支付支出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43892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其他退税减税降费转移支付支出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21795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补充县区财力转移支付支出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42044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其他一般性转移支付收入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val="en-US" w:eastAsia="zh-CN"/>
              </w:rPr>
              <w:t>专项转移支付收入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37871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一般公共服务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688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外交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国防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公共安全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教育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科学技术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文化旅游体育与传媒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社会保障和就业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卫生健康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节能环保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城乡社区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2580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农林水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12978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交通运输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资源勘探工业信息等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5629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商业服务业等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金融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自然资源海洋气象等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住房保障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4420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粮油物资储备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灾害防治及应急管理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其他收入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</w:rPr>
              <w:t>政府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2"/>
              </w:rPr>
              <w:t>性基金转移支付收入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</w:rPr>
              <w:t>国有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2"/>
              </w:rPr>
              <w:t>资本经营预算转移支付收入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673</w:t>
            </w:r>
          </w:p>
        </w:tc>
      </w:tr>
    </w:tbl>
    <w:p>
      <w:pPr>
        <w:ind w:left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二、关</w:t>
      </w:r>
      <w:r>
        <w:rPr>
          <w:rFonts w:ascii="黑体" w:hAnsi="黑体" w:eastAsia="黑体"/>
          <w:sz w:val="32"/>
          <w:szCs w:val="32"/>
        </w:rPr>
        <w:t>于</w:t>
      </w:r>
      <w:r>
        <w:rPr>
          <w:rFonts w:hint="eastAsia" w:ascii="黑体" w:hAnsi="黑体" w:eastAsia="黑体"/>
          <w:sz w:val="32"/>
          <w:szCs w:val="32"/>
        </w:rPr>
        <w:t>哈密市</w:t>
      </w:r>
      <w:r>
        <w:rPr>
          <w:rFonts w:ascii="黑体" w:hAnsi="黑体" w:eastAsia="黑体"/>
          <w:sz w:val="32"/>
          <w:szCs w:val="32"/>
        </w:rPr>
        <w:t>财政</w:t>
      </w:r>
      <w:r>
        <w:rPr>
          <w:rFonts w:hint="eastAsia" w:ascii="黑体" w:hAnsi="黑体" w:eastAsia="黑体"/>
          <w:sz w:val="32"/>
          <w:szCs w:val="32"/>
        </w:rPr>
        <w:t>对</w:t>
      </w:r>
      <w:r>
        <w:rPr>
          <w:rFonts w:ascii="黑体" w:hAnsi="黑体" w:eastAsia="黑体"/>
          <w:sz w:val="32"/>
          <w:szCs w:val="32"/>
        </w:rPr>
        <w:t>各</w:t>
      </w:r>
      <w:r>
        <w:rPr>
          <w:rFonts w:hint="eastAsia" w:ascii="黑体" w:hAnsi="黑体" w:eastAsia="黑体"/>
          <w:sz w:val="32"/>
          <w:szCs w:val="32"/>
        </w:rPr>
        <w:t>区（县）</w:t>
      </w:r>
      <w:r>
        <w:rPr>
          <w:rFonts w:ascii="黑体" w:hAnsi="黑体" w:eastAsia="黑体"/>
          <w:sz w:val="32"/>
          <w:szCs w:val="32"/>
        </w:rPr>
        <w:t>转移支付情况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，哈密市对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税收返还和转移支付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62.33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14.26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29.67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%。其中：对各区（县）返还性支出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3.01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2021年持平</w:t>
      </w:r>
      <w:r>
        <w:rPr>
          <w:rFonts w:hint="eastAsia" w:ascii="仿宋_GB2312" w:hAnsi="仿宋_GB2312" w:eastAsia="仿宋_GB2312" w:cs="仿宋_GB2312"/>
          <w:sz w:val="32"/>
          <w:szCs w:val="32"/>
        </w:rPr>
        <w:t>；对各区（县）一般性转移支付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54.55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13.98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34.46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对各区（县）专项转移支付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4.77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6.24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哈密市对各区（县）政府性基金转移支付支出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0.15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哈密市对各区（县）国有资本经营转移支付支出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0.067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0.033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降低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具体项目明细：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单位：万元</w:t>
      </w:r>
    </w:p>
    <w:tbl>
      <w:tblPr>
        <w:tblStyle w:val="4"/>
        <w:tblW w:w="74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0"/>
        <w:gridCol w:w="23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项目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决 算 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val="en-US" w:eastAsia="zh-CN"/>
              </w:rPr>
              <w:t>补助下级支出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623381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val="en-US" w:eastAsia="zh-CN"/>
              </w:rPr>
              <w:t>返还性支出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30149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所得税基数返还支出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1,756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成品油税费改革税收返还支出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增值税税收返还支出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4,934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消费税税收返还支出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增值税“五五分享”税收返还支出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7,700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其他返还性支出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15659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val="en-US" w:eastAsia="zh-CN"/>
              </w:rPr>
              <w:t xml:space="preserve"> 一般性转移支付支出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545486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体制补助支出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7649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均衡性转移支付支出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52145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县级基本财力保障机制奖补资金支出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32533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结算补助支出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11684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资源枯竭型城市转移支付补助支出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企业事业单位划转补助支出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产粮(油)大县奖励资金支出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重点生态功能区转移支付支出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固定数额补助支出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90033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革命老区转移支付支出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民族地区转移支付支出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边境地区转移支付支出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29142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贫困地区转移支付支出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39306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一般公共服务共同财政事权转移支付支出 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外交共同财政事权转移支付支出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国防共同财政事权转移支付支出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公共安全共同财政事权转移支付支出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5549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教育共同财政事权转移支付支出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23408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科学技术共同财政事权转移支付支出 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文化旅游体育与传媒共同财政事权转移支付支出 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3707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社会保障和就业共同财政事权转移支付支出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30432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医疗卫生共同财政事权转移支付支出 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12830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节能环保共同财政事权转移支付支出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城乡社区共同财政事权转移支付支出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农林水共同财政事权转移支付支出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50884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交通运输共同财政事权转移支付支出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8483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资源勘探信息等共同财政事权转移支付支出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942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商业服务业等共同财政事权转移支付支出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金融共同财政事权转移支付支出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自然资源海洋气象等共同财政事权转移支付支出 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住房保障共同财政事权转移支付支出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10104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灾害防治及应急管理共同财政事权转移支付支出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其他共同财政事权转移支付支出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增值税留抵退税转移支付支出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43892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其他退税减税降费转移支付支出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21795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补充县区财力转移支付支出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42044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其他一般性转移支付支出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15152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lang w:val="en-US" w:eastAsia="zh-CN"/>
              </w:rPr>
              <w:t>专项转移支付支出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47746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一般公共服务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外交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国防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公共安全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教育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603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科学技术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文化旅游体育与传媒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社会保障和就业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卫生健康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8247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节能环保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671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城乡社区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农林水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10474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交通运输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资源勘探工业信息等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6892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商业服务业等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金融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自然资源海洋气象等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住房保障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12420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粮油物资储备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灾害防治及应急管理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其他收入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4326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政府</w:t>
            </w:r>
            <w:r>
              <w:rPr>
                <w:rFonts w:ascii="宋体" w:hAnsi="宋体" w:eastAsia="宋体" w:cs="宋体"/>
                <w:kern w:val="0"/>
                <w:sz w:val="22"/>
              </w:rPr>
              <w:t>性基金转移支付支出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3543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国有</w:t>
            </w:r>
            <w:r>
              <w:rPr>
                <w:rFonts w:ascii="宋体" w:hAnsi="宋体" w:eastAsia="宋体" w:cs="宋体"/>
                <w:kern w:val="0"/>
                <w:sz w:val="22"/>
              </w:rPr>
              <w:t>资本经营转移支付支出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righ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673</w:t>
            </w:r>
          </w:p>
        </w:tc>
      </w:tr>
    </w:tbl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EC"/>
    <w:rsid w:val="00030A09"/>
    <w:rsid w:val="00044985"/>
    <w:rsid w:val="0006148C"/>
    <w:rsid w:val="000A1ADB"/>
    <w:rsid w:val="000E13C7"/>
    <w:rsid w:val="000E45E7"/>
    <w:rsid w:val="000E5FB3"/>
    <w:rsid w:val="000F21C1"/>
    <w:rsid w:val="00103FAF"/>
    <w:rsid w:val="00157CCF"/>
    <w:rsid w:val="001952EE"/>
    <w:rsid w:val="001C2990"/>
    <w:rsid w:val="001D460E"/>
    <w:rsid w:val="001E0724"/>
    <w:rsid w:val="00276216"/>
    <w:rsid w:val="002A318B"/>
    <w:rsid w:val="002A6FA6"/>
    <w:rsid w:val="002C17BF"/>
    <w:rsid w:val="00334131"/>
    <w:rsid w:val="0034026F"/>
    <w:rsid w:val="003805C6"/>
    <w:rsid w:val="00390771"/>
    <w:rsid w:val="003D331E"/>
    <w:rsid w:val="0040390C"/>
    <w:rsid w:val="00424013"/>
    <w:rsid w:val="00432907"/>
    <w:rsid w:val="0045542C"/>
    <w:rsid w:val="00480722"/>
    <w:rsid w:val="00486B6C"/>
    <w:rsid w:val="004A726F"/>
    <w:rsid w:val="004B1E27"/>
    <w:rsid w:val="004E3375"/>
    <w:rsid w:val="004E3BC7"/>
    <w:rsid w:val="00513149"/>
    <w:rsid w:val="00522A41"/>
    <w:rsid w:val="00597593"/>
    <w:rsid w:val="005B7EE1"/>
    <w:rsid w:val="005D378B"/>
    <w:rsid w:val="00630B4E"/>
    <w:rsid w:val="006A46AE"/>
    <w:rsid w:val="006E097B"/>
    <w:rsid w:val="007016C2"/>
    <w:rsid w:val="00705F74"/>
    <w:rsid w:val="00767D36"/>
    <w:rsid w:val="007F63EC"/>
    <w:rsid w:val="00830A9A"/>
    <w:rsid w:val="008766C4"/>
    <w:rsid w:val="008A3C38"/>
    <w:rsid w:val="008D5B03"/>
    <w:rsid w:val="00910DC1"/>
    <w:rsid w:val="00950636"/>
    <w:rsid w:val="0097748C"/>
    <w:rsid w:val="00986951"/>
    <w:rsid w:val="0099697D"/>
    <w:rsid w:val="009B187D"/>
    <w:rsid w:val="009B447D"/>
    <w:rsid w:val="009B6DD5"/>
    <w:rsid w:val="009D7DCF"/>
    <w:rsid w:val="009E1DFA"/>
    <w:rsid w:val="00A03E35"/>
    <w:rsid w:val="00A11FD3"/>
    <w:rsid w:val="00AD005A"/>
    <w:rsid w:val="00AD1748"/>
    <w:rsid w:val="00AD77FB"/>
    <w:rsid w:val="00AE1F43"/>
    <w:rsid w:val="00BA4FD2"/>
    <w:rsid w:val="00BF1C9A"/>
    <w:rsid w:val="00C50ED2"/>
    <w:rsid w:val="00C56AB2"/>
    <w:rsid w:val="00C80943"/>
    <w:rsid w:val="00CC4609"/>
    <w:rsid w:val="00D042FD"/>
    <w:rsid w:val="00D04CE2"/>
    <w:rsid w:val="00D56B63"/>
    <w:rsid w:val="00DD71F0"/>
    <w:rsid w:val="00E31944"/>
    <w:rsid w:val="00E50E55"/>
    <w:rsid w:val="00E744F2"/>
    <w:rsid w:val="00E761AD"/>
    <w:rsid w:val="00EB4789"/>
    <w:rsid w:val="00F34898"/>
    <w:rsid w:val="00F51CCC"/>
    <w:rsid w:val="00F90817"/>
    <w:rsid w:val="00FA2E1C"/>
    <w:rsid w:val="00FD2C7A"/>
    <w:rsid w:val="019714B2"/>
    <w:rsid w:val="0CEA506D"/>
    <w:rsid w:val="10732259"/>
    <w:rsid w:val="1DE50ED2"/>
    <w:rsid w:val="1ED94EE3"/>
    <w:rsid w:val="23E503AF"/>
    <w:rsid w:val="24A014E0"/>
    <w:rsid w:val="341876D9"/>
    <w:rsid w:val="3C0B50E6"/>
    <w:rsid w:val="48261BF1"/>
    <w:rsid w:val="4A437A0D"/>
    <w:rsid w:val="54345C11"/>
    <w:rsid w:val="57FC25C8"/>
    <w:rsid w:val="630F2A0E"/>
    <w:rsid w:val="66556B67"/>
    <w:rsid w:val="77622836"/>
    <w:rsid w:val="777838A3"/>
    <w:rsid w:val="7B49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3239C4-CE4F-458A-91DF-8FAF31B460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XJCZT</Company>
  <Pages>4</Pages>
  <Words>311</Words>
  <Characters>1773</Characters>
  <Lines>14</Lines>
  <Paragraphs>4</Paragraphs>
  <TotalTime>12</TotalTime>
  <ScaleCrop>false</ScaleCrop>
  <LinksUpToDate>false</LinksUpToDate>
  <CharactersWithSpaces>2080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2019-07-25T11:43:00Z</dcterms:created>
  <dc:creator>CurUserName</dc:creator>
  <cp:lastModifiedBy>Administrator</cp:lastModifiedBy>
  <cp:lastPrinted>2019-09-06T02:26:00Z</cp:lastPrinted>
  <dcterms:modified xsi:type="dcterms:W3CDTF">2024-09-09T09:35:28Z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