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pStyle w:val="2"/>
      </w:pPr>
    </w:p>
    <w:p>
      <w:pPr>
        <w:pStyle w:val="2"/>
      </w:pPr>
    </w:p>
    <w:p>
      <w:pPr>
        <w:spacing w:line="56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8"/>
          <w:szCs w:val="48"/>
        </w:rPr>
        <w:t>哈密市社会保险基金支出</w:t>
      </w:r>
    </w:p>
    <w:p>
      <w:pPr>
        <w:spacing w:line="56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8"/>
          <w:szCs w:val="48"/>
        </w:rPr>
        <w:t>绩效评价报告</w:t>
      </w:r>
    </w:p>
    <w:p>
      <w:pPr>
        <w:spacing w:line="56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</w:p>
    <w:p>
      <w:pPr>
        <w:spacing w:line="56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8"/>
          <w:szCs w:val="48"/>
        </w:rPr>
        <w:t>（</w:t>
      </w:r>
      <w:r>
        <w:rPr>
          <w:rFonts w:ascii="黑体" w:hAnsi="黑体" w:eastAsia="黑体" w:cs="黑体"/>
          <w:b/>
          <w:kern w:val="0"/>
          <w:sz w:val="48"/>
          <w:szCs w:val="48"/>
        </w:rPr>
        <w:t>202</w:t>
      </w:r>
      <w:r>
        <w:rPr>
          <w:rFonts w:hint="eastAsia" w:ascii="黑体" w:hAnsi="黑体" w:eastAsia="黑体" w:cs="黑体"/>
          <w:b/>
          <w:kern w:val="0"/>
          <w:sz w:val="48"/>
          <w:szCs w:val="48"/>
          <w:lang w:val="en-US" w:eastAsia="zh-CN"/>
        </w:rPr>
        <w:t>2</w:t>
      </w:r>
      <w:r>
        <w:rPr>
          <w:rFonts w:hint="eastAsia" w:ascii="黑体" w:hAnsi="黑体" w:eastAsia="黑体" w:cs="黑体"/>
          <w:b/>
          <w:kern w:val="0"/>
          <w:sz w:val="48"/>
          <w:szCs w:val="48"/>
        </w:rPr>
        <w:t>年度）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Cs/>
          <w:kern w:val="0"/>
          <w:sz w:val="30"/>
          <w:szCs w:val="30"/>
        </w:rPr>
        <w:t xml:space="preserve"> 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项目名称：社会保险基金支出</w:t>
      </w:r>
    </w:p>
    <w:p>
      <w:pPr>
        <w:spacing w:line="56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60" w:lineRule="exact"/>
        <w:ind w:firstLine="800" w:firstLineChars="250"/>
        <w:jc w:val="left"/>
        <w:rPr>
          <w:rFonts w:hint="eastAsia" w:ascii="黑体" w:hAnsi="黑体" w:eastAsia="黑体" w:cs="黑体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实施单位（公章）：哈密市社会保险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eastAsia="zh-CN"/>
        </w:rPr>
        <w:t>中心</w:t>
      </w:r>
    </w:p>
    <w:p>
      <w:pPr>
        <w:spacing w:line="56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负责人（签章）：张益民</w:t>
      </w:r>
    </w:p>
    <w:p>
      <w:pPr>
        <w:pStyle w:val="2"/>
      </w:pPr>
    </w:p>
    <w:p>
      <w:pPr>
        <w:spacing w:line="560" w:lineRule="exact"/>
        <w:ind w:firstLine="800" w:firstLineChars="250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填报时间：</w:t>
      </w:r>
      <w:r>
        <w:rPr>
          <w:rFonts w:ascii="黑体" w:hAnsi="黑体" w:eastAsia="黑体" w:cs="黑体"/>
          <w:bCs/>
          <w:kern w:val="0"/>
          <w:sz w:val="32"/>
          <w:szCs w:val="32"/>
        </w:rPr>
        <w:t xml:space="preserve"> 202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年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月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日</w:t>
      </w:r>
    </w:p>
    <w:p>
      <w:p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</w:p>
    <w:p>
      <w:p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</w:p>
    <w:p>
      <w:pPr>
        <w:spacing w:line="560" w:lineRule="exact"/>
        <w:ind w:firstLine="586" w:firstLineChars="20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一、社会保险基金收支余总体情况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（一）社会保险基金总体情况</w:t>
      </w:r>
    </w:p>
    <w:p>
      <w:pPr>
        <w:tabs>
          <w:tab w:val="left" w:pos="0"/>
        </w:tabs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2022年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度，在自治区人社厅、财政厅的指导、帮助下及哈密市人社局、财政局的大力支持和共同努力下，哈密市社会保险工作取得了显著成绩。各项社会保险基金收入总体运行平稳。确保了广大参保人员各项社会保险待遇的按时、足额发放，各项保险覆盖面逐步扩大。在进一步加强社会保险基金预算管理的基础上，确保了各项基金的安全运营。</w:t>
      </w:r>
    </w:p>
    <w:p>
      <w:pPr>
        <w:tabs>
          <w:tab w:val="left" w:pos="0"/>
        </w:tabs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2022年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哈密市各项基金总收入13.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亿元（收入小计不含上下级往来），较上年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减少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0.4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亿元，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减少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2.86</w:t>
      </w:r>
      <w:r>
        <w:rPr>
          <w:rFonts w:ascii="仿宋_GB2312" w:hAnsi="仿宋_GB2312" w:eastAsia="仿宋_GB2312" w:cs="仿宋_GB2312"/>
          <w:bCs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，完成年度预算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92.04</w:t>
      </w:r>
      <w:r>
        <w:rPr>
          <w:rFonts w:ascii="仿宋_GB2312" w:hAnsi="仿宋_GB2312" w:eastAsia="仿宋_GB2312" w:cs="仿宋_GB2312"/>
          <w:bCs/>
          <w:sz w:val="30"/>
          <w:szCs w:val="30"/>
          <w:highlight w:val="none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。各项基金总支出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15.24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亿元（支出小计不含上下级往来），较上年增加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1.58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亿元，增长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11.55</w:t>
      </w:r>
      <w:r>
        <w:rPr>
          <w:rFonts w:ascii="仿宋_GB2312" w:hAnsi="仿宋_GB2312" w:eastAsia="仿宋_GB2312" w:cs="仿宋_GB2312"/>
          <w:bCs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，完成年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度预算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101.4</w:t>
      </w:r>
      <w:r>
        <w:rPr>
          <w:rFonts w:ascii="仿宋_GB2312" w:hAnsi="仿宋_GB2312" w:eastAsia="仿宋_GB2312" w:cs="仿宋_GB2312"/>
          <w:bCs/>
          <w:sz w:val="30"/>
          <w:szCs w:val="30"/>
          <w:highlight w:val="none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。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基金当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期结余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0.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62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亿元，滚存结余5.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亿元。</w:t>
      </w:r>
    </w:p>
    <w:tbl>
      <w:tblPr>
        <w:tblStyle w:val="6"/>
        <w:tblW w:w="852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0"/>
        <w:gridCol w:w="49"/>
        <w:gridCol w:w="1701"/>
        <w:gridCol w:w="1560"/>
        <w:gridCol w:w="1559"/>
        <w:gridCol w:w="1417"/>
        <w:gridCol w:w="113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100" w:type="dxa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420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2022年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哈密市社保基金收支分析表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</w:t>
            </w:r>
          </w:p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4" w:hRule="atLeast"/>
        </w:trPr>
        <w:tc>
          <w:tcPr>
            <w:tcW w:w="2850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1560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机关事业养老（改革）</w:t>
            </w:r>
          </w:p>
        </w:tc>
        <w:tc>
          <w:tcPr>
            <w:tcW w:w="1559" w:type="dxa"/>
            <w:tcBorders>
              <w:top w:val="single" w:color="000000" w:sz="12" w:space="0"/>
              <w:bottom w:val="single" w:color="000000" w:sz="12" w:space="0"/>
              <w:right w:val="single" w:color="auto" w:sz="12" w:space="0"/>
            </w:tcBorders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Calibri" w:hAnsi="Calibri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</w:t>
            </w:r>
            <w:r>
              <w:rPr>
                <w:rFonts w:hint="eastAsia" w:ascii="Calibri" w:hAnsi="Calibri" w:eastAsia="仿宋_GB2312" w:cs="仿宋_GB2312"/>
                <w:color w:val="000000"/>
                <w:kern w:val="0"/>
                <w:szCs w:val="21"/>
              </w:rPr>
              <w:t>居民养老</w:t>
            </w:r>
          </w:p>
        </w:tc>
        <w:tc>
          <w:tcPr>
            <w:tcW w:w="141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失业保险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合计：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预算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基金收入小计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2720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bottom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15235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jc w:val="both"/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144610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基金支出小计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6481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bottom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11846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140324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highlight w:val="none"/>
              </w:rPr>
              <w:t>基金收入小计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  <w:t>112328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  <w:t>14639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  <w:t>8941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  <w:t>135908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highlight w:val="none"/>
              </w:rPr>
              <w:t>基金支出小计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  <w:t>128498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  <w:t>11761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  <w:t>12105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highlight w:val="none"/>
                <w:lang w:val="en-US" w:eastAsia="zh-CN"/>
              </w:rPr>
              <w:t>152364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年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基金收入小计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117995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14367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7491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139853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基金支出小计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120089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11508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4987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136584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收入对比分析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增长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-5667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272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1450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-3945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增幅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-4.80%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1.89%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19.36%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-2.82%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执行预算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91.53%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96.09%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支出对比分析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增长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8409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253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7118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15780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增幅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7.00%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2.20%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142.73%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11.55%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执行预算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101.59%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99.28%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</w:tr>
    </w:tbl>
    <w:p>
      <w:pPr>
        <w:pStyle w:val="2"/>
      </w:pP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（二）社会保险基金支出预算绩效目标设定情况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（包括基金支出预算目标及阶段性目标；项目用途和主要内容、涉及对象及人数范围等）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2022年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预算哈密市机关事业养老保险（改革）基金总支出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126481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万元</w:t>
      </w:r>
      <w:r>
        <w:rPr>
          <w:rFonts w:ascii="仿宋_GB2312" w:hAnsi="仿宋_GB2312" w:eastAsia="仿宋_GB2312" w:cs="仿宋_GB2312"/>
          <w:bCs/>
          <w:sz w:val="30"/>
          <w:szCs w:val="30"/>
        </w:rPr>
        <w:t>,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其中：基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本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养老金待遇支出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126179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万元</w:t>
      </w:r>
      <w:r>
        <w:rPr>
          <w:rFonts w:ascii="仿宋_GB2312" w:hAnsi="仿宋_GB2312" w:eastAsia="仿宋_GB2312" w:cs="仿宋_GB2312"/>
          <w:bCs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全年保障离退休人员17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354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人的基本养老金待遇发放。全年预算支出执行目标</w:t>
      </w:r>
      <w:r>
        <w:rPr>
          <w:rFonts w:ascii="仿宋_GB2312" w:hAnsi="仿宋_GB2312" w:eastAsia="仿宋_GB2312" w:cs="仿宋_GB2312"/>
          <w:bCs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以上，哈密市承诺在每月１８日前按时足额发放养老金，首次待遇发放准确率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eastAsia="zh-CN"/>
        </w:rPr>
        <w:t>2022年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预算哈密市城乡居民养老保险基金总支出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11846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万元</w:t>
      </w:r>
      <w:r>
        <w:rPr>
          <w:rFonts w:ascii="仿宋_GB2312" w:hAnsi="仿宋_GB2312" w:eastAsia="仿宋_GB2312" w:cs="仿宋_GB2312"/>
          <w:bCs/>
          <w:sz w:val="30"/>
          <w:szCs w:val="30"/>
          <w:highlight w:val="none"/>
        </w:rPr>
        <w:t>,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其中：基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  <w:highlight w:val="none"/>
        </w:rPr>
        <w:t>本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养老金待遇支出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11659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万元，抚恤金待遇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149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万元。全年保障哈密市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28820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</w:rPr>
        <w:t>名城乡居民离退休人员的基本养老金待遇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发放，保障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787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名城乡居民死亡人员的丧葬抚恤金待遇发放。全年预算支出执行目标</w:t>
      </w:r>
      <w:r>
        <w:rPr>
          <w:rFonts w:ascii="仿宋_GB2312" w:hAnsi="仿宋_GB2312" w:eastAsia="仿宋_GB2312" w:cs="仿宋_GB2312"/>
          <w:bCs/>
          <w:sz w:val="30"/>
          <w:szCs w:val="30"/>
        </w:rPr>
        <w:t>9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9</w:t>
      </w:r>
      <w:r>
        <w:rPr>
          <w:rFonts w:ascii="仿宋_GB2312" w:hAnsi="仿宋_GB2312" w:eastAsia="仿宋_GB2312" w:cs="仿宋_GB2312"/>
          <w:bCs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以上，哈密市承诺在每月</w:t>
      </w:r>
      <w:r>
        <w:rPr>
          <w:rFonts w:ascii="仿宋_GB2312" w:hAnsi="仿宋_GB2312" w:eastAsia="仿宋_GB2312" w:cs="仿宋_GB2312"/>
          <w:bCs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日前按时足额发放养老金，首次待遇发放准确率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以上。</w:t>
      </w:r>
    </w:p>
    <w:p>
      <w:p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二、各项社会保险基金预算完成及运行情况</w:t>
      </w:r>
    </w:p>
    <w:p>
      <w:pPr>
        <w:spacing w:line="560" w:lineRule="exact"/>
        <w:ind w:firstLine="567"/>
        <w:jc w:val="left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（一）机关事业单位养老保险基金预算完成及运行情况分析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2022年</w:t>
      </w:r>
      <w:r>
        <w:rPr>
          <w:rFonts w:hint="eastAsia" w:ascii="仿宋_GB2312" w:eastAsia="仿宋_GB2312"/>
          <w:sz w:val="30"/>
          <w:szCs w:val="30"/>
        </w:rPr>
        <w:t>度</w:t>
      </w:r>
      <w:r>
        <w:rPr>
          <w:rFonts w:hint="eastAsia" w:ascii="仿宋_GB2312" w:hAnsi="宋体" w:eastAsia="仿宋_GB2312"/>
          <w:sz w:val="30"/>
          <w:szCs w:val="30"/>
        </w:rPr>
        <w:t>机关事业单位</w:t>
      </w:r>
      <w:r>
        <w:rPr>
          <w:rFonts w:hint="eastAsia" w:ascii="仿宋_GB2312" w:eastAsia="仿宋_GB2312"/>
          <w:sz w:val="30"/>
          <w:szCs w:val="30"/>
        </w:rPr>
        <w:t>养老保险基金收入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112328</w:t>
      </w:r>
      <w:r>
        <w:rPr>
          <w:rFonts w:hint="eastAsia" w:ascii="仿宋_GB2312" w:eastAsia="仿宋_GB2312"/>
          <w:sz w:val="30"/>
          <w:szCs w:val="30"/>
        </w:rPr>
        <w:t>万元，其中：保费收入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61767</w:t>
      </w:r>
      <w:r>
        <w:rPr>
          <w:rFonts w:hint="eastAsia" w:ascii="仿宋_GB2312" w:eastAsia="仿宋_GB2312"/>
          <w:sz w:val="30"/>
          <w:szCs w:val="30"/>
        </w:rPr>
        <w:t>万元、利息收入1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98</w:t>
      </w:r>
      <w:r>
        <w:rPr>
          <w:rFonts w:hint="eastAsia" w:ascii="仿宋_GB2312" w:eastAsia="仿宋_GB2312"/>
          <w:sz w:val="30"/>
          <w:szCs w:val="30"/>
        </w:rPr>
        <w:t>万元、财政补助收入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49730</w:t>
      </w:r>
      <w:r>
        <w:rPr>
          <w:rFonts w:hint="eastAsia" w:ascii="仿宋_GB2312" w:eastAsia="仿宋_GB2312"/>
          <w:sz w:val="30"/>
          <w:szCs w:val="30"/>
        </w:rPr>
        <w:t>万元，其他收入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76</w:t>
      </w:r>
      <w:r>
        <w:rPr>
          <w:rFonts w:hint="eastAsia" w:ascii="仿宋_GB2312" w:eastAsia="仿宋_GB2312"/>
          <w:sz w:val="30"/>
          <w:szCs w:val="30"/>
        </w:rPr>
        <w:t>万元，转移收入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557</w:t>
      </w:r>
      <w:r>
        <w:rPr>
          <w:rFonts w:hint="eastAsia" w:ascii="仿宋_GB2312" w:eastAsia="仿宋_GB2312"/>
          <w:sz w:val="30"/>
          <w:szCs w:val="30"/>
        </w:rPr>
        <w:t>万元。基金总支出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128498</w:t>
      </w:r>
      <w:r>
        <w:rPr>
          <w:rFonts w:hint="eastAsia" w:ascii="仿宋_GB2312" w:eastAsia="仿宋_GB2312"/>
          <w:sz w:val="30"/>
          <w:szCs w:val="30"/>
        </w:rPr>
        <w:t>万元，其中：基本养老金支出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128119</w:t>
      </w:r>
      <w:r>
        <w:rPr>
          <w:rFonts w:hint="eastAsia" w:ascii="仿宋_GB2312" w:eastAsia="仿宋_GB2312"/>
          <w:sz w:val="30"/>
          <w:szCs w:val="30"/>
        </w:rPr>
        <w:t>万元，转移支出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327</w:t>
      </w:r>
      <w:r>
        <w:rPr>
          <w:rFonts w:hint="eastAsia" w:ascii="仿宋_GB2312" w:eastAsia="仿宋_GB2312"/>
          <w:sz w:val="30"/>
          <w:szCs w:val="30"/>
        </w:rPr>
        <w:t>万元。</w:t>
      </w:r>
      <w:r>
        <w:rPr>
          <w:rFonts w:hint="eastAsia" w:ascii="仿宋_GB2312" w:eastAsia="仿宋_GB2312"/>
          <w:sz w:val="30"/>
          <w:szCs w:val="30"/>
          <w:highlight w:val="none"/>
        </w:rPr>
        <w:t>基金当期结余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2873</w:t>
      </w:r>
      <w:r>
        <w:rPr>
          <w:rFonts w:hint="eastAsia" w:ascii="仿宋_GB2312" w:eastAsia="仿宋_GB2312"/>
          <w:sz w:val="30"/>
          <w:szCs w:val="30"/>
          <w:highlight w:val="none"/>
        </w:rPr>
        <w:t>万元，滚</w:t>
      </w:r>
      <w:r>
        <w:rPr>
          <w:rFonts w:hint="eastAsia" w:ascii="仿宋_GB2312" w:eastAsia="仿宋_GB2312"/>
          <w:sz w:val="30"/>
          <w:szCs w:val="30"/>
        </w:rPr>
        <w:t>存结余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16681</w:t>
      </w:r>
      <w:r>
        <w:rPr>
          <w:rFonts w:hint="eastAsia" w:ascii="仿宋_GB2312" w:eastAsia="仿宋_GB2312"/>
          <w:sz w:val="30"/>
          <w:szCs w:val="30"/>
        </w:rPr>
        <w:t>万元。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2022年</w:t>
      </w:r>
      <w:r>
        <w:rPr>
          <w:rFonts w:hint="eastAsia" w:ascii="仿宋_GB2312" w:eastAsia="仿宋_GB2312"/>
          <w:sz w:val="30"/>
          <w:szCs w:val="30"/>
        </w:rPr>
        <w:t>机关事业单位养老保险（改革）基金保费收入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112328</w:t>
      </w:r>
      <w:r>
        <w:rPr>
          <w:rFonts w:hint="eastAsia" w:ascii="仿宋_GB2312" w:eastAsia="仿宋_GB2312"/>
          <w:sz w:val="30"/>
          <w:szCs w:val="30"/>
        </w:rPr>
        <w:t>万元，较上年</w:t>
      </w:r>
      <w:r>
        <w:rPr>
          <w:rFonts w:hint="eastAsia" w:ascii="仿宋_GB2312" w:eastAsia="仿宋_GB2312"/>
          <w:sz w:val="30"/>
          <w:szCs w:val="30"/>
          <w:lang w:eastAsia="zh-CN"/>
        </w:rPr>
        <w:t>减少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5667</w:t>
      </w:r>
      <w:r>
        <w:rPr>
          <w:rFonts w:hint="eastAsia" w:ascii="仿宋_GB2312" w:eastAsia="仿宋_GB2312"/>
          <w:sz w:val="30"/>
          <w:szCs w:val="30"/>
        </w:rPr>
        <w:t>万元，</w:t>
      </w:r>
      <w:r>
        <w:rPr>
          <w:rFonts w:hint="eastAsia" w:ascii="仿宋_GB2312" w:eastAsia="仿宋_GB2312"/>
          <w:sz w:val="30"/>
          <w:szCs w:val="30"/>
          <w:lang w:eastAsia="zh-CN"/>
        </w:rPr>
        <w:t>下降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4.8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，完成年度预算的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91.53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560" w:lineRule="exact"/>
        <w:ind w:firstLine="567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2022年</w:t>
      </w:r>
      <w:r>
        <w:rPr>
          <w:rFonts w:hint="eastAsia" w:ascii="仿宋_GB2312" w:eastAsia="仿宋_GB2312"/>
          <w:sz w:val="30"/>
          <w:szCs w:val="30"/>
        </w:rPr>
        <w:t>机关事业单位养老保险（改革）基金待遇支出128498万元，较上年增加8409万元，增长</w:t>
      </w:r>
      <w:r>
        <w:rPr>
          <w:rFonts w:ascii="仿宋_GB2312" w:eastAsia="仿宋_GB2312"/>
          <w:sz w:val="30"/>
          <w:szCs w:val="30"/>
        </w:rPr>
        <w:t>7%</w:t>
      </w:r>
      <w:r>
        <w:rPr>
          <w:rFonts w:hint="eastAsia" w:ascii="仿宋_GB2312" w:eastAsia="仿宋_GB2312"/>
          <w:sz w:val="30"/>
          <w:szCs w:val="30"/>
        </w:rPr>
        <w:t>，完成年度预算的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101.59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560" w:lineRule="exact"/>
        <w:ind w:firstLine="567"/>
        <w:jc w:val="left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（二）城乡居民养老保险基金预算完成及运行情况分析</w:t>
      </w:r>
    </w:p>
    <w:p>
      <w:pPr>
        <w:spacing w:line="560" w:lineRule="exact"/>
        <w:ind w:firstLine="600" w:firstLineChars="200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/>
          <w:bCs/>
          <w:sz w:val="30"/>
          <w:szCs w:val="30"/>
          <w:lang w:eastAsia="zh-CN"/>
        </w:rPr>
        <w:t>2022年</w:t>
      </w:r>
      <w:r>
        <w:rPr>
          <w:rFonts w:hint="eastAsia" w:ascii="仿宋_GB2312" w:hAnsi="仿宋_GB2312" w:eastAsia="仿宋_GB2312"/>
          <w:bCs/>
          <w:sz w:val="30"/>
          <w:szCs w:val="30"/>
        </w:rPr>
        <w:t>度，哈密市</w:t>
      </w:r>
      <w:r>
        <w:rPr>
          <w:rStyle w:val="8"/>
          <w:rFonts w:hint="eastAsia" w:ascii="仿宋_GB2312" w:hAnsi="仿宋_GB2312" w:eastAsia="仿宋_GB2312" w:cs="仿宋_GB2312"/>
          <w:b w:val="0"/>
          <w:spacing w:val="-4"/>
          <w:sz w:val="30"/>
          <w:szCs w:val="30"/>
        </w:rPr>
        <w:t>城乡居民</w:t>
      </w:r>
      <w:r>
        <w:rPr>
          <w:rFonts w:hint="eastAsia" w:ascii="仿宋_GB2312" w:hAnsi="仿宋_GB2312" w:eastAsia="仿宋_GB2312"/>
          <w:bCs/>
          <w:sz w:val="30"/>
          <w:szCs w:val="30"/>
        </w:rPr>
        <w:t>养老保险基金总收入14639万元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，其中：个人缴费收入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2575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</w:rPr>
        <w:t>较上年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增加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257</w:t>
      </w:r>
      <w:r>
        <w:rPr>
          <w:rFonts w:hint="eastAsia" w:ascii="仿宋_GB2312" w:hAnsi="宋体"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增长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11.09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114.44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财政补贴收入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11679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万元，利息收入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229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万元，其他收入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21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万元，转移收入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112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万元。基金</w:t>
      </w:r>
      <w:r>
        <w:rPr>
          <w:rFonts w:hint="eastAsia" w:ascii="仿宋_GB2312" w:hAnsi="仿宋_GB2312" w:eastAsia="仿宋_GB2312"/>
          <w:bCs/>
          <w:sz w:val="30"/>
          <w:szCs w:val="30"/>
        </w:rPr>
        <w:t>总支出</w:t>
      </w:r>
      <w:r>
        <w:rPr>
          <w:rFonts w:hint="eastAsia" w:ascii="仿宋_GB2312" w:hAnsi="仿宋_GB2312" w:eastAsia="仿宋_GB2312"/>
          <w:bCs/>
          <w:sz w:val="30"/>
          <w:szCs w:val="30"/>
          <w:lang w:val="en-US" w:eastAsia="zh-CN"/>
        </w:rPr>
        <w:t>11761</w:t>
      </w:r>
      <w:r>
        <w:rPr>
          <w:rFonts w:hint="eastAsia" w:ascii="仿宋_GB2312" w:hAnsi="仿宋_GB2312" w:eastAsia="仿宋_GB2312"/>
          <w:bCs/>
          <w:sz w:val="30"/>
          <w:szCs w:val="30"/>
        </w:rPr>
        <w:t>万元</w:t>
      </w:r>
      <w:r>
        <w:rPr>
          <w:rFonts w:ascii="仿宋_GB2312" w:hAnsi="宋体" w:eastAsia="仿宋_GB2312" w:cs="宋体"/>
          <w:kern w:val="0"/>
          <w:sz w:val="30"/>
          <w:szCs w:val="30"/>
        </w:rPr>
        <w:t>,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其中：个人账户养老金支出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412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</w:rPr>
        <w:t>较上年增加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53</w:t>
      </w:r>
      <w:r>
        <w:rPr>
          <w:rFonts w:hint="eastAsia" w:ascii="仿宋_GB2312" w:hAnsi="宋体" w:eastAsia="仿宋_GB2312"/>
          <w:sz w:val="30"/>
          <w:szCs w:val="30"/>
        </w:rPr>
        <w:t>万元，增长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14.76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138.72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基础养老金支出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11213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</w:rPr>
        <w:t>较上年增加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303</w:t>
      </w:r>
      <w:r>
        <w:rPr>
          <w:rFonts w:hint="eastAsia" w:ascii="仿宋_GB2312" w:hAnsi="宋体" w:eastAsia="仿宋_GB2312"/>
          <w:sz w:val="30"/>
          <w:szCs w:val="30"/>
        </w:rPr>
        <w:t>万元，增长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2.78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102.81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丧葬抚恤金支出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122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</w:rPr>
        <w:t>较上年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减少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84</w:t>
      </w:r>
      <w:r>
        <w:rPr>
          <w:rFonts w:hint="eastAsia" w:ascii="仿宋_GB2312" w:hAnsi="宋体"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下降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40.78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98.39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转移支出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9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万元。</w:t>
      </w:r>
    </w:p>
    <w:p>
      <w:pPr>
        <w:spacing w:line="560" w:lineRule="exact"/>
        <w:ind w:firstLine="600" w:firstLineChars="200"/>
        <w:rPr>
          <w:rFonts w:ascii="仿宋_GB2312" w:hAnsi="仿宋_GB2312" w:eastAsia="仿宋_GB2312"/>
          <w:bCs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基金</w:t>
      </w:r>
      <w:r>
        <w:rPr>
          <w:rFonts w:hint="eastAsia" w:ascii="仿宋_GB2312" w:hAnsi="仿宋_GB2312" w:eastAsia="仿宋_GB2312"/>
          <w:bCs/>
          <w:sz w:val="30"/>
          <w:szCs w:val="30"/>
        </w:rPr>
        <w:t>当</w:t>
      </w:r>
      <w:r>
        <w:rPr>
          <w:rFonts w:hint="eastAsia" w:ascii="仿宋_GB2312" w:hAnsi="仿宋_GB2312" w:eastAsia="仿宋_GB2312"/>
          <w:bCs/>
          <w:sz w:val="30"/>
          <w:szCs w:val="30"/>
          <w:highlight w:val="none"/>
        </w:rPr>
        <w:t>期结余28</w:t>
      </w:r>
      <w:r>
        <w:rPr>
          <w:rFonts w:hint="eastAsia" w:ascii="仿宋_GB2312" w:hAnsi="仿宋_GB2312" w:eastAsia="仿宋_GB2312"/>
          <w:bCs/>
          <w:sz w:val="30"/>
          <w:szCs w:val="30"/>
          <w:highlight w:val="none"/>
          <w:lang w:val="en-US" w:eastAsia="zh-CN"/>
        </w:rPr>
        <w:t>78</w:t>
      </w:r>
      <w:r>
        <w:rPr>
          <w:rFonts w:hint="eastAsia" w:ascii="仿宋_GB2312" w:hAnsi="仿宋_GB2312" w:eastAsia="仿宋_GB2312"/>
          <w:bCs/>
          <w:sz w:val="30"/>
          <w:szCs w:val="30"/>
          <w:highlight w:val="none"/>
        </w:rPr>
        <w:t>万</w:t>
      </w:r>
      <w:r>
        <w:rPr>
          <w:rFonts w:hint="eastAsia" w:ascii="仿宋_GB2312" w:hAnsi="仿宋_GB2312" w:eastAsia="仿宋_GB2312"/>
          <w:bCs/>
          <w:sz w:val="30"/>
          <w:szCs w:val="30"/>
        </w:rPr>
        <w:t>元，累计结余</w:t>
      </w:r>
      <w:r>
        <w:rPr>
          <w:rFonts w:hint="eastAsia" w:ascii="仿宋_GB2312" w:hAnsi="仿宋_GB2312" w:eastAsia="仿宋_GB2312"/>
          <w:bCs/>
          <w:sz w:val="30"/>
          <w:szCs w:val="30"/>
          <w:lang w:val="en-US" w:eastAsia="zh-CN"/>
        </w:rPr>
        <w:t>24950</w:t>
      </w:r>
      <w:r>
        <w:rPr>
          <w:rFonts w:hint="eastAsia" w:ascii="仿宋_GB2312" w:hAnsi="仿宋_GB2312" w:eastAsia="仿宋_GB2312"/>
          <w:bCs/>
          <w:sz w:val="30"/>
          <w:szCs w:val="30"/>
        </w:rPr>
        <w:t>万元。</w:t>
      </w:r>
    </w:p>
    <w:p>
      <w:pPr>
        <w:spacing w:line="560" w:lineRule="exact"/>
        <w:ind w:firstLine="567"/>
        <w:jc w:val="left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（三）失业保险基金预算完成及运行情况分析</w:t>
      </w:r>
    </w:p>
    <w:p>
      <w:pPr>
        <w:spacing w:line="560" w:lineRule="exact"/>
        <w:ind w:firstLine="504" w:firstLineChars="168"/>
        <w:rPr>
          <w:rFonts w:ascii="仿宋_GB2312" w:hAnsi="宋体" w:eastAsia="仿宋_GB2312"/>
          <w:sz w:val="30"/>
          <w:szCs w:val="30"/>
          <w:highlight w:val="none"/>
        </w:rPr>
      </w:pPr>
      <w:r>
        <w:rPr>
          <w:rFonts w:hint="eastAsia" w:ascii="仿宋_GB2312" w:hAnsi="宋体" w:eastAsia="仿宋_GB2312"/>
          <w:bCs/>
          <w:sz w:val="30"/>
          <w:szCs w:val="30"/>
          <w:lang w:eastAsia="zh-CN"/>
        </w:rPr>
        <w:t>2022年</w:t>
      </w:r>
      <w:r>
        <w:rPr>
          <w:rFonts w:hint="eastAsia" w:ascii="仿宋_GB2312" w:hAnsi="宋体" w:eastAsia="仿宋_GB2312"/>
          <w:bCs/>
          <w:sz w:val="30"/>
          <w:szCs w:val="30"/>
        </w:rPr>
        <w:t>度，</w:t>
      </w:r>
      <w:r>
        <w:rPr>
          <w:rFonts w:hint="eastAsia" w:ascii="仿宋_GB2312" w:hAnsi="宋体" w:eastAsia="仿宋_GB2312"/>
          <w:sz w:val="30"/>
          <w:szCs w:val="30"/>
        </w:rPr>
        <w:t>哈密市</w:t>
      </w:r>
      <w:r>
        <w:rPr>
          <w:rFonts w:hint="eastAsia" w:ascii="仿宋_GB2312" w:hAnsi="宋体" w:eastAsia="仿宋_GB2312"/>
          <w:bCs/>
          <w:sz w:val="30"/>
          <w:szCs w:val="30"/>
        </w:rPr>
        <w:t>失业保险基金总收入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8941</w:t>
      </w:r>
      <w:r>
        <w:rPr>
          <w:rFonts w:hint="eastAsia" w:ascii="仿宋_GB2312" w:hAnsi="宋体" w:eastAsia="仿宋_GB2312"/>
          <w:bCs/>
          <w:sz w:val="30"/>
          <w:szCs w:val="30"/>
        </w:rPr>
        <w:t>万元，其中：</w:t>
      </w:r>
      <w:r>
        <w:rPr>
          <w:rFonts w:hint="eastAsia" w:ascii="仿宋_GB2312" w:hAnsi="宋体" w:eastAsia="仿宋_GB2312"/>
          <w:sz w:val="30"/>
          <w:szCs w:val="30"/>
        </w:rPr>
        <w:t>保费收入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8428</w:t>
      </w:r>
      <w:r>
        <w:rPr>
          <w:rFonts w:hint="eastAsia" w:ascii="仿宋_GB2312" w:hAnsi="宋体" w:eastAsia="仿宋_GB2312"/>
          <w:sz w:val="30"/>
          <w:szCs w:val="30"/>
        </w:rPr>
        <w:t>万元，较上年增加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1124</w:t>
      </w:r>
      <w:r>
        <w:rPr>
          <w:rFonts w:hint="eastAsia" w:ascii="仿宋_GB2312" w:hAnsi="宋体" w:eastAsia="仿宋_GB2312"/>
          <w:sz w:val="30"/>
          <w:szCs w:val="30"/>
        </w:rPr>
        <w:t>万元，增长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15.39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；利息收入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471</w:t>
      </w:r>
      <w:r>
        <w:rPr>
          <w:rFonts w:hint="eastAsia" w:ascii="仿宋_GB2312" w:hAnsi="宋体" w:eastAsia="仿宋_GB2312"/>
          <w:sz w:val="30"/>
          <w:szCs w:val="30"/>
        </w:rPr>
        <w:t>万元，其他收入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33</w:t>
      </w:r>
      <w:r>
        <w:rPr>
          <w:rFonts w:hint="eastAsia" w:ascii="仿宋_GB2312" w:hAnsi="宋体" w:eastAsia="仿宋_GB2312"/>
          <w:sz w:val="30"/>
          <w:szCs w:val="30"/>
        </w:rPr>
        <w:t>万元，转移收入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宋体" w:eastAsia="仿宋_GB2312"/>
          <w:sz w:val="30"/>
          <w:szCs w:val="30"/>
        </w:rPr>
        <w:t>万元。</w:t>
      </w:r>
      <w:r>
        <w:rPr>
          <w:rFonts w:hint="eastAsia" w:ascii="仿宋_GB2312" w:hAnsi="宋体" w:eastAsia="仿宋_GB2312"/>
          <w:bCs/>
          <w:sz w:val="30"/>
          <w:szCs w:val="30"/>
        </w:rPr>
        <w:t>基金总支出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12105</w:t>
      </w:r>
      <w:r>
        <w:rPr>
          <w:rFonts w:hint="eastAsia" w:ascii="仿宋_GB2312" w:hAnsi="宋体" w:eastAsia="仿宋_GB2312"/>
          <w:bCs/>
          <w:sz w:val="30"/>
          <w:szCs w:val="30"/>
        </w:rPr>
        <w:t>万元，较上年</w:t>
      </w:r>
      <w:r>
        <w:rPr>
          <w:rFonts w:hint="eastAsia" w:ascii="仿宋_GB2312" w:hAnsi="宋体" w:eastAsia="仿宋_GB2312"/>
          <w:bCs/>
          <w:sz w:val="30"/>
          <w:szCs w:val="30"/>
          <w:lang w:eastAsia="zh-CN"/>
        </w:rPr>
        <w:t>增加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7118</w:t>
      </w:r>
      <w:r>
        <w:rPr>
          <w:rFonts w:hint="eastAsia" w:ascii="仿宋_GB2312" w:hAnsi="宋体" w:eastAsia="仿宋_GB2312"/>
          <w:bCs/>
          <w:sz w:val="30"/>
          <w:szCs w:val="30"/>
        </w:rPr>
        <w:t>万元，</w:t>
      </w:r>
      <w:r>
        <w:rPr>
          <w:rFonts w:hint="eastAsia" w:ascii="仿宋_GB2312" w:hAnsi="宋体" w:eastAsia="仿宋_GB2312"/>
          <w:bCs/>
          <w:sz w:val="30"/>
          <w:szCs w:val="30"/>
          <w:lang w:eastAsia="zh-CN"/>
        </w:rPr>
        <w:t>增长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142.73</w:t>
      </w:r>
      <w:r>
        <w:rPr>
          <w:rFonts w:ascii="仿宋_GB2312" w:hAnsi="宋体" w:eastAsia="仿宋_GB2312"/>
          <w:bCs/>
          <w:sz w:val="30"/>
          <w:szCs w:val="30"/>
        </w:rPr>
        <w:t>%</w:t>
      </w:r>
      <w:r>
        <w:rPr>
          <w:rFonts w:hint="eastAsia" w:ascii="仿宋_GB2312" w:hAnsi="宋体" w:eastAsia="仿宋_GB2312"/>
          <w:bCs/>
          <w:sz w:val="30"/>
          <w:szCs w:val="30"/>
          <w:lang w:eastAsia="zh-CN"/>
        </w:rPr>
        <w:t>，</w:t>
      </w:r>
      <w:r>
        <w:rPr>
          <w:rFonts w:hint="eastAsia" w:ascii="仿宋_GB2312" w:hAnsi="宋体" w:eastAsia="仿宋_GB2312"/>
          <w:bCs/>
          <w:sz w:val="30"/>
          <w:szCs w:val="30"/>
        </w:rPr>
        <w:t>其中：失业保险待遇支出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2019</w:t>
      </w:r>
      <w:r>
        <w:rPr>
          <w:rFonts w:hint="eastAsia" w:ascii="仿宋_GB2312" w:hAnsi="宋体" w:eastAsia="仿宋_GB2312"/>
          <w:bCs/>
          <w:sz w:val="30"/>
          <w:szCs w:val="30"/>
        </w:rPr>
        <w:t>万元、医疗保险费支出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733</w:t>
      </w:r>
      <w:r>
        <w:rPr>
          <w:rFonts w:hint="eastAsia" w:ascii="仿宋_GB2312" w:hAnsi="宋体" w:eastAsia="仿宋_GB2312"/>
          <w:bCs/>
          <w:sz w:val="30"/>
          <w:szCs w:val="30"/>
        </w:rPr>
        <w:t>万元，丧葬抚恤金支出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7</w:t>
      </w:r>
      <w:r>
        <w:rPr>
          <w:rFonts w:hint="eastAsia" w:ascii="仿宋_GB2312" w:hAnsi="宋体" w:eastAsia="仿宋_GB2312"/>
          <w:bCs/>
          <w:sz w:val="30"/>
          <w:szCs w:val="30"/>
        </w:rPr>
        <w:t>万元，技能提升补贴支出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58</w:t>
      </w:r>
      <w:r>
        <w:rPr>
          <w:rFonts w:hint="eastAsia" w:ascii="仿宋_GB2312" w:hAnsi="宋体" w:eastAsia="仿宋_GB2312"/>
          <w:bCs/>
          <w:sz w:val="30"/>
          <w:szCs w:val="30"/>
        </w:rPr>
        <w:t>万元、稳岗补贴支出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3542</w:t>
      </w:r>
      <w:r>
        <w:rPr>
          <w:rFonts w:hint="eastAsia" w:ascii="仿宋_GB2312" w:hAnsi="宋体" w:eastAsia="仿宋_GB2312"/>
          <w:bCs/>
          <w:sz w:val="30"/>
          <w:szCs w:val="30"/>
        </w:rPr>
        <w:t>万元，失业补助金支出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768</w:t>
      </w:r>
      <w:r>
        <w:rPr>
          <w:rFonts w:hint="eastAsia" w:ascii="仿宋_GB2312" w:hAnsi="宋体" w:eastAsia="仿宋_GB2312"/>
          <w:bCs/>
          <w:sz w:val="30"/>
          <w:szCs w:val="30"/>
        </w:rPr>
        <w:t>万元</w:t>
      </w:r>
      <w:r>
        <w:rPr>
          <w:rFonts w:ascii="仿宋_GB2312" w:hAnsi="宋体" w:eastAsia="仿宋_GB2312"/>
          <w:bCs/>
          <w:sz w:val="30"/>
          <w:szCs w:val="30"/>
        </w:rPr>
        <w:t>,</w:t>
      </w:r>
      <w:r>
        <w:rPr>
          <w:rFonts w:hint="eastAsia" w:ascii="仿宋_GB2312" w:hAnsi="宋体" w:eastAsia="仿宋_GB2312"/>
          <w:bCs/>
          <w:sz w:val="30"/>
          <w:szCs w:val="30"/>
        </w:rPr>
        <w:t>转移支出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21</w:t>
      </w:r>
      <w:r>
        <w:rPr>
          <w:rFonts w:hint="eastAsia" w:ascii="仿宋_GB2312" w:hAnsi="宋体" w:eastAsia="仿宋_GB2312"/>
          <w:bCs/>
          <w:sz w:val="30"/>
          <w:szCs w:val="30"/>
        </w:rPr>
        <w:t>万</w:t>
      </w:r>
      <w:r>
        <w:rPr>
          <w:rFonts w:hint="eastAsia" w:ascii="仿宋_GB2312" w:hAnsi="宋体" w:eastAsia="仿宋_GB2312"/>
          <w:bCs/>
          <w:sz w:val="30"/>
          <w:szCs w:val="30"/>
          <w:lang w:eastAsia="zh-CN"/>
        </w:rPr>
        <w:t>元。</w:t>
      </w:r>
      <w:r>
        <w:rPr>
          <w:rFonts w:hint="eastAsia" w:ascii="仿宋_GB2312" w:eastAsia="仿宋_GB2312"/>
          <w:sz w:val="30"/>
          <w:szCs w:val="30"/>
          <w:highlight w:val="none"/>
        </w:rPr>
        <w:t>基金当期结余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-11937</w:t>
      </w:r>
      <w:r>
        <w:rPr>
          <w:rFonts w:hint="eastAsia" w:ascii="仿宋_GB2312" w:eastAsia="仿宋_GB2312"/>
          <w:sz w:val="30"/>
          <w:szCs w:val="30"/>
          <w:highlight w:val="none"/>
        </w:rPr>
        <w:t>万元，累计结余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12060</w:t>
      </w:r>
      <w:r>
        <w:rPr>
          <w:rFonts w:hint="eastAsia" w:ascii="仿宋_GB2312" w:eastAsia="仿宋_GB2312"/>
          <w:sz w:val="30"/>
          <w:szCs w:val="30"/>
          <w:highlight w:val="none"/>
        </w:rPr>
        <w:t>万元。</w:t>
      </w:r>
    </w:p>
    <w:p>
      <w:pPr>
        <w:numPr>
          <w:ilvl w:val="0"/>
          <w:numId w:val="1"/>
        </w:num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各项社会保险基金支出组织实施情况和绩效管理情况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（一）社会保险管理情况分析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shd w:val="clear" w:color="auto" w:fill="FFFFFF"/>
        </w:rPr>
        <w:t>进一步完善基本养老保险省级统筹制度，规范企业职工基本养老保险缴费政策，通过规范一次性补费、灵活就业人员缴费比例、农牧企业职工缴费基数等政策。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eastAsia="zh-CN"/>
        </w:rPr>
        <w:t>2022年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是自</w:t>
      </w:r>
      <w:r>
        <w:rPr>
          <w:rFonts w:ascii="仿宋_GB2312" w:hAnsi="仿宋_GB2312" w:eastAsia="仿宋_GB2312" w:cs="仿宋_GB2312"/>
          <w:bCs/>
          <w:color w:val="000000"/>
          <w:sz w:val="30"/>
          <w:szCs w:val="30"/>
        </w:rPr>
        <w:t>2005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年以来，连续第</w:t>
      </w:r>
      <w:r>
        <w:rPr>
          <w:rFonts w:ascii="仿宋_GB2312" w:hAnsi="仿宋_GB2312" w:eastAsia="仿宋_GB2312" w:cs="仿宋_GB2312"/>
          <w:bCs/>
          <w:color w:val="000000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年调整企业退休人员养老金，也是机关事业养老保险制度改革后，连续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年同步调整机关事业单位退休人员养老金待遇。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失业保险基金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助力企业参保职工提升技能，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确保符合条件的参保职工享受技能提升补贴，放宽参保职工技能提升补贴申领条件，将技能提升补贴政策落实到位。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继续实施援企稳岗政策，对符合条件的所有企业发放稳岗补贴，对失业人员发放失业补助金</w:t>
      </w:r>
      <w:r>
        <w:rPr>
          <w:rFonts w:ascii="仿宋_GB2312" w:hAnsi="仿宋_GB2312" w:eastAsia="仿宋_GB2312" w:cs="仿宋_GB2312"/>
          <w:bCs/>
          <w:sz w:val="30"/>
          <w:szCs w:val="30"/>
        </w:rPr>
        <w:t>,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支持实体经济平稳健康发展。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（二）绩效目标完成情况分析</w:t>
      </w:r>
    </w:p>
    <w:p>
      <w:pPr>
        <w:spacing w:line="560" w:lineRule="exact"/>
        <w:ind w:firstLine="584" w:firstLineChars="200"/>
        <w:rPr>
          <w:rFonts w:ascii="仿宋_GB2312" w:hAnsi="仿宋_GB2312" w:eastAsia="仿宋_GB2312" w:cs="仿宋_GB2312"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  <w:lang w:eastAsia="zh-CN"/>
        </w:rPr>
        <w:t>2022年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哈密市各项社会保险基金支出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  <w:lang w:val="en-US" w:eastAsia="zh-CN"/>
        </w:rPr>
        <w:t>152364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  <w:highlight w:val="none"/>
        </w:rPr>
        <w:t>完成年度待遇支出预算的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  <w:highlight w:val="none"/>
          <w:lang w:val="en-US" w:eastAsia="zh-CN"/>
        </w:rPr>
        <w:t>101.4</w:t>
      </w:r>
      <w:r>
        <w:rPr>
          <w:rFonts w:ascii="仿宋_GB2312" w:hAnsi="仿宋_GB2312" w:eastAsia="仿宋_GB2312" w:cs="仿宋_GB2312"/>
          <w:bCs/>
          <w:spacing w:val="-4"/>
          <w:sz w:val="30"/>
          <w:szCs w:val="30"/>
          <w:highlight w:val="none"/>
        </w:rPr>
        <w:t>%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。各项社会保险待遇也在规定时限内报销或足额领取待遇，社会满意度</w:t>
      </w:r>
      <w:r>
        <w:rPr>
          <w:rFonts w:ascii="仿宋_GB2312" w:hAnsi="仿宋_GB2312" w:eastAsia="仿宋_GB2312" w:cs="仿宋_GB2312"/>
          <w:bCs/>
          <w:spacing w:val="-4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以上，圆满保障了退休人员的晚年生活和在职参保人员的养老、失业等切身利益问题。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1、机关事业单位养老保险基金</w:t>
      </w:r>
    </w:p>
    <w:p>
      <w:pPr>
        <w:spacing w:line="560" w:lineRule="exact"/>
        <w:ind w:firstLine="567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2022年</w:t>
      </w:r>
      <w:r>
        <w:rPr>
          <w:rFonts w:hint="eastAsia" w:ascii="仿宋_GB2312" w:eastAsia="仿宋_GB2312"/>
          <w:sz w:val="30"/>
          <w:szCs w:val="30"/>
        </w:rPr>
        <w:t>机关事业单位养老保险（改革）</w:t>
      </w:r>
      <w:r>
        <w:rPr>
          <w:rFonts w:hint="eastAsia" w:ascii="仿宋_GB2312" w:hAnsi="仿宋_GB2312" w:eastAsia="仿宋_GB2312"/>
          <w:bCs/>
          <w:sz w:val="30"/>
          <w:szCs w:val="30"/>
        </w:rPr>
        <w:t>基金</w:t>
      </w:r>
      <w:bookmarkStart w:id="0" w:name="_GoBack"/>
      <w:bookmarkEnd w:id="0"/>
      <w:r>
        <w:rPr>
          <w:rFonts w:hint="eastAsia" w:ascii="仿宋_GB2312" w:hAnsi="仿宋_GB2312" w:eastAsia="仿宋_GB2312"/>
          <w:bCs/>
          <w:sz w:val="30"/>
          <w:szCs w:val="30"/>
        </w:rPr>
        <w:t>支出小计</w:t>
      </w:r>
      <w:r>
        <w:rPr>
          <w:rFonts w:hint="eastAsia" w:ascii="仿宋_GB2312" w:hAnsi="仿宋_GB2312" w:eastAsia="仿宋_GB2312"/>
          <w:bCs/>
          <w:sz w:val="30"/>
          <w:szCs w:val="30"/>
          <w:lang w:val="en-US" w:eastAsia="zh-CN"/>
        </w:rPr>
        <w:t>128498</w:t>
      </w:r>
      <w:r>
        <w:rPr>
          <w:rFonts w:hint="eastAsia" w:ascii="仿宋_GB2312" w:hAnsi="仿宋_GB2312" w:eastAsia="仿宋_GB2312"/>
          <w:bCs/>
          <w:sz w:val="30"/>
          <w:szCs w:val="30"/>
        </w:rPr>
        <w:t>万元</w:t>
      </w:r>
      <w:r>
        <w:rPr>
          <w:rFonts w:ascii="仿宋_GB2312" w:hAnsi="仿宋_GB2312" w:eastAsia="仿宋_GB2312"/>
          <w:bCs/>
          <w:sz w:val="30"/>
          <w:szCs w:val="30"/>
        </w:rPr>
        <w:t xml:space="preserve">, </w:t>
      </w:r>
      <w:r>
        <w:rPr>
          <w:rFonts w:hint="eastAsia" w:ascii="仿宋_GB2312" w:hAnsi="仿宋_GB2312" w:eastAsia="仿宋_GB2312"/>
          <w:bCs/>
          <w:sz w:val="30"/>
          <w:szCs w:val="30"/>
        </w:rPr>
        <w:t>完成全年预算的10</w:t>
      </w:r>
      <w:r>
        <w:rPr>
          <w:rFonts w:hint="eastAsia" w:ascii="仿宋_GB2312" w:hAnsi="仿宋_GB2312" w:eastAsia="仿宋_GB2312"/>
          <w:bCs/>
          <w:sz w:val="30"/>
          <w:szCs w:val="30"/>
          <w:lang w:val="en-US" w:eastAsia="zh-CN"/>
        </w:rPr>
        <w:t>1.59</w:t>
      </w:r>
      <w:r>
        <w:rPr>
          <w:rFonts w:ascii="仿宋_GB2312" w:hAnsi="仿宋_GB2312" w:eastAsia="仿宋_GB2312"/>
          <w:bCs/>
          <w:sz w:val="30"/>
          <w:szCs w:val="30"/>
        </w:rPr>
        <w:t>%,</w:t>
      </w:r>
      <w:r>
        <w:rPr>
          <w:rFonts w:hint="eastAsia" w:ascii="仿宋_GB2312" w:eastAsia="仿宋_GB2312"/>
          <w:sz w:val="30"/>
          <w:szCs w:val="30"/>
        </w:rPr>
        <w:t>基金待遇支出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128119</w:t>
      </w:r>
      <w:r>
        <w:rPr>
          <w:rFonts w:hint="eastAsia" w:ascii="仿宋_GB2312" w:eastAsia="仿宋_GB2312"/>
          <w:sz w:val="30"/>
          <w:szCs w:val="30"/>
        </w:rPr>
        <w:t>万元，较上年增加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8349</w:t>
      </w:r>
      <w:r>
        <w:rPr>
          <w:rFonts w:hint="eastAsia" w:ascii="仿宋_GB2312" w:eastAsia="仿宋_GB2312"/>
          <w:sz w:val="30"/>
          <w:szCs w:val="30"/>
        </w:rPr>
        <w:t>万元，增长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6.97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每月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日前按时足额发放养老金，首次待遇发放准确率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2022年</w:t>
      </w:r>
      <w:r>
        <w:rPr>
          <w:rFonts w:hint="eastAsia" w:ascii="仿宋_GB2312" w:eastAsia="仿宋_GB2312"/>
          <w:sz w:val="30"/>
          <w:szCs w:val="30"/>
        </w:rPr>
        <w:t>机关事业单位养老保险</w:t>
      </w:r>
      <w:r>
        <w:rPr>
          <w:rFonts w:hint="eastAsia" w:ascii="仿宋_GB2312" w:hAnsi="仿宋_GB2312" w:eastAsia="仿宋_GB2312"/>
          <w:bCs/>
          <w:sz w:val="30"/>
          <w:szCs w:val="30"/>
        </w:rPr>
        <w:t>离退休人员</w:t>
      </w:r>
      <w:r>
        <w:rPr>
          <w:rFonts w:hint="eastAsia" w:ascii="仿宋_GB2312" w:hAnsi="仿宋_GB2312" w:eastAsia="仿宋_GB2312"/>
          <w:bCs/>
          <w:sz w:val="30"/>
          <w:szCs w:val="30"/>
          <w:lang w:val="en-US" w:eastAsia="zh-CN"/>
        </w:rPr>
        <w:t>17354</w:t>
      </w:r>
      <w:r>
        <w:rPr>
          <w:rFonts w:hint="eastAsia" w:ascii="仿宋_GB2312" w:hAnsi="仿宋_GB2312" w:eastAsia="仿宋_GB2312"/>
          <w:bCs/>
          <w:sz w:val="30"/>
          <w:szCs w:val="30"/>
        </w:rPr>
        <w:t>人，</w:t>
      </w:r>
      <w:r>
        <w:rPr>
          <w:rFonts w:hint="eastAsia" w:ascii="仿宋_GB2312" w:eastAsia="仿宋_GB2312"/>
          <w:sz w:val="30"/>
          <w:szCs w:val="30"/>
        </w:rPr>
        <w:t>较上年增加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332</w:t>
      </w:r>
      <w:r>
        <w:rPr>
          <w:rFonts w:hint="eastAsia" w:ascii="仿宋_GB2312" w:eastAsia="仿宋_GB2312"/>
          <w:sz w:val="30"/>
          <w:szCs w:val="30"/>
        </w:rPr>
        <w:t>人，增长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1.95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。继续调整提高退休人员养老金水平，哈密市人</w:t>
      </w:r>
      <w:r>
        <w:rPr>
          <w:rFonts w:hint="eastAsia" w:ascii="仿宋_GB2312" w:eastAsia="仿宋_GB2312"/>
          <w:sz w:val="30"/>
          <w:szCs w:val="30"/>
          <w:highlight w:val="none"/>
        </w:rPr>
        <w:t>均月增加养老金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283.33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元，</w:t>
      </w:r>
      <w:r>
        <w:rPr>
          <w:rFonts w:hint="eastAsia" w:ascii="仿宋_GB2312" w:eastAsia="仿宋_GB2312"/>
          <w:sz w:val="30"/>
          <w:szCs w:val="30"/>
          <w:highlight w:val="none"/>
        </w:rPr>
        <w:t>调整幅度4.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79</w:t>
      </w:r>
      <w:r>
        <w:rPr>
          <w:rFonts w:ascii="仿宋_GB2312" w:eastAsia="仿宋_GB2312"/>
          <w:sz w:val="30"/>
          <w:szCs w:val="30"/>
          <w:highlight w:val="none"/>
        </w:rPr>
        <w:t>%</w:t>
      </w:r>
      <w:r>
        <w:rPr>
          <w:rFonts w:hint="eastAsia" w:ascii="仿宋_GB2312" w:eastAsia="仿宋_GB2312"/>
          <w:sz w:val="30"/>
          <w:szCs w:val="30"/>
          <w:highlight w:val="none"/>
        </w:rPr>
        <w:t>。</w:t>
      </w:r>
      <w:r>
        <w:rPr>
          <w:rFonts w:ascii="仿宋_GB2312" w:eastAsia="仿宋_GB2312"/>
          <w:sz w:val="30"/>
          <w:szCs w:val="30"/>
          <w:highlight w:val="none"/>
        </w:rPr>
        <w:t xml:space="preserve"> </w:t>
      </w:r>
    </w:p>
    <w:p>
      <w:pPr>
        <w:spacing w:line="560" w:lineRule="exact"/>
        <w:ind w:firstLine="586" w:firstLineChars="200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2、城乡居民基本养老保险基金</w:t>
      </w:r>
    </w:p>
    <w:p>
      <w:pPr>
        <w:spacing w:line="560" w:lineRule="exact"/>
        <w:ind w:firstLine="600" w:firstLineChars="200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基金</w:t>
      </w:r>
      <w:r>
        <w:rPr>
          <w:rFonts w:hint="eastAsia" w:ascii="仿宋_GB2312" w:hAnsi="仿宋_GB2312" w:eastAsia="仿宋_GB2312"/>
          <w:bCs/>
          <w:sz w:val="30"/>
          <w:szCs w:val="30"/>
        </w:rPr>
        <w:t>总支出</w:t>
      </w:r>
      <w:r>
        <w:rPr>
          <w:rFonts w:hint="eastAsia" w:ascii="仿宋_GB2312" w:hAnsi="仿宋_GB2312" w:eastAsia="仿宋_GB2312"/>
          <w:bCs/>
          <w:sz w:val="30"/>
          <w:szCs w:val="30"/>
          <w:lang w:val="en-US" w:eastAsia="zh-CN"/>
        </w:rPr>
        <w:t>11761</w:t>
      </w:r>
      <w:r>
        <w:rPr>
          <w:rFonts w:hint="eastAsia" w:ascii="仿宋_GB2312" w:hAnsi="仿宋_GB2312" w:eastAsia="仿宋_GB2312"/>
          <w:bCs/>
          <w:sz w:val="30"/>
          <w:szCs w:val="30"/>
        </w:rPr>
        <w:t>万元</w:t>
      </w:r>
      <w:r>
        <w:rPr>
          <w:rFonts w:ascii="仿宋_GB2312" w:hAnsi="宋体" w:eastAsia="仿宋_GB2312" w:cs="宋体"/>
          <w:kern w:val="0"/>
          <w:sz w:val="30"/>
          <w:szCs w:val="30"/>
        </w:rPr>
        <w:t>,</w:t>
      </w:r>
      <w:r>
        <w:rPr>
          <w:rFonts w:ascii="仿宋_GB2312" w:hAnsi="仿宋_GB2312" w:eastAsia="仿宋_GB2312"/>
          <w:bCs/>
          <w:sz w:val="30"/>
          <w:szCs w:val="30"/>
        </w:rPr>
        <w:t xml:space="preserve"> </w:t>
      </w:r>
      <w:r>
        <w:rPr>
          <w:rFonts w:hint="eastAsia" w:ascii="仿宋_GB2312" w:hAnsi="仿宋_GB2312" w:eastAsia="仿宋_GB2312"/>
          <w:bCs/>
          <w:sz w:val="30"/>
          <w:szCs w:val="30"/>
        </w:rPr>
        <w:t>完成全年预算的9</w:t>
      </w:r>
      <w:r>
        <w:rPr>
          <w:rFonts w:hint="eastAsia" w:ascii="仿宋_GB2312" w:hAnsi="仿宋_GB2312" w:eastAsia="仿宋_GB2312"/>
          <w:bCs/>
          <w:sz w:val="30"/>
          <w:szCs w:val="30"/>
          <w:lang w:val="en-US" w:eastAsia="zh-CN"/>
        </w:rPr>
        <w:t>9.28</w:t>
      </w:r>
      <w:r>
        <w:rPr>
          <w:rFonts w:ascii="仿宋_GB2312" w:hAnsi="仿宋_GB2312" w:eastAsia="仿宋_GB2312"/>
          <w:bCs/>
          <w:sz w:val="30"/>
          <w:szCs w:val="30"/>
        </w:rPr>
        <w:t>%,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其中：个人账户养老金支出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412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</w:rPr>
        <w:t>较上年增加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53</w:t>
      </w:r>
      <w:r>
        <w:rPr>
          <w:rFonts w:hint="eastAsia" w:ascii="仿宋_GB2312" w:hAnsi="宋体" w:eastAsia="仿宋_GB2312"/>
          <w:sz w:val="30"/>
          <w:szCs w:val="30"/>
        </w:rPr>
        <w:t>万元，增长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14.76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138.72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基础养老金支出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11213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</w:rPr>
        <w:t>较上年增加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303</w:t>
      </w:r>
      <w:r>
        <w:rPr>
          <w:rFonts w:hint="eastAsia" w:ascii="仿宋_GB2312" w:hAnsi="宋体" w:eastAsia="仿宋_GB2312"/>
          <w:sz w:val="30"/>
          <w:szCs w:val="30"/>
        </w:rPr>
        <w:t>万元，增长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2.78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102.81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丧葬抚恤金支出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122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</w:rPr>
        <w:t>较上年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减少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84</w:t>
      </w:r>
      <w:r>
        <w:rPr>
          <w:rFonts w:hint="eastAsia" w:ascii="仿宋_GB2312" w:hAnsi="宋体"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下降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40.78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98.39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转移支出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9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万元。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2022年</w:t>
      </w:r>
      <w:r>
        <w:rPr>
          <w:rFonts w:hint="eastAsia" w:ascii="仿宋_GB2312" w:eastAsia="仿宋_GB2312"/>
          <w:sz w:val="30"/>
          <w:szCs w:val="30"/>
        </w:rPr>
        <w:t>城乡居民基本养老保险</w:t>
      </w:r>
      <w:r>
        <w:rPr>
          <w:rFonts w:hint="eastAsia" w:ascii="仿宋_GB2312" w:hAnsi="仿宋_GB2312" w:eastAsia="仿宋_GB2312"/>
          <w:bCs/>
          <w:sz w:val="30"/>
          <w:szCs w:val="30"/>
        </w:rPr>
        <w:t>离退休人员</w:t>
      </w:r>
      <w:r>
        <w:rPr>
          <w:rFonts w:hint="eastAsia" w:ascii="仿宋_GB2312" w:hAnsi="仿宋_GB2312" w:eastAsia="仿宋_GB2312"/>
          <w:bCs/>
          <w:sz w:val="30"/>
          <w:szCs w:val="30"/>
          <w:lang w:val="en-US" w:eastAsia="zh-CN"/>
        </w:rPr>
        <w:t>28820</w:t>
      </w:r>
      <w:r>
        <w:rPr>
          <w:rFonts w:hint="eastAsia" w:ascii="仿宋_GB2312" w:hAnsi="仿宋_GB2312" w:eastAsia="仿宋_GB2312"/>
          <w:bCs/>
          <w:sz w:val="30"/>
          <w:szCs w:val="30"/>
        </w:rPr>
        <w:t>人，</w:t>
      </w:r>
      <w:r>
        <w:rPr>
          <w:rFonts w:hint="eastAsia" w:ascii="仿宋_GB2312" w:eastAsia="仿宋_GB2312"/>
          <w:sz w:val="30"/>
          <w:szCs w:val="30"/>
        </w:rPr>
        <w:t>较上年增加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1542</w:t>
      </w:r>
      <w:r>
        <w:rPr>
          <w:rFonts w:hint="eastAsia" w:ascii="仿宋_GB2312" w:eastAsia="仿宋_GB2312"/>
          <w:sz w:val="30"/>
          <w:szCs w:val="30"/>
        </w:rPr>
        <w:t>人，增长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5.65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。继续调整提高退休人员养老金水平，哈密市人均月增</w:t>
      </w:r>
      <w:r>
        <w:rPr>
          <w:rFonts w:hint="eastAsia" w:ascii="仿宋_GB2312" w:eastAsia="仿宋_GB2312"/>
          <w:sz w:val="30"/>
          <w:szCs w:val="30"/>
          <w:highlight w:val="none"/>
        </w:rPr>
        <w:t>加基础养老金</w:t>
      </w: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  <w:highlight w:val="none"/>
        </w:rPr>
        <w:t>元，调整幅度</w:t>
      </w:r>
      <w:r>
        <w:rPr>
          <w:rFonts w:ascii="仿宋_GB2312" w:eastAsia="仿宋_GB2312"/>
          <w:sz w:val="30"/>
          <w:szCs w:val="30"/>
          <w:highlight w:val="none"/>
        </w:rPr>
        <w:t>1.5</w:t>
      </w:r>
      <w:r>
        <w:rPr>
          <w:rFonts w:hint="eastAsia" w:ascii="仿宋_GB2312" w:eastAsia="仿宋_GB2312"/>
          <w:sz w:val="30"/>
          <w:szCs w:val="30"/>
          <w:highlight w:val="none"/>
        </w:rPr>
        <w:t>2</w:t>
      </w:r>
      <w:r>
        <w:rPr>
          <w:rFonts w:ascii="仿宋_GB2312" w:eastAsia="仿宋_GB2312"/>
          <w:sz w:val="30"/>
          <w:szCs w:val="30"/>
          <w:highlight w:val="none"/>
        </w:rPr>
        <w:t>%</w:t>
      </w:r>
      <w:r>
        <w:rPr>
          <w:rFonts w:hint="eastAsia" w:ascii="仿宋_GB2312" w:eastAsia="仿宋_GB2312"/>
          <w:sz w:val="30"/>
          <w:szCs w:val="30"/>
          <w:highlight w:val="none"/>
        </w:rPr>
        <w:t>。</w:t>
      </w:r>
      <w:r>
        <w:rPr>
          <w:rFonts w:ascii="仿宋_GB2312" w:eastAsia="仿宋_GB2312"/>
          <w:sz w:val="30"/>
          <w:szCs w:val="30"/>
          <w:highlight w:val="none"/>
        </w:rPr>
        <w:t xml:space="preserve"> 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3、失业保险基金</w:t>
      </w:r>
    </w:p>
    <w:p>
      <w:pPr>
        <w:spacing w:line="560" w:lineRule="exact"/>
        <w:ind w:firstLine="504" w:firstLineChars="168"/>
        <w:rPr>
          <w:rFonts w:ascii="仿宋_GB2312" w:hAnsi="宋体" w:eastAsia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2022年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哈密市失业保险</w:t>
      </w:r>
      <w:r>
        <w:rPr>
          <w:rFonts w:hint="eastAsia" w:ascii="仿宋_GB2312" w:hAnsi="宋体" w:eastAsia="仿宋_GB2312"/>
          <w:bCs/>
          <w:sz w:val="30"/>
          <w:szCs w:val="30"/>
        </w:rPr>
        <w:t>基金支出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12105</w:t>
      </w:r>
      <w:r>
        <w:rPr>
          <w:rFonts w:hint="eastAsia" w:ascii="仿宋_GB2312" w:hAnsi="宋体" w:eastAsia="仿宋_GB2312"/>
          <w:bCs/>
          <w:sz w:val="30"/>
          <w:szCs w:val="30"/>
        </w:rPr>
        <w:t>万元，较上年</w:t>
      </w:r>
      <w:r>
        <w:rPr>
          <w:rFonts w:hint="eastAsia" w:ascii="仿宋_GB2312" w:hAnsi="宋体" w:eastAsia="仿宋_GB2312"/>
          <w:bCs/>
          <w:sz w:val="30"/>
          <w:szCs w:val="30"/>
          <w:lang w:eastAsia="zh-CN"/>
        </w:rPr>
        <w:t>增加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7118</w:t>
      </w:r>
      <w:r>
        <w:rPr>
          <w:rFonts w:hint="eastAsia" w:ascii="仿宋_GB2312" w:hAnsi="宋体" w:eastAsia="仿宋_GB2312"/>
          <w:bCs/>
          <w:sz w:val="30"/>
          <w:szCs w:val="30"/>
        </w:rPr>
        <w:t>万元，</w:t>
      </w:r>
      <w:r>
        <w:rPr>
          <w:rFonts w:hint="eastAsia" w:ascii="仿宋_GB2312" w:hAnsi="宋体" w:eastAsia="仿宋_GB2312"/>
          <w:bCs/>
          <w:sz w:val="30"/>
          <w:szCs w:val="30"/>
          <w:lang w:eastAsia="zh-CN"/>
        </w:rPr>
        <w:t>增长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142.73</w:t>
      </w:r>
      <w:r>
        <w:rPr>
          <w:rFonts w:ascii="仿宋_GB2312" w:hAnsi="宋体" w:eastAsia="仿宋_GB2312"/>
          <w:bCs/>
          <w:sz w:val="30"/>
          <w:szCs w:val="30"/>
        </w:rPr>
        <w:t>%</w:t>
      </w:r>
      <w:r>
        <w:rPr>
          <w:rFonts w:hint="eastAsia" w:ascii="仿宋_GB2312" w:hAnsi="宋体" w:eastAsia="仿宋_GB2312"/>
          <w:bCs/>
          <w:sz w:val="30"/>
          <w:szCs w:val="30"/>
          <w:lang w:eastAsia="zh-CN"/>
        </w:rPr>
        <w:t>，</w:t>
      </w:r>
      <w:r>
        <w:rPr>
          <w:rFonts w:hint="eastAsia" w:ascii="仿宋_GB2312" w:hAnsi="宋体" w:eastAsia="仿宋_GB2312"/>
          <w:bCs/>
          <w:sz w:val="30"/>
          <w:szCs w:val="30"/>
        </w:rPr>
        <w:t>其中：失业保险待遇支出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2019</w:t>
      </w:r>
      <w:r>
        <w:rPr>
          <w:rFonts w:hint="eastAsia" w:ascii="仿宋_GB2312" w:hAnsi="宋体" w:eastAsia="仿宋_GB2312"/>
          <w:bCs/>
          <w:sz w:val="30"/>
          <w:szCs w:val="30"/>
        </w:rPr>
        <w:t>万元、医疗保险费支出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733</w:t>
      </w:r>
      <w:r>
        <w:rPr>
          <w:rFonts w:hint="eastAsia" w:ascii="仿宋_GB2312" w:hAnsi="宋体" w:eastAsia="仿宋_GB2312"/>
          <w:bCs/>
          <w:sz w:val="30"/>
          <w:szCs w:val="30"/>
        </w:rPr>
        <w:t>万元，丧葬抚恤金支出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7</w:t>
      </w:r>
      <w:r>
        <w:rPr>
          <w:rFonts w:hint="eastAsia" w:ascii="仿宋_GB2312" w:hAnsi="宋体" w:eastAsia="仿宋_GB2312"/>
          <w:bCs/>
          <w:sz w:val="30"/>
          <w:szCs w:val="30"/>
        </w:rPr>
        <w:t>万元，技能提升补贴支出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58</w:t>
      </w:r>
      <w:r>
        <w:rPr>
          <w:rFonts w:hint="eastAsia" w:ascii="仿宋_GB2312" w:hAnsi="宋体" w:eastAsia="仿宋_GB2312"/>
          <w:bCs/>
          <w:sz w:val="30"/>
          <w:szCs w:val="30"/>
        </w:rPr>
        <w:t>万元、稳岗补贴支出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3542</w:t>
      </w:r>
      <w:r>
        <w:rPr>
          <w:rFonts w:hint="eastAsia" w:ascii="仿宋_GB2312" w:hAnsi="宋体" w:eastAsia="仿宋_GB2312"/>
          <w:bCs/>
          <w:sz w:val="30"/>
          <w:szCs w:val="30"/>
        </w:rPr>
        <w:t>万元，失业补助金支出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768</w:t>
      </w:r>
      <w:r>
        <w:rPr>
          <w:rFonts w:hint="eastAsia" w:ascii="仿宋_GB2312" w:hAnsi="宋体" w:eastAsia="仿宋_GB2312"/>
          <w:bCs/>
          <w:sz w:val="30"/>
          <w:szCs w:val="30"/>
        </w:rPr>
        <w:t>万元</w:t>
      </w:r>
      <w:r>
        <w:rPr>
          <w:rFonts w:ascii="仿宋_GB2312" w:hAnsi="宋体" w:eastAsia="仿宋_GB2312"/>
          <w:bCs/>
          <w:sz w:val="30"/>
          <w:szCs w:val="30"/>
        </w:rPr>
        <w:t>,</w:t>
      </w:r>
      <w:r>
        <w:rPr>
          <w:rFonts w:hint="eastAsia" w:ascii="仿宋_GB2312" w:hAnsi="宋体" w:eastAsia="仿宋_GB2312"/>
          <w:bCs/>
          <w:sz w:val="30"/>
          <w:szCs w:val="30"/>
        </w:rPr>
        <w:t>转移支出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21万元。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2022年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全年哈密市领取失业金人数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2250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人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人均月领取失业金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1429.78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元。全年代缴失业人员医疗保险费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14096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人次。全年享受技能补贴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357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人，享受稳岗补贴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88307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人次。每月</w:t>
      </w:r>
      <w:r>
        <w:rPr>
          <w:rFonts w:ascii="仿宋_GB2312" w:hAnsi="仿宋_GB2312" w:eastAsia="仿宋_GB2312" w:cs="仿宋_GB2312"/>
          <w:bCs/>
          <w:sz w:val="30"/>
          <w:szCs w:val="30"/>
        </w:rPr>
        <w:t>25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日前按时足额发放各项待遇，首次发放准确率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bCs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以上。</w:t>
      </w:r>
    </w:p>
    <w:p>
      <w:p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四、其他需要说明的问题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（一）后续工作计划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养老保险按国家统一安排、同步调整机关事业单位退休人员基本养老金。继续推动机关事业单位养老保险改革，全面实现参保缴费、待遇发放和新办法计发。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楷体_GB2312" w:eastAsia="仿宋_GB2312" w:cs="楷体_GB2312"/>
          <w:bCs/>
          <w:sz w:val="30"/>
          <w:szCs w:val="30"/>
        </w:rPr>
        <w:t>继续深入推进社保惠民工程。</w:t>
      </w:r>
      <w:r>
        <w:rPr>
          <w:rFonts w:hint="eastAsia" w:ascii="仿宋_GB2312" w:hAnsi="仿宋" w:eastAsia="仿宋_GB2312" w:cs="仿宋"/>
          <w:sz w:val="30"/>
          <w:szCs w:val="30"/>
        </w:rPr>
        <w:t>始终把各族群众的安危冷暖放在心中的最高位置，稳步提高各项社保待遇水平，按期调整机关事业单位退休人员基本养老金待遇水平，确保各项社会保险待遇按时足额支付。继续落实好各项社会保险降费率政策措施，减轻企业负担，支持企业发展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失业保险继续实施援企稳岗政策，对符合条件的所有企业发放稳岗补贴，支持实体经济平稳健康发展。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确保符合条件的参保职工享受技能提升补贴，放宽参保职工技能提升补贴申领条件，将技能提升补贴政策落实到位。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val="zh-CN"/>
        </w:rPr>
        <w:t>落实提高失业人员生活保障水平政策实施，特别是提高失业保险金标准待遇政策的实施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继续实施阶段性降低社会保险费率，做好基金风险防控。加大扩面征缴力度，防范支付风险。健全失业动态监测分析制度，为就业形势研判提供有力支撑。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586" w:firstLineChars="200"/>
        <w:textAlignment w:val="top"/>
        <w:rPr>
          <w:rStyle w:val="8"/>
          <w:rFonts w:ascii="仿宋_GB2312" w:hAnsi="仿宋" w:eastAsia="仿宋_GB2312" w:cs="仿宋"/>
          <w:b w:val="0"/>
          <w:bCs w:val="0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（二）主要经验及做法、存在问题和建议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宋体" w:eastAsia="仿宋_GB2312" w:cs="仿宋_GB2312"/>
          <w:sz w:val="30"/>
          <w:szCs w:val="30"/>
        </w:rPr>
      </w:pPr>
      <w:r>
        <w:rPr>
          <w:rFonts w:hint="eastAsia" w:ascii="仿宋_GB2312" w:hAnsi="宋体" w:eastAsia="仿宋_GB2312" w:cs="仿宋_GB2312"/>
          <w:sz w:val="30"/>
          <w:szCs w:val="30"/>
          <w:lang w:eastAsia="zh-CN"/>
        </w:rPr>
        <w:t>2022年</w:t>
      </w:r>
      <w:r>
        <w:rPr>
          <w:rFonts w:hint="eastAsia" w:ascii="仿宋_GB2312" w:hAnsi="宋体" w:eastAsia="仿宋_GB2312" w:cs="仿宋_GB2312"/>
          <w:sz w:val="30"/>
          <w:szCs w:val="30"/>
        </w:rPr>
        <w:t>是实施“十三五”规划的重要一年，也是社会保障事业发展进入新阶段、实现新发展的关键之年。哈密市以基金安全运行为根本，以提高管理服务水平为重点，严格执行社会保险各项政策，建立健全内部控制制度，确保待遇发放，基金运行总体平稳。通过连续几年为企业减负，降低参保企业单位缴费费率，同时逐步提高各项保险待遇支付标准，使参保人员的获得感、幸福感不断增强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哈密市各级社保经办机构按照“流程覆盖、环节把控、职责明确”的工作思路，把内控制度体系建设作为根本，实现了经办和管理工作规范、有效运行，保障了基金安全。一是健全综合内控制度。从组织机构、业务运行、基金财务、信息系统、内部控制等方面，制定内控制度、业务流程、岗位职责等，参保人员均按规定办理参保登记、个人账户信息修改、缴费等业务，严格执行统一的会计制度和收支业务审批制度，社保基金按规定对基金分别建账、分账核算，基金收入户、支出户和财政专户按规定开设账户，严格实行收支两条线管理，全面实行全程电子化，杜绝隐匿、转移、侵占、挪用基金的现象，确保基金专款专用。二是建立考核考评制度。及时调整完善内控考核办法，按规定设置岗位，增强社保经办机构干部队伍力量，加强管理，严格遵守不相容职务相互分离的原则，业务审核岗位和审批岗位分离、审批岗位与计发待遇岗位分离、审批岗位与数据录入岗位分离、会计岗位与出纳岗位分离</w:t>
      </w:r>
      <w:r>
        <w:rPr>
          <w:rFonts w:ascii="仿宋_GB2312" w:hAnsi="仿宋_GB2312" w:eastAsia="仿宋_GB2312" w:cs="仿宋_GB2312"/>
          <w:sz w:val="30"/>
          <w:szCs w:val="30"/>
        </w:rPr>
        <w:t>;</w:t>
      </w:r>
      <w:r>
        <w:rPr>
          <w:rFonts w:hint="eastAsia" w:ascii="仿宋_GB2312" w:hAnsi="仿宋_GB2312" w:eastAsia="仿宋_GB2312" w:cs="仿宋_GB2312"/>
          <w:sz w:val="30"/>
          <w:szCs w:val="30"/>
        </w:rPr>
        <w:t>无违反业务规程、信息系统操作流程规定以及岗位职责、审批权限，办理社会保险业务、修改社会保险信息的现象</w:t>
      </w:r>
      <w:r>
        <w:rPr>
          <w:rFonts w:ascii="仿宋_GB2312" w:hAnsi="仿宋_GB2312" w:eastAsia="仿宋_GB2312" w:cs="仿宋_GB2312"/>
          <w:sz w:val="30"/>
          <w:szCs w:val="30"/>
        </w:rPr>
        <w:t>;</w:t>
      </w:r>
      <w:r>
        <w:rPr>
          <w:rFonts w:hint="eastAsia" w:ascii="仿宋_GB2312" w:hAnsi="仿宋_GB2312" w:eastAsia="仿宋_GB2312" w:cs="仿宋_GB2312"/>
          <w:sz w:val="30"/>
          <w:szCs w:val="30"/>
        </w:rPr>
        <w:t>财务与业务按月对账，按规定与基金开户银行、财政部门和上下级经办机构等核对基金的收付情况</w:t>
      </w:r>
      <w:r>
        <w:rPr>
          <w:rFonts w:ascii="仿宋_GB2312" w:hAnsi="仿宋_GB2312" w:eastAsia="仿宋_GB2312" w:cs="仿宋_GB2312"/>
          <w:sz w:val="30"/>
          <w:szCs w:val="30"/>
        </w:rPr>
        <w:t>;</w:t>
      </w:r>
      <w:r>
        <w:rPr>
          <w:rFonts w:hint="eastAsia" w:ascii="仿宋_GB2312" w:hAnsi="仿宋_GB2312" w:eastAsia="仿宋_GB2312" w:cs="仿宋_GB2312"/>
          <w:sz w:val="30"/>
          <w:szCs w:val="30"/>
        </w:rPr>
        <w:t>严格执行基金支付政策，按月编制基金支付计划，按月足额发放待遇，做到不拖欠、不挪用、不挤占社保基金。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586" w:firstLineChars="200"/>
        <w:textAlignment w:val="top"/>
        <w:rPr>
          <w:rStyle w:val="8"/>
          <w:rFonts w:ascii="仿宋_GB2312" w:hAnsi="仿宋" w:eastAsia="仿宋_GB2312" w:cs="仿宋"/>
          <w:b w:val="0"/>
          <w:bCs w:val="0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五、附表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584" w:firstLineChars="200"/>
        <w:textAlignment w:val="top"/>
        <w:rPr>
          <w:rFonts w:ascii="仿宋_GB2312" w:hAnsi="仿宋_GB2312" w:eastAsia="仿宋_GB2312" w:cs="仿宋_GB2312"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哈密市社会保险支出绩效自评表</w:t>
      </w: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6F9A22"/>
    <w:multiLevelType w:val="singleLevel"/>
    <w:tmpl w:val="A16F9A22"/>
    <w:lvl w:ilvl="0" w:tentative="0">
      <w:start w:val="3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D09D6"/>
    <w:rsid w:val="000E4674"/>
    <w:rsid w:val="001553AB"/>
    <w:rsid w:val="0016095E"/>
    <w:rsid w:val="001F244F"/>
    <w:rsid w:val="00251ACB"/>
    <w:rsid w:val="0031609C"/>
    <w:rsid w:val="00364377"/>
    <w:rsid w:val="003A50CF"/>
    <w:rsid w:val="003B13E3"/>
    <w:rsid w:val="003F019D"/>
    <w:rsid w:val="004441EB"/>
    <w:rsid w:val="004545A5"/>
    <w:rsid w:val="00557F24"/>
    <w:rsid w:val="00590209"/>
    <w:rsid w:val="005B582A"/>
    <w:rsid w:val="00623461"/>
    <w:rsid w:val="00655E68"/>
    <w:rsid w:val="007439AF"/>
    <w:rsid w:val="007922C2"/>
    <w:rsid w:val="007D09D6"/>
    <w:rsid w:val="007F30AD"/>
    <w:rsid w:val="008216D5"/>
    <w:rsid w:val="00890F05"/>
    <w:rsid w:val="008921F3"/>
    <w:rsid w:val="009016BE"/>
    <w:rsid w:val="00911F9B"/>
    <w:rsid w:val="0094535B"/>
    <w:rsid w:val="009D521B"/>
    <w:rsid w:val="00AE1692"/>
    <w:rsid w:val="00BD65D6"/>
    <w:rsid w:val="00C2426B"/>
    <w:rsid w:val="00D010FE"/>
    <w:rsid w:val="00DE1D5F"/>
    <w:rsid w:val="00E13491"/>
    <w:rsid w:val="00E25468"/>
    <w:rsid w:val="00E50520"/>
    <w:rsid w:val="00EC768E"/>
    <w:rsid w:val="00F44595"/>
    <w:rsid w:val="00F83C6E"/>
    <w:rsid w:val="00FD32D5"/>
    <w:rsid w:val="00FF7C9A"/>
    <w:rsid w:val="02BD73BF"/>
    <w:rsid w:val="073B2C7C"/>
    <w:rsid w:val="09A1015F"/>
    <w:rsid w:val="0B8878CD"/>
    <w:rsid w:val="22C87E24"/>
    <w:rsid w:val="23CF606C"/>
    <w:rsid w:val="353808E2"/>
    <w:rsid w:val="396342E5"/>
    <w:rsid w:val="39AC5388"/>
    <w:rsid w:val="3A1E0B19"/>
    <w:rsid w:val="3B5A38E4"/>
    <w:rsid w:val="40661F1D"/>
    <w:rsid w:val="40820AB5"/>
    <w:rsid w:val="45E0633D"/>
    <w:rsid w:val="573C27A1"/>
    <w:rsid w:val="57CC48C3"/>
    <w:rsid w:val="6289017B"/>
    <w:rsid w:val="654C0F62"/>
    <w:rsid w:val="6E8F1B79"/>
    <w:rsid w:val="735D24AF"/>
    <w:rsid w:val="75650F1E"/>
    <w:rsid w:val="793F4A83"/>
    <w:rsid w:val="7A1F0796"/>
    <w:rsid w:val="7B38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pPr>
      <w:jc w:val="center"/>
    </w:pPr>
    <w:rPr>
      <w:rFonts w:eastAsia="方正小标宋简体"/>
      <w:b/>
      <w:bCs/>
      <w:sz w:val="44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正文文本 Char"/>
    <w:basedOn w:val="7"/>
    <w:link w:val="2"/>
    <w:qFormat/>
    <w:uiPriority w:val="99"/>
    <w:rPr>
      <w:rFonts w:ascii="Times New Roman" w:hAnsi="Times New Roman" w:eastAsia="方正小标宋简体" w:cs="Times New Roman"/>
      <w:b/>
      <w:bCs/>
      <w:sz w:val="44"/>
      <w:szCs w:val="24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766</Words>
  <Characters>4369</Characters>
  <Lines>36</Lines>
  <Paragraphs>10</Paragraphs>
  <TotalTime>70</TotalTime>
  <ScaleCrop>false</ScaleCrop>
  <LinksUpToDate>false</LinksUpToDate>
  <CharactersWithSpaces>5125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2022-09-28T10:21:00Z</dcterms:created>
  <dc:creator>RSUR</dc:creator>
  <cp:lastModifiedBy>Administrator</cp:lastModifiedBy>
  <cp:lastPrinted>2022-07-08T02:42:00Z</cp:lastPrinted>
  <dcterms:modified xsi:type="dcterms:W3CDTF">2025-02-12T02:46:04Z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41263F0FD06D480E9805428C652BD9DB</vt:lpwstr>
  </property>
</Properties>
</file>