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9C8EA8">
      <w:pPr>
        <w:spacing w:line="540" w:lineRule="exact"/>
        <w:jc w:val="center"/>
        <w:rPr>
          <w:rFonts w:hint="default" w:ascii="Times New Roman" w:hAnsi="Times New Roman" w:eastAsia="华文中宋" w:cs="Times New Roman"/>
          <w:b/>
          <w:kern w:val="0"/>
          <w:sz w:val="52"/>
          <w:szCs w:val="52"/>
        </w:rPr>
      </w:pPr>
    </w:p>
    <w:p w14:paraId="4B1C1A78">
      <w:pPr>
        <w:spacing w:line="540" w:lineRule="exact"/>
        <w:rPr>
          <w:rFonts w:hint="default" w:ascii="Times New Roman" w:hAnsi="Times New Roman" w:eastAsia="华文中宋" w:cs="Times New Roman"/>
          <w:b/>
          <w:kern w:val="0"/>
          <w:sz w:val="52"/>
          <w:szCs w:val="52"/>
        </w:rPr>
      </w:pPr>
    </w:p>
    <w:p w14:paraId="75E7D496">
      <w:pPr>
        <w:spacing w:line="540" w:lineRule="exact"/>
        <w:jc w:val="center"/>
        <w:rPr>
          <w:rFonts w:hint="default" w:ascii="Times New Roman" w:hAnsi="Times New Roman" w:eastAsia="华文中宋" w:cs="Times New Roman"/>
          <w:b/>
          <w:kern w:val="0"/>
          <w:sz w:val="52"/>
          <w:szCs w:val="52"/>
        </w:rPr>
      </w:pPr>
    </w:p>
    <w:p w14:paraId="57D7ECD1">
      <w:pPr>
        <w:spacing w:line="540" w:lineRule="exact"/>
        <w:jc w:val="center"/>
        <w:rPr>
          <w:rFonts w:hint="default" w:ascii="Times New Roman" w:hAnsi="Times New Roman" w:eastAsia="华文中宋" w:cs="Times New Roman"/>
          <w:b/>
          <w:kern w:val="0"/>
          <w:sz w:val="52"/>
          <w:szCs w:val="52"/>
        </w:rPr>
      </w:pPr>
    </w:p>
    <w:p w14:paraId="3D3AA4E1">
      <w:pPr>
        <w:spacing w:line="540" w:lineRule="exact"/>
        <w:jc w:val="center"/>
        <w:rPr>
          <w:rFonts w:hint="default" w:ascii="Times New Roman" w:hAnsi="Times New Roman" w:eastAsia="方正小标宋_GBK" w:cs="Times New Roman"/>
          <w:kern w:val="0"/>
          <w:sz w:val="48"/>
          <w:szCs w:val="48"/>
        </w:rPr>
      </w:pPr>
      <w:r>
        <w:rPr>
          <w:rFonts w:hint="eastAsia" w:ascii="Times New Roman" w:hAnsi="Times New Roman" w:eastAsia="方正小标宋_GBK" w:cs="Times New Roman"/>
          <w:kern w:val="0"/>
          <w:sz w:val="48"/>
          <w:szCs w:val="48"/>
          <w:lang w:val="en-US" w:eastAsia="zh-CN"/>
        </w:rPr>
        <w:t>科技创新投入专项资金</w:t>
      </w:r>
      <w:r>
        <w:rPr>
          <w:rFonts w:hint="eastAsia" w:ascii="Times New Roman" w:hAnsi="Times New Roman" w:eastAsia="方正小标宋_GBK" w:cs="Times New Roman"/>
          <w:kern w:val="0"/>
          <w:sz w:val="48"/>
          <w:szCs w:val="48"/>
          <w:lang w:eastAsia="zh-CN"/>
        </w:rPr>
        <w:t>项</w:t>
      </w:r>
      <w:r>
        <w:rPr>
          <w:rFonts w:hint="eastAsia" w:eastAsia="方正小标宋_GBK" w:cs="Times New Roman"/>
          <w:kern w:val="0"/>
          <w:sz w:val="48"/>
          <w:szCs w:val="48"/>
          <w:lang w:eastAsia="zh-CN"/>
        </w:rPr>
        <w:t>目</w:t>
      </w:r>
      <w:r>
        <w:rPr>
          <w:rFonts w:hint="default" w:ascii="Times New Roman" w:hAnsi="Times New Roman" w:eastAsia="方正小标宋_GBK" w:cs="Times New Roman"/>
          <w:kern w:val="0"/>
          <w:sz w:val="48"/>
          <w:szCs w:val="48"/>
        </w:rPr>
        <w:t>支出绩效评价报告</w:t>
      </w:r>
    </w:p>
    <w:p w14:paraId="2782D624">
      <w:pPr>
        <w:spacing w:line="540" w:lineRule="exact"/>
        <w:jc w:val="center"/>
        <w:rPr>
          <w:rFonts w:hint="default" w:ascii="Times New Roman" w:hAnsi="Times New Roman" w:eastAsia="方正小标宋_GBK" w:cs="Times New Roman"/>
          <w:kern w:val="0"/>
          <w:sz w:val="48"/>
          <w:szCs w:val="48"/>
        </w:rPr>
      </w:pPr>
    </w:p>
    <w:p w14:paraId="52CE1566">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 202</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年度）</w:t>
      </w:r>
    </w:p>
    <w:p w14:paraId="4C94715E">
      <w:pPr>
        <w:spacing w:line="540" w:lineRule="exact"/>
        <w:jc w:val="center"/>
        <w:rPr>
          <w:rFonts w:hint="default" w:ascii="Times New Roman" w:hAnsi="Times New Roman" w:eastAsia="仿宋_GB2312" w:cs="Times New Roman"/>
          <w:kern w:val="0"/>
          <w:sz w:val="30"/>
          <w:szCs w:val="30"/>
        </w:rPr>
      </w:pPr>
    </w:p>
    <w:p w14:paraId="1E6B4E74">
      <w:pPr>
        <w:spacing w:line="540" w:lineRule="exact"/>
        <w:jc w:val="center"/>
        <w:rPr>
          <w:rFonts w:hint="default" w:ascii="Times New Roman" w:hAnsi="Times New Roman" w:eastAsia="仿宋_GB2312" w:cs="Times New Roman"/>
          <w:kern w:val="0"/>
          <w:sz w:val="30"/>
          <w:szCs w:val="30"/>
        </w:rPr>
      </w:pPr>
    </w:p>
    <w:p w14:paraId="36C259FE">
      <w:pPr>
        <w:spacing w:line="540" w:lineRule="exact"/>
        <w:jc w:val="center"/>
        <w:rPr>
          <w:rFonts w:hint="default" w:ascii="Times New Roman" w:hAnsi="Times New Roman" w:eastAsia="仿宋_GB2312" w:cs="Times New Roman"/>
          <w:kern w:val="0"/>
          <w:sz w:val="30"/>
          <w:szCs w:val="30"/>
        </w:rPr>
      </w:pPr>
    </w:p>
    <w:p w14:paraId="635567C2">
      <w:pPr>
        <w:pStyle w:val="11"/>
        <w:rPr>
          <w:rFonts w:hint="default" w:ascii="Times New Roman" w:hAnsi="Times New Roman" w:cs="Times New Roman"/>
        </w:rPr>
      </w:pPr>
    </w:p>
    <w:p w14:paraId="018507C6">
      <w:pPr>
        <w:spacing w:line="540" w:lineRule="exact"/>
        <w:jc w:val="center"/>
        <w:rPr>
          <w:rFonts w:hint="default" w:ascii="Times New Roman" w:hAnsi="Times New Roman" w:eastAsia="仿宋_GB2312" w:cs="Times New Roman"/>
          <w:kern w:val="0"/>
          <w:sz w:val="30"/>
          <w:szCs w:val="30"/>
        </w:rPr>
      </w:pPr>
    </w:p>
    <w:p w14:paraId="4481A902">
      <w:pPr>
        <w:spacing w:line="540" w:lineRule="exact"/>
        <w:rPr>
          <w:rFonts w:hint="default" w:ascii="Times New Roman" w:hAnsi="Times New Roman" w:eastAsia="仿宋_GB2312" w:cs="Times New Roman"/>
          <w:kern w:val="0"/>
          <w:sz w:val="30"/>
          <w:szCs w:val="30"/>
        </w:rPr>
      </w:pPr>
    </w:p>
    <w:p w14:paraId="68C1F1AF">
      <w:pPr>
        <w:spacing w:line="700" w:lineRule="exact"/>
        <w:ind w:firstLine="1440" w:firstLineChars="4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项目名称：</w:t>
      </w:r>
      <w:r>
        <w:rPr>
          <w:rFonts w:hint="eastAsia" w:eastAsia="仿宋_GB2312" w:cs="Times New Roman"/>
          <w:kern w:val="0"/>
          <w:sz w:val="36"/>
          <w:szCs w:val="36"/>
          <w:lang w:val="en-US" w:eastAsia="zh-CN"/>
        </w:rPr>
        <w:t>科技创新投入专项资金</w:t>
      </w:r>
    </w:p>
    <w:p w14:paraId="72CEAD4B">
      <w:pPr>
        <w:spacing w:line="700" w:lineRule="exact"/>
        <w:ind w:firstLine="1440" w:firstLineChars="4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val="en-US" w:eastAsia="zh-CN"/>
        </w:rPr>
        <w:t>哈密市科学技术局</w:t>
      </w:r>
    </w:p>
    <w:p w14:paraId="173262F5">
      <w:pPr>
        <w:spacing w:line="700" w:lineRule="exact"/>
        <w:ind w:firstLine="1440" w:firstLineChars="400"/>
        <w:jc w:val="left"/>
        <w:rPr>
          <w:rFonts w:hint="default" w:ascii="Times New Roman" w:hAnsi="Times New Roman" w:eastAsia="仿宋_GB2312" w:cs="Times New Roman"/>
          <w:kern w:val="0"/>
          <w:sz w:val="36"/>
          <w:szCs w:val="36"/>
          <w:lang w:val="en-US"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val="en-US" w:eastAsia="zh-CN"/>
        </w:rPr>
        <w:t>哈密市科学技术局</w:t>
      </w:r>
    </w:p>
    <w:p w14:paraId="115B9A43">
      <w:pPr>
        <w:spacing w:line="700" w:lineRule="exact"/>
        <w:ind w:firstLine="1440" w:firstLineChars="400"/>
        <w:jc w:val="left"/>
        <w:rPr>
          <w:rFonts w:hint="default" w:eastAsia="仿宋_GB2312" w:cs="Times New Roman"/>
          <w:kern w:val="0"/>
          <w:sz w:val="36"/>
          <w:szCs w:val="36"/>
          <w:lang w:val="en-US"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val="en-US" w:eastAsia="zh-CN"/>
        </w:rPr>
        <w:t>储伟</w:t>
      </w:r>
    </w:p>
    <w:p w14:paraId="4C811845">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default" w:ascii="Times New Roman" w:hAnsi="Times New Roman" w:eastAsia="仿宋_GB2312" w:cs="Times New Roman"/>
          <w:kern w:val="0"/>
          <w:sz w:val="36"/>
          <w:szCs w:val="36"/>
          <w:lang w:val="en-US" w:eastAsia="zh-CN"/>
        </w:rPr>
        <w:t>202</w:t>
      </w:r>
      <w:r>
        <w:rPr>
          <w:rFonts w:hint="eastAsia"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3</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26</w:t>
      </w:r>
      <w:r>
        <w:rPr>
          <w:rFonts w:hint="default" w:ascii="Times New Roman" w:hAnsi="Times New Roman" w:eastAsia="仿宋_GB2312" w:cs="Times New Roman"/>
          <w:kern w:val="0"/>
          <w:sz w:val="36"/>
          <w:szCs w:val="36"/>
        </w:rPr>
        <w:t>日</w:t>
      </w:r>
    </w:p>
    <w:p w14:paraId="07B4B236">
      <w:pPr>
        <w:spacing w:line="540" w:lineRule="exact"/>
        <w:jc w:val="center"/>
        <w:rPr>
          <w:rFonts w:hint="default" w:ascii="Times New Roman" w:hAnsi="Times New Roman" w:eastAsia="仿宋_GB2312" w:cs="Times New Roman"/>
          <w:kern w:val="0"/>
          <w:sz w:val="30"/>
          <w:szCs w:val="30"/>
        </w:rPr>
      </w:pPr>
    </w:p>
    <w:p w14:paraId="5210C30C">
      <w:pPr>
        <w:spacing w:line="560" w:lineRule="exact"/>
        <w:rPr>
          <w:rFonts w:hint="default" w:ascii="Times New Roman" w:hAnsi="Times New Roman" w:eastAsia="黑体" w:cs="Times New Roman"/>
          <w:bCs/>
          <w:sz w:val="32"/>
          <w:szCs w:val="32"/>
        </w:rPr>
        <w:sectPr>
          <w:footerReference r:id="rId3" w:type="default"/>
          <w:pgSz w:w="11906" w:h="16838"/>
          <w:pgMar w:top="1440" w:right="1558" w:bottom="1440" w:left="1800" w:header="851" w:footer="992" w:gutter="0"/>
          <w:cols w:space="425" w:num="1"/>
          <w:docGrid w:type="lines" w:linePitch="312" w:charSpace="0"/>
        </w:sectPr>
      </w:pPr>
    </w:p>
    <w:p w14:paraId="2852999A">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EA06291">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（一）项目概况</w:t>
      </w:r>
    </w:p>
    <w:p w14:paraId="2720CC9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5B87F15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优化科技创新环境，完善科技创新体系，加速科技成果转化，促进区域产业技术进步、加速科技成果转化、实现区域科技资源的有效配置、推动科技创新发展。</w:t>
      </w:r>
    </w:p>
    <w:p w14:paraId="03F5C4F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eastAsia" w:eastAsia="仿宋_GB2312" w:cs="Times New Roman"/>
          <w:b/>
          <w:bCs/>
          <w:sz w:val="32"/>
          <w:szCs w:val="32"/>
          <w:lang w:val="en-US" w:eastAsia="zh-CN"/>
        </w:rPr>
        <w:t>2.</w:t>
      </w:r>
      <w:r>
        <w:rPr>
          <w:rFonts w:hint="default" w:ascii="Times New Roman" w:hAnsi="Times New Roman" w:eastAsia="仿宋_GB2312" w:cs="Times New Roman"/>
          <w:b/>
          <w:bCs/>
          <w:sz w:val="32"/>
          <w:szCs w:val="32"/>
        </w:rPr>
        <w:t>项目主要内容</w:t>
      </w:r>
    </w:p>
    <w:p w14:paraId="3E8D3CF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激发全民创新创业精神，吸纳优秀创新创业人才，营造“大众创业、万众创新”的良好氛围，在全社会掀起创新创业的高潮，为建设创新型城市奠定基础。 探索科技与文化的融合，充分利用广播、电视、新媒体等互动方式，宣传创新创业人物，树立创新创业品牌，让更多的人了解和参与创新创业，带动就业。 通过促进科技创新和成果转化，培育高水平、高层次、高素质的创业团队和具有核心创新能力的高成长性新兴产业源头企业，提升新时期创新创业水平。 发挥政府引导作用，利用市场机制，聚集各种创新资源，吸纳包括银行、创业投资机构在内的社会各方力量广泛参与对科技型中小微企业的投入，为创新创业团队和企业搭建融资服务平台，促进中小微企业的创新发展。</w:t>
      </w:r>
    </w:p>
    <w:p w14:paraId="2884C773">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3.资金投入和使用情况</w:t>
      </w:r>
    </w:p>
    <w:p w14:paraId="4D74A8E7">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eastAsia="仿宋_GB2312" w:cs="Times New Roman"/>
          <w:b/>
          <w:bCs/>
          <w:sz w:val="32"/>
          <w:szCs w:val="32"/>
          <w:lang w:val="en-US" w:eastAsia="zh-CN"/>
        </w:rPr>
      </w:pPr>
      <w:r>
        <w:rPr>
          <w:rFonts w:hint="eastAsia" w:eastAsia="仿宋_GB2312" w:cs="Times New Roman"/>
          <w:b/>
          <w:bCs/>
          <w:sz w:val="32"/>
          <w:szCs w:val="32"/>
          <w:lang w:val="en-US" w:eastAsia="zh-CN"/>
        </w:rPr>
        <w:t>（1）资金投入情况</w:t>
      </w:r>
    </w:p>
    <w:p w14:paraId="0246DBF4">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kern w:val="2"/>
          <w:sz w:val="32"/>
          <w:szCs w:val="32"/>
          <w:lang w:val="en-US" w:eastAsia="zh-CN" w:bidi="ar-SA"/>
        </w:rPr>
      </w:pPr>
      <w:r>
        <w:rPr>
          <w:rFonts w:hint="eastAsia" w:eastAsia="仿宋_GB2312" w:cs="Times New Roman"/>
          <w:b/>
          <w:bCs/>
          <w:sz w:val="32"/>
          <w:szCs w:val="32"/>
          <w:lang w:val="en-US" w:eastAsia="zh-CN"/>
        </w:rPr>
        <w:t xml:space="preserve"> </w:t>
      </w:r>
      <w:r>
        <w:rPr>
          <w:rFonts w:hint="eastAsia" w:ascii="仿宋_GB2312" w:hAnsi="仿宋_GB2312" w:eastAsia="仿宋_GB2312" w:cs="仿宋_GB2312"/>
          <w:sz w:val="32"/>
          <w:szCs w:val="32"/>
          <w:lang w:val="en-US" w:eastAsia="zh-CN"/>
        </w:rPr>
        <w:t>科技创新专项资金项目</w:t>
      </w:r>
      <w:r>
        <w:rPr>
          <w:rFonts w:hint="eastAsia" w:ascii="仿宋_GB2312" w:hAnsi="仿宋_GB2312" w:eastAsia="仿宋_GB2312" w:cs="仿宋_GB2312"/>
          <w:b w:val="0"/>
          <w:bCs w:val="0"/>
          <w:kern w:val="28"/>
          <w:sz w:val="32"/>
          <w:szCs w:val="32"/>
          <w:lang w:val="en-US" w:eastAsia="zh-CN" w:bidi="ar-SA"/>
        </w:rPr>
        <w:t>2023年总预算资金500万元，项目资金为本级财政资金，项目资金到位数500万元，资金到位率100%。</w:t>
      </w:r>
    </w:p>
    <w:p w14:paraId="366F08C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lang w:val="en-US" w:eastAsia="zh-CN"/>
        </w:rPr>
      </w:pPr>
      <w:r>
        <w:rPr>
          <w:rFonts w:hint="eastAsia" w:eastAsia="仿宋_GB2312" w:cs="Times New Roman"/>
          <w:b/>
          <w:bCs/>
          <w:sz w:val="32"/>
          <w:szCs w:val="32"/>
          <w:lang w:val="en-US" w:eastAsia="zh-CN"/>
        </w:rPr>
        <w:t>（2）资金使用情况</w:t>
      </w:r>
    </w:p>
    <w:p w14:paraId="1151457D">
      <w:pPr>
        <w:numPr>
          <w:ilvl w:val="0"/>
          <w:numId w:val="0"/>
        </w:numPr>
        <w:ind w:firstLine="640" w:firstLineChars="200"/>
        <w:rPr>
          <w:rFonts w:hint="default" w:ascii="仿宋_GB2312" w:hAnsi="仿宋_GB2312" w:eastAsia="仿宋_GB2312" w:cs="仿宋_GB2312"/>
          <w:b w:val="0"/>
          <w:bCs w:val="0"/>
          <w:kern w:val="28"/>
          <w:sz w:val="32"/>
          <w:szCs w:val="32"/>
          <w:lang w:val="en-US" w:eastAsia="zh-CN" w:bidi="ar-SA"/>
        </w:rPr>
      </w:pPr>
      <w:r>
        <w:rPr>
          <w:rFonts w:hint="eastAsia" w:ascii="仿宋_GB2312" w:hAnsi="仿宋_GB2312" w:eastAsia="仿宋_GB2312" w:cs="仿宋_GB2312"/>
          <w:sz w:val="32"/>
          <w:szCs w:val="32"/>
          <w:lang w:val="en-US" w:eastAsia="zh-CN"/>
        </w:rPr>
        <w:t>科技创新投入专项资金项目年初预算数500万元，全年预算数为500万元，截止2023年12月31日全年执行数500万元，预算执行率为100%，项目资金主要用于支付科技计划项目费用，科技平台建设费，专家咨询费用，组织办公费，众创空间奖励资金，科技创新大赛资金，科技特派员培训奖励经费，技术合同奖励费用。</w:t>
      </w:r>
    </w:p>
    <w:p w14:paraId="51F7D324">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bCs/>
          <w:sz w:val="32"/>
          <w:szCs w:val="32"/>
          <w:lang w:val="en-US" w:eastAsia="zh-CN"/>
        </w:rPr>
        <w:t>4.</w:t>
      </w:r>
      <w:r>
        <w:rPr>
          <w:rFonts w:hint="default" w:ascii="Times New Roman" w:hAnsi="Times New Roman" w:eastAsia="仿宋_GB2312" w:cs="Times New Roman"/>
          <w:b/>
          <w:bCs/>
          <w:sz w:val="32"/>
          <w:szCs w:val="32"/>
        </w:rPr>
        <w:t>实施情况</w:t>
      </w:r>
    </w:p>
    <w:p w14:paraId="3F8B19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kern w:val="28"/>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w:t>
      </w:r>
      <w:r>
        <w:rPr>
          <w:rFonts w:hint="eastAsia" w:ascii="仿宋_GB2312" w:hAnsi="仿宋_GB2312" w:eastAsia="仿宋_GB2312" w:cs="仿宋_GB2312"/>
          <w:b w:val="0"/>
          <w:bCs w:val="0"/>
          <w:kern w:val="28"/>
          <w:sz w:val="32"/>
          <w:szCs w:val="32"/>
          <w:lang w:val="en-US" w:eastAsia="zh-CN" w:bidi="ar-SA"/>
        </w:rPr>
        <w:t>项目资金使用500万元通过委托媒体宣传1次，科技创新平台建设1座，众创空间企业奖励5家，开展农牧民培训20次，吸纳优秀创新创业人才，营造“大众创业、万众创新”的良好氛围，在全社会掀起创新创业的高潮，为建设创新型城市奠定基础。 探索科技与文化的融合，充分利用广播、电视、新媒体等互动方式，宣传创新创业人物，树立创新创业品牌，让更多的人了解和参与创新创业，带动就业。 通过促进科技创新和成果转化，培育高水平、高层次、高素质的创业团队和具有核心创新能力的高成长性新兴产业源头企业，提升新时期创新创业水平。</w:t>
      </w:r>
    </w:p>
    <w:p w14:paraId="3788DE2A">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eastAsia" w:ascii="楷体" w:hAnsi="楷体" w:eastAsia="楷体" w:cs="楷体"/>
          <w:b/>
          <w:bCs/>
          <w:sz w:val="32"/>
          <w:szCs w:val="32"/>
        </w:rPr>
      </w:pPr>
      <w:r>
        <w:rPr>
          <w:rFonts w:hint="eastAsia" w:ascii="楷体" w:hAnsi="楷体" w:eastAsia="楷体" w:cs="楷体"/>
          <w:b/>
          <w:bCs/>
          <w:sz w:val="32"/>
          <w:szCs w:val="32"/>
        </w:rPr>
        <w:t>（二）项目绩效目标</w:t>
      </w:r>
    </w:p>
    <w:p w14:paraId="55D2E19B">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pPr>
      <w:r>
        <w:rPr>
          <w:rFonts w:hint="eastAsia" w:ascii="仿宋_GB2312" w:hAnsi="仿宋_GB2312" w:eastAsia="仿宋_GB2312" w:cs="仿宋_GB2312"/>
          <w:b w:val="0"/>
          <w:bCs w:val="0"/>
          <w:kern w:val="2"/>
          <w:sz w:val="32"/>
          <w:szCs w:val="32"/>
          <w:lang w:val="en-US" w:eastAsia="zh-CN"/>
        </w:rPr>
        <w:t>1.总体目标</w:t>
      </w:r>
    </w:p>
    <w:p w14:paraId="3C0F35BD">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lang w:val="en-US" w:eastAsia="zh-CN" w:bidi="ar-SA"/>
        </w:rPr>
      </w:pPr>
      <w:r>
        <w:rPr>
          <w:rFonts w:hint="eastAsia" w:ascii="仿宋_GB2312" w:hAnsi="仿宋_GB2312" w:eastAsia="仿宋_GB2312" w:cs="仿宋_GB2312"/>
          <w:b w:val="0"/>
          <w:bCs w:val="0"/>
          <w:kern w:val="2"/>
          <w:sz w:val="32"/>
          <w:szCs w:val="32"/>
          <w:lang w:val="en-US" w:eastAsia="zh-CN" w:bidi="ar-SA"/>
        </w:rPr>
        <w:t>项目资金500万元通过进行科技比赛，激发全民创新创业精神，吸纳优秀创新创业人才，营造“大众创业、万众创新”的良好氛围，在全社会掀起创新创业的高潮，为建设创新型城市奠定基础。 探索科技与文化的融合，充分利用广播、电视、新媒体等互动方式，宣传创新创业人物，树立创新创业品牌，让更多的人了解和参与创新创业，带动就业。 通过促进科技创新和成果转化，培育高水平、高层次、高素质的创业团队和具有核心创新能力的高成长性新兴产业源头企业，提升新时期创新创业水平。 发挥政府引导作用，利用市场机制，聚集各种创新资源，吸纳包括银行、创业投资机构在内的社会各方力量广泛参与对科技型中小微企业的投入，为创新创业团队和企业搭建融资服务平台，促进中小微企业的创新发展。</w:t>
      </w:r>
    </w:p>
    <w:p w14:paraId="2BFA8B00">
      <w:pPr>
        <w:pStyle w:val="11"/>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both"/>
        <w:textAlignment w:val="auto"/>
        <w:rPr>
          <w:rFonts w:hint="eastAsia" w:ascii="仿宋_GB2312" w:hAnsi="仿宋_GB2312" w:eastAsia="仿宋_GB2312" w:cs="仿宋_GB2312"/>
          <w:b w:val="0"/>
          <w:bCs w:val="0"/>
          <w:kern w:val="2"/>
          <w:sz w:val="32"/>
          <w:szCs w:val="32"/>
          <w:highlight w:val="none"/>
          <w:lang w:val="en-US" w:eastAsia="zh-CN" w:bidi="ar-SA"/>
        </w:rPr>
      </w:pPr>
      <w:r>
        <w:rPr>
          <w:rFonts w:hint="eastAsia" w:ascii="仿宋_GB2312" w:hAnsi="仿宋_GB2312" w:eastAsia="仿宋_GB2312" w:cs="仿宋_GB2312"/>
          <w:b w:val="0"/>
          <w:bCs w:val="0"/>
          <w:kern w:val="2"/>
          <w:sz w:val="32"/>
          <w:szCs w:val="32"/>
          <w:highlight w:val="none"/>
          <w:lang w:val="en-US" w:eastAsia="zh-CN" w:bidi="ar-SA"/>
        </w:rPr>
        <w:t>2.阶段性目标</w:t>
      </w:r>
    </w:p>
    <w:p w14:paraId="19B8E8F8">
      <w:pPr>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7-8月份进行专家咨询和培训2次及给农牧民培训2次，提高了特派员的科技水平，为农牧民提供了科学知识。截至12月份委托媒体宣传1次，科技创新平台建设1座，众创空间企业奖励5家，开展农牧民培训20次，吸纳优秀创新创业人才，营造“大众创业、万众创新”的良好氛围，在全社会掀起创新创业的高潮，为建设创新型城市奠定基础。</w:t>
      </w:r>
    </w:p>
    <w:p w14:paraId="176657A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5E59971A">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b/>
          <w:bCs/>
          <w:sz w:val="32"/>
          <w:szCs w:val="32"/>
        </w:rPr>
      </w:pPr>
      <w:r>
        <w:rPr>
          <w:rFonts w:hint="eastAsia" w:ascii="楷体" w:hAnsi="楷体" w:eastAsia="楷体" w:cs="楷体"/>
          <w:b/>
          <w:bCs/>
          <w:sz w:val="32"/>
          <w:szCs w:val="32"/>
        </w:rPr>
        <w:t>（一）绩效评价目的、对象和范围</w:t>
      </w:r>
    </w:p>
    <w:p w14:paraId="2675150B">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绩效评价的目的</w:t>
      </w:r>
    </w:p>
    <w:p w14:paraId="5546E6D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98C4CCF">
      <w:pPr>
        <w:keepNext w:val="0"/>
        <w:keepLines w:val="0"/>
        <w:pageBreakBefore w:val="0"/>
        <w:numPr>
          <w:ilvl w:val="0"/>
          <w:numId w:val="1"/>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项目实施前向项目负责人提供财政支出绩效方面的资金管理信息，促进项目支出严格按照资金管理规定进行。</w:t>
      </w:r>
    </w:p>
    <w:p w14:paraId="7A628F5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rPr>
      </w:pPr>
      <w:r>
        <w:rPr>
          <w:rFonts w:hint="default" w:ascii="Times New Roman" w:hAnsi="Times New Roman" w:eastAsia="仿宋_GB2312" w:cs="Times New Roman"/>
          <w:sz w:val="32"/>
          <w:szCs w:val="32"/>
        </w:rPr>
        <w:t>（2）项目绩效管理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0F4D851">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绩效评价的对象</w:t>
      </w:r>
    </w:p>
    <w:p w14:paraId="488569D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eastAsia" w:eastAsia="仿宋_GB2312" w:cs="Times New Roman"/>
          <w:sz w:val="32"/>
          <w:szCs w:val="32"/>
          <w:lang w:val="en-US" w:eastAsia="zh-CN"/>
        </w:rPr>
        <w:t>科技创新投入专项资金项目</w:t>
      </w:r>
      <w:r>
        <w:rPr>
          <w:rFonts w:hint="default" w:ascii="Times New Roman" w:hAnsi="Times New Roman" w:eastAsia="仿宋_GB2312" w:cs="Times New Roman"/>
          <w:kern w:val="0"/>
          <w:sz w:val="32"/>
          <w:szCs w:val="32"/>
          <w:lang w:val="en-US" w:eastAsia="zh-CN" w:bidi="ar-SA"/>
        </w:rPr>
        <w:t>所包含</w:t>
      </w:r>
      <w:r>
        <w:rPr>
          <w:rFonts w:hint="default" w:ascii="Times New Roman" w:hAnsi="Times New Roman" w:eastAsia="仿宋_GB2312" w:cs="Times New Roman"/>
          <w:sz w:val="32"/>
          <w:szCs w:val="32"/>
        </w:rPr>
        <w:t>的全部项目内容。</w:t>
      </w:r>
    </w:p>
    <w:p w14:paraId="791B58C1">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绩效评价的范围</w:t>
      </w:r>
    </w:p>
    <w:p w14:paraId="6D02C75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cs="Times New Roman"/>
          <w:sz w:val="32"/>
          <w:szCs w:val="32"/>
          <w:lang w:val="en-US" w:eastAsia="zh-CN"/>
        </w:rPr>
        <w:t>科技创新投入专项资金项目</w:t>
      </w:r>
      <w:r>
        <w:rPr>
          <w:rFonts w:hint="default" w:ascii="Times New Roman" w:hAnsi="Times New Roman" w:eastAsia="仿宋_GB2312" w:cs="Times New Roman"/>
          <w:sz w:val="32"/>
          <w:szCs w:val="32"/>
          <w:highlight w:val="none"/>
        </w:rPr>
        <w:t>进行评</w:t>
      </w:r>
      <w:r>
        <w:rPr>
          <w:rFonts w:hint="default" w:ascii="Times New Roman" w:hAnsi="Times New Roman" w:eastAsia="仿宋_GB2312" w:cs="Times New Roman"/>
          <w:sz w:val="32"/>
          <w:szCs w:val="32"/>
        </w:rPr>
        <w:t>价，评价核心为专项资金的支出完成情况和效果。</w:t>
      </w:r>
    </w:p>
    <w:p w14:paraId="1CED8CB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楷体" w:hAnsi="楷体" w:eastAsia="楷体" w:cs="楷体"/>
        </w:rPr>
      </w:pPr>
      <w:r>
        <w:rPr>
          <w:rFonts w:hint="eastAsia" w:ascii="楷体" w:hAnsi="楷体" w:eastAsia="楷体" w:cs="楷体"/>
          <w:b/>
          <w:bCs/>
          <w:sz w:val="32"/>
          <w:szCs w:val="32"/>
        </w:rPr>
        <w:t>（二）绩效评价原则、评价指标体系（详情见表1）、评价方法、评价标准。</w:t>
      </w:r>
    </w:p>
    <w:p w14:paraId="5C573419">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1</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绩效评价原则</w:t>
      </w:r>
    </w:p>
    <w:p w14:paraId="664CC71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本次项目绩效评价遵循以下基本原则：</w:t>
      </w:r>
    </w:p>
    <w:p w14:paraId="2C7D36A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（1）科学公正。绩效评价应当运用科学合理的方法，按照规范的程序，对项目绩效进行客观、公正的反映。</w:t>
      </w:r>
    </w:p>
    <w:p w14:paraId="7DF811F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（2）统筹兼顾。单位自评、部门评价和财政评价应职责明确，各有侧重，相互衔接。单位自评应由项目单位自主实施，即“谁支出、谁自评”。部门评价和财政评价应在单位自评的基础上开展。</w:t>
      </w:r>
    </w:p>
    <w:p w14:paraId="43C1A44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（3）激励约束。绩效评价结果应与预算安排、政策调整、改进管理实质性挂钩，体现奖优罚劣和激励导向，有效要安排、低效要压减、无效要问责。</w:t>
      </w:r>
    </w:p>
    <w:p w14:paraId="119C5AD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（4）公开透明。绩效评价结果应依法依规公开，并自觉接受社会监督。</w:t>
      </w:r>
    </w:p>
    <w:p w14:paraId="245CA191">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2</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评价指标体系</w:t>
      </w:r>
    </w:p>
    <w:p w14:paraId="5F0B76E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绩效评价框架是开展绩效评价的核心。绩效评价框架包括评价准则、关键评价问题、评价指标、数据来源、数据收集方法等。指标体系建立过程如下：</w:t>
      </w:r>
    </w:p>
    <w:p w14:paraId="3FBC1D6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（1）确定评价指标</w:t>
      </w:r>
    </w:p>
    <w:p w14:paraId="436BA78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A56554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（2）确定权重</w:t>
      </w:r>
    </w:p>
    <w:p w14:paraId="4DA18AF5">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yellow"/>
        </w:rPr>
      </w:pPr>
      <w:r>
        <w:rPr>
          <w:rFonts w:hint="default" w:ascii="Times New Roman" w:hAnsi="Times New Roman" w:eastAsia="仿宋_GB2312" w:cs="Times New Roman"/>
          <w:sz w:val="32"/>
          <w:szCs w:val="32"/>
        </w:rPr>
        <w:t>确定各个指标相对于项目总体绩效的权重分值。在绩效评价指标体系中，项目决策权重为20分，项目过程权重为20分，项目产出权重为</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0分，</w:t>
      </w:r>
      <w:r>
        <w:rPr>
          <w:rFonts w:hint="default" w:ascii="Times New Roman" w:hAnsi="Times New Roman" w:eastAsia="仿宋_GB2312" w:cs="Times New Roman"/>
          <w:sz w:val="32"/>
          <w:szCs w:val="32"/>
          <w:lang w:val="en-US" w:eastAsia="zh-CN"/>
        </w:rPr>
        <w:t>项目成本权重10分，</w:t>
      </w:r>
      <w:r>
        <w:rPr>
          <w:rFonts w:hint="default" w:ascii="Times New Roman" w:hAnsi="Times New Roman" w:eastAsia="仿宋_GB2312" w:cs="Times New Roman"/>
          <w:sz w:val="32"/>
          <w:szCs w:val="32"/>
        </w:rPr>
        <w:t>项目效益权重为20分。</w:t>
      </w:r>
    </w:p>
    <w:p w14:paraId="6B61A2B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（3）确定指标标准值</w:t>
      </w:r>
    </w:p>
    <w:p w14:paraId="0F24817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指标标准值是绩效评价指标的尺度，既要反映同类项目的先进水平，又要符合项目的实际绩效水平。具体采用计划标准等确定此次绩效评价指标标准值。</w:t>
      </w:r>
    </w:p>
    <w:p w14:paraId="135DD15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14:paraId="0B07C97D">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3" w:firstLineChars="200"/>
        <w:jc w:val="both"/>
        <w:textAlignment w:val="auto"/>
        <w:outlineLvl w:val="9"/>
        <w:rPr>
          <w:rFonts w:hint="default" w:ascii="Times New Roman" w:hAnsi="Times New Roman" w:eastAsia="仿宋_GB2312" w:cs="Times New Roman"/>
          <w:b/>
          <w:bCs/>
        </w:rPr>
      </w:pPr>
      <w:r>
        <w:rPr>
          <w:rFonts w:hint="default" w:ascii="Times New Roman" w:hAnsi="Times New Roman" w:eastAsia="仿宋_GB2312" w:cs="Times New Roman"/>
          <w:b/>
          <w:bCs/>
        </w:rPr>
        <w:t>3</w:t>
      </w:r>
      <w:r>
        <w:rPr>
          <w:rFonts w:hint="default" w:ascii="Times New Roman" w:hAnsi="Times New Roman" w:eastAsia="仿宋_GB2312" w:cs="Times New Roman"/>
          <w:b/>
          <w:bCs/>
          <w:lang w:val="en-US" w:eastAsia="zh-CN"/>
        </w:rPr>
        <w:t>.</w:t>
      </w:r>
      <w:r>
        <w:rPr>
          <w:rFonts w:hint="default" w:ascii="Times New Roman" w:hAnsi="Times New Roman" w:eastAsia="仿宋_GB2312" w:cs="Times New Roman"/>
          <w:b/>
          <w:bCs/>
        </w:rPr>
        <w:t>绩效评价方法</w:t>
      </w:r>
    </w:p>
    <w:p w14:paraId="54CBC12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绩效评价从项目决策、项目过程、项目产出、项目效益四个维度进行评价。评价对象为项目目标实施情况，  评价核心为资金的支出完成情况和项目的产出效益。</w:t>
      </w:r>
    </w:p>
    <w:p w14:paraId="07BEB83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本次评价指标中，既有定性指标又有定量指标，各类指标因考核内容不同和客观标准不同存在较大差异，因此核定具体指标时采用了不同方法，具体评价方法如下：</w:t>
      </w:r>
    </w:p>
    <w:p w14:paraId="150834A8">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比较法</w:t>
      </w:r>
      <w:r>
        <w:rPr>
          <w:rFonts w:hint="eastAsia" w:eastAsia="仿宋_GB2312" w:cs="Times New Roman"/>
          <w:b/>
          <w:bCs/>
          <w:sz w:val="32"/>
          <w:szCs w:val="32"/>
          <w:lang w:eastAsia="zh-CN"/>
        </w:rPr>
        <w:t>：</w:t>
      </w:r>
      <w:r>
        <w:rPr>
          <w:rFonts w:hint="default" w:ascii="Times New Roman" w:hAnsi="Times New Roman" w:eastAsia="仿宋_GB2312" w:cs="Times New Roman"/>
          <w:sz w:val="32"/>
          <w:szCs w:val="32"/>
        </w:rPr>
        <w:t>通过对绩效目标与实施效果、历史与当期情况，综合分析绩效目标实现程度。对项目最终验收情况与年度绩效目标对比、预算资金执行情况等相关因素进行比较。</w:t>
      </w:r>
    </w:p>
    <w:p w14:paraId="38CCD39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3" w:firstLineChars="200"/>
        <w:jc w:val="left"/>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color w:val="auto"/>
          <w:sz w:val="32"/>
          <w:szCs w:val="32"/>
          <w:lang w:val="en-US" w:eastAsia="zh-CN"/>
        </w:rPr>
        <w:t>成本效益分析法：</w:t>
      </w:r>
      <w:r>
        <w:rPr>
          <w:rFonts w:hint="eastAsia" w:ascii="仿宋_GB2312" w:hAnsi="仿宋_GB2312" w:eastAsia="仿宋_GB2312" w:cs="仿宋_GB2312"/>
          <w:color w:val="auto"/>
          <w:sz w:val="32"/>
          <w:szCs w:val="32"/>
          <w:lang w:val="en-US" w:eastAsia="zh-CN"/>
        </w:rPr>
        <w:t>将项目的预算支出安排与预期效益进行对比分析，以评价绩效目标的预期实现程度。</w:t>
      </w:r>
    </w:p>
    <w:p w14:paraId="1B507771">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4</w:t>
      </w:r>
      <w:r>
        <w:rPr>
          <w:rFonts w:hint="eastAsia" w:eastAsia="仿宋_GB2312" w:cs="Times New Roman"/>
          <w:b/>
          <w:bCs/>
          <w:sz w:val="32"/>
          <w:szCs w:val="32"/>
          <w:lang w:val="en-US" w:eastAsia="zh-CN"/>
        </w:rPr>
        <w:t>.</w:t>
      </w:r>
      <w:r>
        <w:rPr>
          <w:rFonts w:hint="default" w:ascii="Times New Roman" w:hAnsi="Times New Roman" w:eastAsia="仿宋_GB2312" w:cs="Times New Roman"/>
          <w:b/>
          <w:bCs/>
          <w:sz w:val="32"/>
          <w:szCs w:val="32"/>
        </w:rPr>
        <w:t>评价标准</w:t>
      </w:r>
    </w:p>
    <w:p w14:paraId="3985813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绩效评价标准通常包括计划标准、行业标准、历史标准等，用于对绩效指标完成情况进行比较、分析、评价。本次评价主要采用了计划标准。</w:t>
      </w:r>
    </w:p>
    <w:p w14:paraId="2A6E7A80">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_GB2312" w:cs="Times New Roman"/>
          <w:sz w:val="32"/>
          <w:szCs w:val="32"/>
        </w:rPr>
      </w:pPr>
      <w:bookmarkStart w:id="0" w:name="_Toc31464"/>
      <w:bookmarkStart w:id="1" w:name="_Toc17882"/>
      <w:r>
        <w:rPr>
          <w:rFonts w:hint="default" w:ascii="Times New Roman" w:hAnsi="Times New Roman" w:eastAsia="仿宋_GB2312" w:cs="Times New Roman"/>
          <w:b/>
          <w:bCs/>
          <w:sz w:val="32"/>
          <w:szCs w:val="32"/>
        </w:rPr>
        <w:t>计划标准：</w:t>
      </w:r>
      <w:r>
        <w:rPr>
          <w:rFonts w:hint="default" w:ascii="Times New Roman" w:hAnsi="Times New Roman" w:eastAsia="仿宋_GB2312" w:cs="Times New Roman"/>
          <w:sz w:val="32"/>
          <w:szCs w:val="32"/>
        </w:rPr>
        <w:t>指以预先制定的目标、计划、预算、定额等作为评价标准。</w:t>
      </w:r>
      <w:bookmarkEnd w:id="0"/>
      <w:bookmarkEnd w:id="1"/>
    </w:p>
    <w:p w14:paraId="763FB865">
      <w:pPr>
        <w:pStyle w:val="11"/>
        <w:keepNext w:val="0"/>
        <w:keepLines w:val="0"/>
        <w:pageBreakBefore w:val="0"/>
        <w:numPr>
          <w:ilvl w:val="0"/>
          <w:numId w:val="2"/>
        </w:numPr>
        <w:kinsoku/>
        <w:wordWrap/>
        <w:overflowPunct/>
        <w:topLinePunct w:val="0"/>
        <w:autoSpaceDE/>
        <w:autoSpaceDN/>
        <w:bidi w:val="0"/>
        <w:adjustRightInd/>
        <w:snapToGrid/>
        <w:spacing w:before="0" w:after="0" w:line="560" w:lineRule="exact"/>
        <w:ind w:firstLine="711" w:firstLineChars="200"/>
        <w:jc w:val="both"/>
        <w:textAlignment w:val="auto"/>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4179D6BB">
      <w:pPr>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1.</w:t>
      </w:r>
      <w:r>
        <w:rPr>
          <w:rFonts w:hint="default" w:ascii="Times New Roman" w:hAnsi="Times New Roman" w:eastAsia="仿宋_GB2312" w:cs="Times New Roman"/>
          <w:b/>
          <w:bCs/>
          <w:sz w:val="32"/>
          <w:szCs w:val="32"/>
        </w:rPr>
        <w:t>前期准备。</w:t>
      </w:r>
      <w:r>
        <w:rPr>
          <w:rFonts w:hint="default" w:ascii="Times New Roman" w:hAnsi="Times New Roman" w:eastAsia="仿宋_GB2312" w:cs="Times New Roman"/>
          <w:sz w:val="32"/>
          <w:szCs w:val="32"/>
        </w:rPr>
        <w:t>首先</w:t>
      </w:r>
      <w:r>
        <w:rPr>
          <w:rFonts w:hint="eastAsia" w:eastAsia="仿宋_GB2312" w:cs="Times New Roman"/>
          <w:sz w:val="32"/>
          <w:szCs w:val="32"/>
          <w:lang w:val="en-US" w:eastAsia="zh-CN"/>
        </w:rPr>
        <w:t>项目负责科室和负责人</w:t>
      </w:r>
      <w:r>
        <w:rPr>
          <w:rFonts w:hint="default" w:ascii="Times New Roman" w:hAnsi="Times New Roman" w:eastAsia="仿宋_GB2312" w:cs="Times New Roman"/>
          <w:sz w:val="32"/>
          <w:szCs w:val="32"/>
        </w:rPr>
        <w:t>，开展前期调研；其次明确项目绩效目标，确定绩效评价方法。</w:t>
      </w:r>
    </w:p>
    <w:p w14:paraId="25DCE24D">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2.</w:t>
      </w:r>
      <w:r>
        <w:rPr>
          <w:rFonts w:hint="default" w:ascii="Times New Roman" w:hAnsi="Times New Roman" w:eastAsia="仿宋_GB2312" w:cs="Times New Roman"/>
          <w:b/>
          <w:bCs/>
          <w:sz w:val="32"/>
          <w:szCs w:val="32"/>
        </w:rPr>
        <w:t>组织实施。</w:t>
      </w:r>
      <w:r>
        <w:rPr>
          <w:rFonts w:hint="eastAsia" w:ascii="Times New Roman" w:hAnsi="Times New Roman" w:eastAsia="仿宋_GB2312" w:cs="Times New Roman"/>
          <w:sz w:val="32"/>
          <w:szCs w:val="32"/>
          <w:lang w:val="en-US" w:eastAsia="zh-CN"/>
        </w:rPr>
        <w:t>按照绩效评价要求，</w:t>
      </w:r>
      <w:r>
        <w:rPr>
          <w:rFonts w:hint="default" w:ascii="Times New Roman" w:hAnsi="Times New Roman" w:eastAsia="仿宋_GB2312" w:cs="Times New Roman"/>
          <w:sz w:val="32"/>
          <w:szCs w:val="32"/>
        </w:rPr>
        <w:t>收集项目立项依据、相关会议纪要、实施方案、财政资金分配方案、支付管理情况等相关评价资料并进行梳理。</w:t>
      </w:r>
    </w:p>
    <w:p w14:paraId="30466BE1">
      <w:pPr>
        <w:keepNext w:val="0"/>
        <w:keepLines w:val="0"/>
        <w:pageBreakBefore w:val="0"/>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分析评价。</w:t>
      </w:r>
      <w:r>
        <w:rPr>
          <w:rFonts w:hint="default" w:ascii="Times New Roman" w:hAnsi="Times New Roman" w:eastAsia="仿宋_GB2312" w:cs="Times New Roman"/>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33AFC648">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1059CA7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楷体" w:hAnsi="楷体" w:eastAsia="楷体" w:cs="楷体"/>
          <w:lang w:val="en-US" w:eastAsia="zh-CN"/>
        </w:rPr>
      </w:pPr>
      <w:r>
        <w:rPr>
          <w:rFonts w:hint="eastAsia" w:ascii="楷体" w:hAnsi="楷体" w:eastAsia="楷体" w:cs="楷体"/>
          <w:lang w:eastAsia="zh-CN"/>
        </w:rPr>
        <w:t>（</w:t>
      </w:r>
      <w:r>
        <w:rPr>
          <w:rFonts w:hint="eastAsia" w:ascii="楷体" w:hAnsi="楷体" w:eastAsia="楷体" w:cs="楷体"/>
          <w:lang w:val="en-US" w:eastAsia="zh-CN"/>
        </w:rPr>
        <w:t>一</w:t>
      </w:r>
      <w:r>
        <w:rPr>
          <w:rFonts w:hint="eastAsia" w:ascii="楷体" w:hAnsi="楷体" w:eastAsia="楷体" w:cs="楷体"/>
          <w:lang w:eastAsia="zh-CN"/>
        </w:rPr>
        <w:t>）</w:t>
      </w:r>
      <w:r>
        <w:rPr>
          <w:rFonts w:hint="eastAsia" w:ascii="楷体" w:hAnsi="楷体" w:eastAsia="楷体" w:cs="楷体"/>
          <w:lang w:val="en-US" w:eastAsia="zh-CN"/>
        </w:rPr>
        <w:t>评价情况</w:t>
      </w:r>
    </w:p>
    <w:p w14:paraId="7C8A661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项目档案资料的整理。项目的实施达到预期效果。</w:t>
      </w:r>
    </w:p>
    <w:p w14:paraId="589E828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楷体" w:hAnsi="楷体" w:eastAsia="楷体" w:cs="楷体"/>
          <w:lang w:val="en-US" w:eastAsia="zh-CN"/>
        </w:rPr>
      </w:pPr>
      <w:r>
        <w:rPr>
          <w:rFonts w:hint="default" w:ascii="楷体" w:hAnsi="楷体" w:eastAsia="楷体" w:cs="楷体"/>
          <w:lang w:eastAsia="zh-CN"/>
        </w:rPr>
        <w:t>（</w:t>
      </w:r>
      <w:r>
        <w:rPr>
          <w:rFonts w:hint="default" w:ascii="楷体" w:hAnsi="楷体" w:eastAsia="楷体" w:cs="楷体"/>
          <w:lang w:val="en-US" w:eastAsia="zh-CN"/>
        </w:rPr>
        <w:t>二</w:t>
      </w:r>
      <w:r>
        <w:rPr>
          <w:rFonts w:hint="default" w:ascii="楷体" w:hAnsi="楷体" w:eastAsia="楷体" w:cs="楷体"/>
          <w:lang w:eastAsia="zh-CN"/>
        </w:rPr>
        <w:t>）</w:t>
      </w:r>
      <w:r>
        <w:rPr>
          <w:rFonts w:hint="default" w:ascii="楷体" w:hAnsi="楷体" w:eastAsia="楷体" w:cs="楷体"/>
          <w:lang w:val="en-US" w:eastAsia="zh-CN"/>
        </w:rPr>
        <w:t>评价结论</w:t>
      </w:r>
    </w:p>
    <w:p w14:paraId="6BAE2494">
      <w:pPr>
        <w:pStyle w:val="11"/>
        <w:keepNext w:val="0"/>
        <w:keepLines w:val="0"/>
        <w:pageBreakBefore w:val="0"/>
        <w:widowControl w:val="0"/>
        <w:kinsoku/>
        <w:wordWrap/>
        <w:overflowPunct/>
        <w:topLinePunct w:val="0"/>
        <w:autoSpaceDE/>
        <w:autoSpaceDN/>
        <w:bidi w:val="0"/>
        <w:adjustRightInd/>
        <w:snapToGrid/>
        <w:spacing w:before="0" w:after="0" w:line="560" w:lineRule="exact"/>
        <w:ind w:firstLine="640" w:firstLineChars="200"/>
        <w:jc w:val="both"/>
        <w:textAlignment w:val="auto"/>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94</w:t>
      </w:r>
      <w:r>
        <w:rPr>
          <w:rFonts w:hint="default" w:ascii="Times New Roman" w:hAnsi="Times New Roman" w:eastAsia="仿宋_GB2312" w:cs="Times New Roman"/>
          <w:b w:val="0"/>
          <w:bCs w:val="0"/>
          <w:highlight w:val="none"/>
        </w:rPr>
        <w:t>分，属于“</w:t>
      </w:r>
      <w:r>
        <w:rPr>
          <w:rFonts w:hint="eastAsia" w:ascii="Times New Roman" w:hAnsi="Times New Roman" w:eastAsia="仿宋_GB2312" w:cs="Times New Roman"/>
          <w:b w:val="0"/>
          <w:bCs w:val="0"/>
          <w:highlight w:val="none"/>
          <w:lang w:val="en-US" w:eastAsia="zh-CN"/>
        </w:rPr>
        <w:t>优</w:t>
      </w:r>
      <w:r>
        <w:rPr>
          <w:rFonts w:hint="default" w:ascii="Times New Roman" w:hAnsi="Times New Roman" w:eastAsia="仿宋_GB2312" w:cs="Times New Roman"/>
          <w:b w:val="0"/>
          <w:bCs w:val="0"/>
          <w:highlight w:val="none"/>
        </w:rPr>
        <w:t>”。其中，项目决策类指标权重为20分，得分为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rPr>
        <w:t>0分，得分为</w:t>
      </w:r>
      <w:r>
        <w:rPr>
          <w:rFonts w:hint="eastAsia" w:ascii="Times New Roman" w:hAnsi="Times New Roman" w:eastAsia="仿宋_GB2312" w:cs="Times New Roman"/>
          <w:b w:val="0"/>
          <w:bCs w:val="0"/>
          <w:highlight w:val="none"/>
          <w:lang w:val="en-US" w:eastAsia="zh-CN"/>
        </w:rPr>
        <w:t>24</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80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highlight w:val="none"/>
          <w:lang w:val="en-US" w:eastAsia="zh-CN"/>
        </w:rPr>
        <w:t>项目成本类指标权重10分</w:t>
      </w:r>
      <w:r>
        <w:rPr>
          <w:rFonts w:hint="default" w:ascii="Times New Roman" w:hAnsi="Times New Roman" w:eastAsia="仿宋_GB2312" w:cs="Times New Roman"/>
          <w:b w:val="0"/>
          <w:bCs w:val="0"/>
          <w:highlight w:val="none"/>
        </w:rPr>
        <w:t>，得分为</w:t>
      </w:r>
      <w:r>
        <w:rPr>
          <w:rFonts w:hint="eastAsia" w:ascii="Times New Roman" w:hAnsi="Times New Roman" w:eastAsia="仿宋_GB2312" w:cs="Times New Roman"/>
          <w:b w:val="0"/>
          <w:bCs w:val="0"/>
          <w:highlight w:val="none"/>
          <w:lang w:val="en-US" w:eastAsia="zh-CN"/>
        </w:rPr>
        <w:t>10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279A1D4A">
      <w:pPr>
        <w:pStyle w:val="11"/>
        <w:keepNext w:val="0"/>
        <w:keepLines w:val="0"/>
        <w:pageBreakBefore w:val="0"/>
        <w:widowControl/>
        <w:kinsoku/>
        <w:wordWrap/>
        <w:overflowPunct/>
        <w:topLinePunct w:val="0"/>
        <w:autoSpaceDE/>
        <w:autoSpaceDN/>
        <w:bidi w:val="0"/>
        <w:adjustRightInd/>
        <w:snapToGrid/>
        <w:spacing w:before="0" w:after="0" w:line="560" w:lineRule="exact"/>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sz w:val="30"/>
          <w:szCs w:val="30"/>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14:paraId="6AAEFBB0">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513EAAC">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B17189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A423E1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得分</w:t>
            </w:r>
          </w:p>
        </w:tc>
      </w:tr>
      <w:tr w14:paraId="6A2D2957">
        <w:tblPrEx>
          <w:tblCellMar>
            <w:top w:w="0" w:type="dxa"/>
            <w:left w:w="108" w:type="dxa"/>
            <w:bottom w:w="0" w:type="dxa"/>
            <w:right w:w="108" w:type="dxa"/>
          </w:tblCellMar>
        </w:tblPrEx>
        <w:trPr>
          <w:trHeight w:val="406"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4E469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7B4222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B6640F1">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669ACD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ACC1D7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32FF389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A6C674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216BB3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4759E1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6A4595B0">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30</w:t>
            </w:r>
          </w:p>
        </w:tc>
        <w:tc>
          <w:tcPr>
            <w:tcW w:w="2278" w:type="dxa"/>
            <w:tcBorders>
              <w:top w:val="nil"/>
              <w:left w:val="nil"/>
              <w:bottom w:val="single" w:color="auto" w:sz="4" w:space="0"/>
              <w:right w:val="single" w:color="auto" w:sz="4" w:space="0"/>
            </w:tcBorders>
            <w:shd w:val="clear" w:color="auto" w:fill="auto"/>
            <w:vAlign w:val="center"/>
          </w:tcPr>
          <w:p w14:paraId="0DE594C4">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24</w:t>
            </w:r>
          </w:p>
        </w:tc>
      </w:tr>
      <w:tr w14:paraId="3C6BDAC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F15E5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项目成本</w:t>
            </w:r>
          </w:p>
        </w:tc>
        <w:tc>
          <w:tcPr>
            <w:tcW w:w="2168" w:type="dxa"/>
            <w:tcBorders>
              <w:top w:val="nil"/>
              <w:left w:val="nil"/>
              <w:bottom w:val="single" w:color="auto" w:sz="4" w:space="0"/>
              <w:right w:val="single" w:color="auto" w:sz="4" w:space="0"/>
            </w:tcBorders>
            <w:shd w:val="clear" w:color="auto" w:fill="auto"/>
            <w:vAlign w:val="center"/>
          </w:tcPr>
          <w:p w14:paraId="03BD7248">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default" w:ascii="Times New Roman" w:hAnsi="Times New Roman" w:cs="Times New Roman"/>
                <w:color w:val="000000"/>
                <w:sz w:val="22"/>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7074C4DD">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lang w:val="en-US" w:eastAsia="zh-CN"/>
              </w:rPr>
            </w:pPr>
            <w:r>
              <w:rPr>
                <w:rFonts w:hint="eastAsia" w:cs="Times New Roman"/>
                <w:color w:val="000000"/>
                <w:sz w:val="22"/>
                <w:lang w:val="en-US" w:eastAsia="zh-CN"/>
              </w:rPr>
              <w:t>10</w:t>
            </w:r>
          </w:p>
        </w:tc>
      </w:tr>
      <w:tr w14:paraId="45ED8F1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2D2C63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color w:val="000000"/>
                <w:sz w:val="22"/>
              </w:rPr>
            </w:pPr>
            <w:r>
              <w:rPr>
                <w:rFonts w:hint="default" w:ascii="Times New Roman" w:hAnsi="Times New Roman" w:cs="Times New Roman"/>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1ABDA0C9">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default" w:ascii="Times New Roman" w:hAnsi="Times New Roman" w:cs="Times New Roman"/>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6D70376">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color w:val="000000"/>
                <w:sz w:val="22"/>
                <w:lang w:val="en-US" w:eastAsia="zh-CN"/>
              </w:rPr>
            </w:pPr>
            <w:r>
              <w:rPr>
                <w:rFonts w:hint="eastAsia" w:cs="Times New Roman"/>
                <w:color w:val="000000"/>
                <w:sz w:val="22"/>
                <w:lang w:val="en-US" w:eastAsia="zh-CN"/>
              </w:rPr>
              <w:t>20</w:t>
            </w:r>
          </w:p>
        </w:tc>
      </w:tr>
      <w:tr w14:paraId="393865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8A5067">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b/>
                <w:bCs/>
                <w:color w:val="000000"/>
                <w:sz w:val="22"/>
              </w:rPr>
            </w:pPr>
            <w:r>
              <w:rPr>
                <w:rFonts w:hint="default" w:ascii="Times New Roman" w:hAnsi="Times New Roman" w:cs="Times New Roman"/>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60EBAB1B">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default" w:ascii="Times New Roman" w:hAnsi="Times New Roman" w:cs="Times New Roman"/>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59A12DE">
            <w:pPr>
              <w:keepNext w:val="0"/>
              <w:keepLines w:val="0"/>
              <w:pageBreakBefore w:val="0"/>
              <w:kinsoku/>
              <w:wordWrap/>
              <w:overflowPunct/>
              <w:topLinePunct w:val="0"/>
              <w:autoSpaceDE/>
              <w:autoSpaceDN/>
              <w:bidi w:val="0"/>
              <w:adjustRightInd/>
              <w:snapToGrid/>
              <w:spacing w:line="240" w:lineRule="auto"/>
              <w:jc w:val="center"/>
              <w:textAlignment w:val="auto"/>
              <w:rPr>
                <w:rFonts w:hint="default" w:ascii="Times New Roman" w:hAnsi="Times New Roman" w:eastAsia="宋体" w:cs="Times New Roman"/>
                <w:b/>
                <w:bCs/>
                <w:color w:val="000000"/>
                <w:sz w:val="22"/>
                <w:lang w:val="en-US" w:eastAsia="zh-CN"/>
              </w:rPr>
            </w:pPr>
            <w:r>
              <w:rPr>
                <w:rFonts w:hint="eastAsia" w:cs="Times New Roman"/>
                <w:b/>
                <w:bCs/>
                <w:color w:val="000000"/>
                <w:sz w:val="22"/>
                <w:lang w:val="en-US" w:eastAsia="zh-CN"/>
              </w:rPr>
              <w:t>94</w:t>
            </w:r>
          </w:p>
        </w:tc>
      </w:tr>
    </w:tbl>
    <w:p w14:paraId="3B9712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p>
    <w:p w14:paraId="498BCD9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p>
    <w:p w14:paraId="2DF75AE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8C1D731">
      <w:pPr>
        <w:pStyle w:val="11"/>
        <w:keepNext w:val="0"/>
        <w:keepLines w:val="0"/>
        <w:pageBreakBefore w:val="0"/>
        <w:kinsoku/>
        <w:wordWrap/>
        <w:overflowPunct/>
        <w:topLinePunct w:val="0"/>
        <w:autoSpaceDE/>
        <w:autoSpaceDN/>
        <w:bidi w:val="0"/>
        <w:adjustRightInd/>
        <w:snapToGrid/>
        <w:spacing w:before="0" w:after="0" w:line="560" w:lineRule="exact"/>
        <w:ind w:firstLine="643" w:firstLineChars="200"/>
        <w:jc w:val="both"/>
        <w:textAlignment w:val="auto"/>
        <w:rPr>
          <w:rFonts w:hint="eastAsia" w:ascii="楷体" w:hAnsi="楷体" w:eastAsia="楷体" w:cs="楷体"/>
        </w:rPr>
      </w:pPr>
      <w:r>
        <w:rPr>
          <w:rFonts w:hint="eastAsia" w:ascii="楷体" w:hAnsi="楷体" w:eastAsia="楷体" w:cs="楷体"/>
        </w:rPr>
        <w:t>（一）项目决策情况</w:t>
      </w:r>
    </w:p>
    <w:p w14:paraId="040E8E11">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06943E29">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8EAB22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0DE227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auto"/>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030FC74">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335FFFB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3214A3F4">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7A00889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CA412B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F23D0B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526B51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项目设置了明确的预期产出效益和效果，将绩效目标细化分解为具体的绩效指标，绩效目标与项目目标任务相对应，绩效目标设定的绩效指标清晰、细化、可衡量。</w:t>
      </w:r>
    </w:p>
    <w:p w14:paraId="0573ED6A">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7E490C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9B5070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预算编制经过科学论证，提供充分的测算依据佐证资料，预算内容与项目内容相匹配。项目投资额与工作任务相匹配。</w:t>
      </w:r>
    </w:p>
    <w:p w14:paraId="20570D58">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14:paraId="5654ABD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资金分配额度与项目单位实际工作内容相适应，资金分配额度合理，资金分配依据充分。</w:t>
      </w:r>
    </w:p>
    <w:p w14:paraId="4C5FA9EB">
      <w:pPr>
        <w:pStyle w:val="11"/>
        <w:keepNext w:val="0"/>
        <w:keepLines w:val="0"/>
        <w:pageBreakBefore w:val="0"/>
        <w:numPr>
          <w:ilvl w:val="0"/>
          <w:numId w:val="4"/>
        </w:numPr>
        <w:kinsoku/>
        <w:wordWrap/>
        <w:overflowPunct/>
        <w:topLinePunct w:val="0"/>
        <w:autoSpaceDE/>
        <w:autoSpaceDN/>
        <w:bidi w:val="0"/>
        <w:adjustRightInd/>
        <w:snapToGrid/>
        <w:spacing w:before="0" w:after="0" w:line="560" w:lineRule="exact"/>
        <w:ind w:left="-13" w:leftChars="0" w:firstLine="643" w:firstLineChars="0"/>
        <w:jc w:val="both"/>
        <w:textAlignment w:val="auto"/>
        <w:rPr>
          <w:rFonts w:hint="default" w:ascii="Times New Roman" w:hAnsi="Times New Roman" w:eastAsia="楷体" w:cs="Times New Roman"/>
        </w:rPr>
      </w:pPr>
      <w:r>
        <w:rPr>
          <w:rFonts w:hint="default" w:ascii="Times New Roman" w:hAnsi="Times New Roman" w:eastAsia="楷体" w:cs="Times New Roman"/>
        </w:rPr>
        <w:t>项目过程情况</w:t>
      </w:r>
    </w:p>
    <w:p w14:paraId="7DE1A5E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w:t>
      </w:r>
      <w:r>
        <w:rPr>
          <w:rFonts w:hint="default" w:ascii="Times New Roman" w:hAnsi="Times New Roman" w:eastAsia="仿宋_GB2312" w:cs="Times New Roman"/>
          <w:sz w:val="32"/>
          <w:szCs w:val="32"/>
          <w:highlight w:val="none"/>
          <w:lang w:val="en-US" w:eastAsia="zh-CN"/>
        </w:rPr>
        <w:t>和组织实施两方面的内容，有</w:t>
      </w:r>
      <w:r>
        <w:rPr>
          <w:rFonts w:hint="eastAsia"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F07BA49">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2F1D6A91">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5CAAF45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20452357">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w:t>
      </w:r>
      <w:r>
        <w:rPr>
          <w:rFonts w:hint="default" w:ascii="Times New Roman" w:hAnsi="Times New Roman" w:eastAsia="仿宋_GB2312" w:cs="Times New Roman"/>
          <w:sz w:val="32"/>
          <w:szCs w:val="32"/>
          <w:highlight w:val="none"/>
          <w:lang w:val="en-US" w:eastAsia="zh-CN"/>
        </w:rPr>
        <w:t>目总投资</w:t>
      </w:r>
      <w:r>
        <w:rPr>
          <w:rFonts w:hint="eastAsia" w:eastAsia="仿宋_GB2312" w:cs="Times New Roman"/>
          <w:b w:val="0"/>
          <w:bCs w:val="0"/>
          <w:kern w:val="2"/>
          <w:sz w:val="32"/>
          <w:szCs w:val="32"/>
          <w:lang w:val="en-US" w:eastAsia="zh-CN" w:bidi="ar-SA"/>
        </w:rPr>
        <w:t>500万元</w:t>
      </w:r>
      <w:r>
        <w:rPr>
          <w:rFonts w:hint="default" w:ascii="Times New Roman" w:hAnsi="Times New Roman" w:eastAsia="仿宋_GB2312" w:cs="Times New Roman"/>
          <w:sz w:val="32"/>
          <w:szCs w:val="32"/>
          <w:highlight w:val="none"/>
          <w:lang w:val="en-US" w:eastAsia="zh-CN"/>
        </w:rPr>
        <w:t>，财政资金及时足额到位，到位率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w:t>
      </w:r>
      <w:r>
        <w:rPr>
          <w:rFonts w:hint="default" w:ascii="Times New Roman" w:hAnsi="Times New Roman" w:eastAsia="仿宋_GB2312" w:cs="Times New Roman"/>
          <w:sz w:val="32"/>
          <w:szCs w:val="32"/>
          <w:lang w:val="en-US" w:eastAsia="zh-CN"/>
        </w:rPr>
        <w:t>计划进度执行。</w:t>
      </w:r>
    </w:p>
    <w:p w14:paraId="0381351D">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125253C2">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lang w:val="en-US" w:eastAsia="zh-CN"/>
        </w:rPr>
        <w:t>500万元</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highlight w:val="none"/>
          <w:lang w:val="en-US" w:eastAsia="zh-CN"/>
        </w:rPr>
        <w:t>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5C021C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913F3F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严格按照</w:t>
      </w:r>
      <w:r>
        <w:rPr>
          <w:rFonts w:hint="default" w:ascii="Times New Roman" w:hAnsi="Times New Roman" w:eastAsia="仿宋_GB2312" w:cs="Times New Roman"/>
          <w:b w:val="0"/>
          <w:bCs w:val="0"/>
          <w:kern w:val="2"/>
          <w:sz w:val="32"/>
          <w:szCs w:val="32"/>
          <w:lang w:val="en-US" w:eastAsia="zh-CN" w:bidi="ar-SA"/>
        </w:rPr>
        <w:t>支出项目资金</w:t>
      </w:r>
      <w:r>
        <w:rPr>
          <w:rFonts w:hint="default" w:ascii="Times New Roman" w:hAnsi="Times New Roman" w:eastAsia="仿宋_GB2312" w:cs="Times New Roman"/>
          <w:sz w:val="32"/>
          <w:szCs w:val="32"/>
          <w:lang w:val="en-US" w:eastAsia="zh-CN"/>
        </w:rPr>
        <w:t>，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6A29D48">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3" w:firstLineChars="20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7ACD87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0C27B2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8C98535">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3F555363">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14:paraId="7F4CE737">
      <w:pPr>
        <w:pStyle w:val="13"/>
        <w:keepNext w:val="0"/>
        <w:keepLines w:val="0"/>
        <w:pageBreakBefore w:val="0"/>
        <w:numPr>
          <w:ilvl w:val="0"/>
          <w:numId w:val="4"/>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rPr>
      </w:pPr>
      <w:r>
        <w:rPr>
          <w:rFonts w:hint="default" w:ascii="Times New Roman" w:hAnsi="Times New Roman" w:eastAsia="楷体" w:cs="Times New Roman"/>
          <w:b/>
          <w:bCs/>
          <w:sz w:val="32"/>
          <w:szCs w:val="32"/>
        </w:rPr>
        <w:t>项目产出</w:t>
      </w:r>
      <w:r>
        <w:rPr>
          <w:rFonts w:hint="default" w:ascii="Times New Roman" w:hAnsi="Times New Roman" w:eastAsia="楷体" w:cs="Times New Roman"/>
          <w:b/>
          <w:bCs/>
          <w:sz w:val="32"/>
          <w:szCs w:val="32"/>
          <w:lang w:val="en-US" w:eastAsia="zh-CN"/>
        </w:rPr>
        <w:t>情况</w:t>
      </w:r>
    </w:p>
    <w:p w14:paraId="7F14446F">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分，实际得分</w:t>
      </w:r>
      <w:r>
        <w:rPr>
          <w:rFonts w:hint="eastAsia" w:eastAsia="仿宋_GB2312" w:cs="Times New Roman"/>
          <w:sz w:val="32"/>
          <w:szCs w:val="32"/>
          <w:highlight w:val="none"/>
          <w:lang w:val="en-US" w:eastAsia="zh-CN"/>
        </w:rPr>
        <w:t>24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80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485D4A6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470EB5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购置led屏幕目标值&gt;=15平方，实际完成值0平方，完成率0%，前期项目计划需要增加屏幕购置增加宣传力度，后期通过场地调整设施设备布置完整，无需进行大屏购置,</w:t>
      </w:r>
    </w:p>
    <w:p w14:paraId="1ABC85A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年初设定计划需要购置部分大赛设施，完善大赛基础设施，但项目实施中通过大赛设施布置，能够满足大赛要求，所以无需进行大赛场地设施购置，</w:t>
      </w:r>
    </w:p>
    <w:p w14:paraId="51AA8E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措施：严格制定项目实施计划，合理安排项目资金，严格按照项目实施情况制定资金的使用计划，及时纠偏，制定更加</w:t>
      </w:r>
      <w:bookmarkStart w:id="5" w:name="_GoBack"/>
      <w:bookmarkEnd w:id="5"/>
      <w:r>
        <w:rPr>
          <w:rFonts w:hint="eastAsia" w:eastAsia="仿宋_GB2312" w:cs="Times New Roman"/>
          <w:sz w:val="32"/>
          <w:szCs w:val="32"/>
          <w:highlight w:val="none"/>
          <w:lang w:val="en-US" w:eastAsia="zh-CN"/>
        </w:rPr>
        <w:t>合理的绩效目标。</w:t>
      </w:r>
    </w:p>
    <w:p w14:paraId="4BBE46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购置大赛场地设施目标值=1批，实际完成值0批，完成率0%，前期项目计划需要增加屏幕购置增加宣传力度，后期通过场地调整设施设备布置完整，无需进行大屏购置,</w:t>
      </w:r>
    </w:p>
    <w:p w14:paraId="56E679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年初设定计划需要购置部分大赛设施，完善大赛基础设施，但项目实施中通过大赛设施布置，能够满足大赛要求，所以无需进行大赛场地设施购置，</w:t>
      </w:r>
    </w:p>
    <w:p w14:paraId="2A086B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措施：严格制定项目实施计划，合理安排项目资金，严格按照项目实施情况制定资金的使用计划，及时纠偏，制定更加合理的绩效目标。</w:t>
      </w:r>
    </w:p>
    <w:p w14:paraId="3DAC44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委托媒体宣传目标值&gt;=1次，实际完成值1次，完成率100%</w:t>
      </w:r>
    </w:p>
    <w:p w14:paraId="1C737A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科技创新平台建设目标值=1座，实际完成值1座，完成率100%</w:t>
      </w:r>
    </w:p>
    <w:p w14:paraId="3B498F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进行专家咨询和培训目标值&gt;=20次，实际完成值20次，完成率100%</w:t>
      </w:r>
      <w:r>
        <w:rPr>
          <w:rFonts w:hint="eastAsia"/>
          <w:lang w:eastAsia="zh-CN"/>
        </w:rPr>
        <w:t>，</w:t>
      </w:r>
    </w:p>
    <w:p w14:paraId="74B73C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重创空间企业奖励目标值&gt;=3家，实际完成值2家，完成率66.7%，严格按照奖励标准进行，符合企业奖励标准的企业2家，所以与年初设定的目标有偏差，措施：严格制定项目实施计划，合理安排项目资金，严格按照项目实施情况制定资金的使用计划，及时纠偏，制定更加合理的绩效目标。</w:t>
      </w:r>
    </w:p>
    <w:p w14:paraId="4F64D0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开展农牧民培训目标值&gt;=20次，实际完成值20次，完成率100%</w:t>
      </w:r>
    </w:p>
    <w:p w14:paraId="001A8250">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83F02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大赛设备购置合格率目标值=100%，实际完成值0%，完成率0%，前期项目计划需要增加屏幕购置增加宣传力度，后期通过场地调整设施设备布置完整，无需进行大屏购置,</w:t>
      </w:r>
    </w:p>
    <w:p w14:paraId="28CC7A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年初设定计划需要购置部分大赛设施，完善大赛基础设施，但项目实施中通过大赛设施布置，能够满足大赛要求，所以无需进行大赛场地设施购置。</w:t>
      </w:r>
    </w:p>
    <w:p w14:paraId="46F86E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措施：严格制定项目实施计划，合理安排项目资金，严格按照项目实施情况制定资金的使用计划，及时纠偏，制定更加合理的绩效目标。</w:t>
      </w:r>
    </w:p>
    <w:p w14:paraId="37DD4E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媒体宣传合格率目标值&gt;=98%，实际完成值100%，完成率100%</w:t>
      </w:r>
    </w:p>
    <w:p w14:paraId="713EFD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培训和指导合格率目标值&gt;=95%，实际完成值100%，完成率100%</w:t>
      </w:r>
    </w:p>
    <w:p w14:paraId="0904ACF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平台建设验收合格率目标值&gt;=98%，实际完成值100%，完成率100%</w:t>
      </w:r>
    </w:p>
    <w:p w14:paraId="1AE5912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82324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大赛设备购置及时率目标值&gt;=95%，实际完成值0%，完成率0%前期项目计划需要增加屏幕购置增加宣传力度，后期通过场地调整设施设备布置完整，无需进行大屏购置,</w:t>
      </w:r>
    </w:p>
    <w:p w14:paraId="049EF3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年初设定计划需要购置部分大赛设施，完善大赛基础设施，但项目实施中通过大赛设施布置，能够满足大赛要求，所以无需进行大赛场地设施购置，</w:t>
      </w:r>
    </w:p>
    <w:p w14:paraId="259B37A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措施：严格制定项目实施计划，合理安排项目资金，严格按照项目实施情况制定资金的使用计划，及时纠偏，制定更加合理的绩效目标。</w:t>
      </w:r>
    </w:p>
    <w:p w14:paraId="4D3AA3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媒体宣传及时率目标值&gt;=95%，实际完成值100%，完成率105.3%</w:t>
      </w:r>
    </w:p>
    <w:p w14:paraId="293CA3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培训和指导及时率目标值&gt;=95%，实际完成值100%，完成率105.3%</w:t>
      </w:r>
    </w:p>
    <w:p w14:paraId="24C8C6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平台建设完成及时率（%）目标值&gt;=95%，实际完成值100%，完成率105.3%</w:t>
      </w:r>
    </w:p>
    <w:p w14:paraId="10F7A353">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（四）项目成本情况</w:t>
      </w:r>
    </w:p>
    <w:p w14:paraId="5D4BF4C4">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0"/>
        <w:rPr>
          <w:rFonts w:hint="default"/>
          <w:lang w:val="en-US" w:eastAsia="zh-CN"/>
        </w:rPr>
      </w:pPr>
      <w:r>
        <w:rPr>
          <w:rFonts w:hint="default" w:ascii="Times New Roman" w:hAnsi="Times New Roman" w:eastAsia="仿宋_GB2312" w:cs="Times New Roman"/>
          <w:sz w:val="32"/>
          <w:szCs w:val="32"/>
          <w:lang w:val="en-US" w:eastAsia="zh-CN"/>
        </w:rPr>
        <w:t>项目成本类指标包括经济成本、社会成本、生态环境成本三方面的内容，</w:t>
      </w:r>
      <w:r>
        <w:rPr>
          <w:rFonts w:hint="default" w:ascii="Times New Roman" w:hAnsi="Times New Roman" w:eastAsia="仿宋_GB2312" w:cs="Times New Roman"/>
          <w:sz w:val="32"/>
          <w:szCs w:val="32"/>
          <w:highlight w:val="none"/>
          <w:lang w:val="en-US" w:eastAsia="zh-CN"/>
        </w:rPr>
        <w:t>由</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w:t>
      </w:r>
      <w:r>
        <w:rPr>
          <w:rFonts w:hint="eastAsia"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0分，实际得分</w:t>
      </w:r>
      <w:r>
        <w:rPr>
          <w:rFonts w:hint="eastAsia" w:ascii="Times New Roman" w:hAnsi="Times New Roman"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产出指标完成情况如下：</w:t>
      </w:r>
    </w:p>
    <w:p w14:paraId="0B907A4B">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lang w:val="en-US" w:eastAsia="zh-CN"/>
        </w:rPr>
        <w:t>经济</w:t>
      </w:r>
      <w:r>
        <w:rPr>
          <w:rFonts w:hint="default" w:ascii="Times New Roman" w:hAnsi="Times New Roman" w:eastAsia="仿宋_GB2312" w:cs="Times New Roman"/>
          <w:sz w:val="32"/>
          <w:szCs w:val="32"/>
          <w:highlight w:val="none"/>
        </w:rPr>
        <w:t>成本指标：</w:t>
      </w:r>
    </w:p>
    <w:p w14:paraId="23CCB8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科技计划项目目标值&lt;=252万元，实际完成值252万元，完成率100%</w:t>
      </w:r>
    </w:p>
    <w:p w14:paraId="185675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科技平台建设目标值&lt;=40万元，实际完成值40万元，完成率100%</w:t>
      </w:r>
    </w:p>
    <w:p w14:paraId="7EC550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专家咨询培训费用目标值&lt;=60万元，实际完成值60万元，完成率100%</w:t>
      </w:r>
    </w:p>
    <w:p w14:paraId="7916DB5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组织大赛办公费目标值=3.50万元，实际完成3.50万元，完成率100%</w:t>
      </w:r>
    </w:p>
    <w:p w14:paraId="7E5F67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众创空间奖励资金目标值&lt;=65万元，实际完成值65万元，完成率100%</w:t>
      </w:r>
    </w:p>
    <w:p w14:paraId="5C3281B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科技创新大赛资金目标值&lt;=70万元，实际完成值70万元，完成率100%</w:t>
      </w:r>
    </w:p>
    <w:p w14:paraId="027074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科技特派员培训奖励经费目标值&lt;=8万元，实际完成值8万元，完成率100%</w:t>
      </w:r>
    </w:p>
    <w:p w14:paraId="426D33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技术合同奖励费用目标值&lt;=5万元，实际完成值5万元，完成率100%</w:t>
      </w:r>
    </w:p>
    <w:p w14:paraId="6EFDA923">
      <w:pPr>
        <w:pStyle w:val="13"/>
        <w:keepNext w:val="0"/>
        <w:keepLines w:val="0"/>
        <w:pageBreakBefore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default" w:ascii="Times New Roman" w:hAnsi="Times New Roman" w:eastAsia="楷体" w:cs="Times New Roman"/>
          <w:b/>
          <w:bCs/>
          <w:sz w:val="32"/>
          <w:szCs w:val="32"/>
          <w:lang w:val="en-US" w:eastAsia="zh-CN"/>
        </w:rPr>
      </w:pPr>
      <w:r>
        <w:rPr>
          <w:rFonts w:hint="default" w:ascii="Times New Roman" w:hAnsi="Times New Roman" w:eastAsia="楷体" w:cs="Times New Roman"/>
          <w:b/>
          <w:bCs/>
          <w:sz w:val="32"/>
          <w:szCs w:val="32"/>
          <w:lang w:val="en-US" w:eastAsia="zh-CN"/>
        </w:rPr>
        <w:t>（五）项目效益情况</w:t>
      </w:r>
    </w:p>
    <w:p w14:paraId="41852FB6">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w:t>
      </w:r>
      <w:r>
        <w:rPr>
          <w:rFonts w:hint="default" w:ascii="Times New Roman" w:hAnsi="Times New Roman" w:eastAsia="仿宋_GB2312" w:cs="Times New Roman"/>
          <w:sz w:val="32"/>
          <w:szCs w:val="32"/>
          <w:lang w:val="en-US" w:eastAsia="zh-CN"/>
        </w:rPr>
        <w:t>效益指标及满意度指标完成情况如下：</w:t>
      </w:r>
    </w:p>
    <w:p w14:paraId="28072C2E">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50772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3A2E79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科技服务水平目标值提高，实际完成值提高，完成率100%</w:t>
      </w:r>
    </w:p>
    <w:p w14:paraId="0D4CD8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科学竞争力目标值提高，实际完成值提高，完成率100%</w:t>
      </w:r>
    </w:p>
    <w:p w14:paraId="323DE56C">
      <w:pPr>
        <w:keepNext w:val="0"/>
        <w:keepLines w:val="0"/>
        <w:pageBreakBefore w:val="0"/>
        <w:shd w:val="clear"/>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101C01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满意度指标：</w:t>
      </w:r>
    </w:p>
    <w:p w14:paraId="1A4D1A0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参赛人员满意度目标值&gt;=95%，实际完成值100%，完成率100%</w:t>
      </w:r>
    </w:p>
    <w:p w14:paraId="6C2BB8C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Style w:val="19"/>
          <w:rFonts w:hint="default" w:ascii="Times New Roman" w:hAnsi="Times New Roman" w:cs="Times New Roman"/>
          <w:color w:val="auto"/>
        </w:rPr>
      </w:pP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、主要经验及做法、存在的问题及原因分析</w:t>
      </w:r>
    </w:p>
    <w:p w14:paraId="185E1709">
      <w:pPr>
        <w:keepNext w:val="0"/>
        <w:keepLines w:val="0"/>
        <w:pageBreakBefore w:val="0"/>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64150B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严格制定项目实施计划，合理安排项目资金，严格按照项目实施情况制定资金的使用计划，及时纠偏，制定更加合理的绩效目标。</w:t>
      </w:r>
    </w:p>
    <w:p w14:paraId="251F76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6648C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项目资金管理：制定项目资金使用制度；财政安排项目资金到位后，须制定资金使用计划，报学校会议研究，作为今后使用资金的依据；项目资金做到专款专用、专人负责，不占用、挪用项目资金；项目资金使用落实责任人，压实工作责任，使用必须按要求和规范进行。</w:t>
      </w:r>
    </w:p>
    <w:p w14:paraId="77A2AB69">
      <w:pPr>
        <w:keepNext w:val="0"/>
        <w:keepLines w:val="0"/>
        <w:pageBreakBefore w:val="0"/>
        <w:numPr>
          <w:ilvl w:val="0"/>
          <w:numId w:val="5"/>
        </w:numPr>
        <w:kinsoku/>
        <w:wordWrap/>
        <w:overflowPunct/>
        <w:topLinePunct w:val="0"/>
        <w:autoSpaceDE/>
        <w:autoSpaceDN/>
        <w:bidi w:val="0"/>
        <w:adjustRightInd/>
        <w:snapToGrid/>
        <w:spacing w:line="560" w:lineRule="exact"/>
        <w:ind w:firstLine="627" w:firstLineChars="200"/>
        <w:textAlignment w:val="auto"/>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存在的问题及原因分析</w:t>
      </w:r>
    </w:p>
    <w:p w14:paraId="12DC87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eastAsia" w:ascii="仿宋_GB2312" w:hAnsi="仿宋" w:eastAsia="仿宋_GB2312" w:cs="宋体"/>
          <w:b w:val="0"/>
          <w:bCs w:val="0"/>
          <w:color w:val="auto"/>
          <w:sz w:val="32"/>
          <w:szCs w:val="32"/>
          <w:highlight w:val="none"/>
          <w:lang w:val="en-US" w:eastAsia="zh-CN" w:bidi="ar"/>
        </w:rPr>
      </w:pPr>
      <w:r>
        <w:rPr>
          <w:rFonts w:hint="eastAsia" w:ascii="仿宋_GB2312" w:hAnsi="仿宋" w:eastAsia="仿宋_GB2312" w:cs="宋体"/>
          <w:b w:val="0"/>
          <w:bCs w:val="0"/>
          <w:color w:val="auto"/>
          <w:sz w:val="32"/>
          <w:szCs w:val="32"/>
          <w:highlight w:val="none"/>
          <w:lang w:val="en-US" w:eastAsia="zh-CN" w:bidi="ar"/>
        </w:rPr>
        <w:t>进一步加强对绩效管理工作的组织领导，提高对预算绩效管理工作重要性的认识，总结经验查找问题，完善的绩效评价管理办法。对绩效管理工作认识不到位，认为只要资金使用合规合法就可以，对绩效工作认识不够，工作缺乏主动性。</w:t>
      </w:r>
    </w:p>
    <w:p w14:paraId="6F365A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0"/>
        <w:rPr>
          <w:rFonts w:hint="default" w:ascii="仿宋_GB2312" w:hAnsi="仿宋" w:eastAsia="仿宋_GB2312" w:cs="宋体"/>
          <w:b w:val="0"/>
          <w:bCs w:val="0"/>
          <w:color w:val="auto"/>
          <w:sz w:val="32"/>
          <w:szCs w:val="32"/>
          <w:highlight w:val="none"/>
          <w:lang w:val="en-US" w:eastAsia="zh-CN" w:bidi="ar"/>
        </w:rPr>
      </w:pPr>
      <w:r>
        <w:rPr>
          <w:rFonts w:hint="eastAsia" w:eastAsia="仿宋_GB2312" w:cs="Times New Roman"/>
          <w:sz w:val="32"/>
          <w:szCs w:val="32"/>
          <w:highlight w:val="none"/>
          <w:lang w:val="en-US" w:eastAsia="zh-CN"/>
        </w:rPr>
        <w:t>前期项目计划需要增加屏幕购置增加宣传力度，后期通过场地调整设施设备布置完整完全符合宣传的标准，所以后期确定无需进行大屏购置,年初设定计划需要购置部分大赛设施，完善大赛基础设施，但项目实施中通过大赛设施布置，能够满足大赛要求，所以无需进行大赛场地设施购置。</w:t>
      </w:r>
      <w:r>
        <w:rPr>
          <w:rFonts w:hint="eastAsia" w:ascii="仿宋_GB2312" w:hAnsi="仿宋" w:eastAsia="仿宋_GB2312" w:cs="宋体"/>
          <w:b w:val="0"/>
          <w:bCs w:val="0"/>
          <w:color w:val="auto"/>
          <w:sz w:val="32"/>
          <w:szCs w:val="32"/>
          <w:highlight w:val="none"/>
          <w:lang w:val="en-US" w:eastAsia="zh-CN" w:bidi="ar"/>
        </w:rPr>
        <w:t>年初设定目标时缺少精确的计算和规划，绩效目标值设置偏低，后期未对绩效目标进行及时纠偏，自评时实际值与年初设定目标偏差较大。</w:t>
      </w:r>
      <w:r>
        <w:rPr>
          <w:rFonts w:hint="eastAsia" w:eastAsia="仿宋_GB2312" w:cs="Times New Roman"/>
          <w:sz w:val="32"/>
          <w:szCs w:val="32"/>
          <w:highlight w:val="none"/>
          <w:lang w:val="en-US" w:eastAsia="zh-CN"/>
        </w:rPr>
        <w:t>措施：严格制定项目实施计划，合理安排项目资金，严格按照项目实施情况制定资金的使用计划，中期及时根据项目实施情况对指标和资金进行纠偏，制定更加合理的绩效目标，及时督促项目实施进度和资金支付进度。加强项目绩效管理，加强绩效和项目实际的联系，提高项目绩效业务水平。</w:t>
      </w:r>
    </w:p>
    <w:p w14:paraId="21C2476B">
      <w:pPr>
        <w:keepNext w:val="0"/>
        <w:keepLines w:val="0"/>
        <w:pageBreakBefore w:val="0"/>
        <w:numPr>
          <w:ilvl w:val="0"/>
          <w:numId w:val="6"/>
        </w:numPr>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有关建议</w:t>
      </w:r>
    </w:p>
    <w:p w14:paraId="65EF47EB">
      <w:pPr>
        <w:keepNext w:val="0"/>
        <w:keepLines w:val="0"/>
        <w:pageBreakBefore w:val="0"/>
        <w:kinsoku/>
        <w:wordWrap/>
        <w:overflowPunct/>
        <w:topLinePunct w:val="0"/>
        <w:autoSpaceDE/>
        <w:autoSpaceDN/>
        <w:bidi w:val="0"/>
        <w:spacing w:line="560" w:lineRule="exact"/>
        <w:ind w:firstLine="640" w:firstLineChars="200"/>
        <w:textAlignment w:val="auto"/>
        <w:rPr>
          <w:rFonts w:hint="default" w:ascii="Times New Roman" w:hAnsi="Times New Roman" w:eastAsia="黑体" w:cs="Times New Roman"/>
          <w:sz w:val="32"/>
          <w:szCs w:val="32"/>
        </w:rPr>
      </w:pPr>
      <w:r>
        <w:rPr>
          <w:rFonts w:hint="eastAsia" w:ascii="仿宋_GB2312" w:hAnsi="仿宋" w:eastAsia="仿宋_GB2312" w:cs="宋体"/>
          <w:b w:val="0"/>
          <w:bCs w:val="0"/>
          <w:color w:val="auto"/>
          <w:sz w:val="32"/>
          <w:szCs w:val="32"/>
          <w:highlight w:val="none"/>
          <w:lang w:bidi="ar"/>
        </w:rPr>
        <w:t>规范项目资金财务核算，强化项目实施过程监管力度，定期对项目资金预算绩效目标完成情况进行检查，确保专项资金用在“刀刃上”实时催促项目资金支付进度，提高资金执行度。</w:t>
      </w:r>
    </w:p>
    <w:p w14:paraId="2639394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lang w:val="en-US" w:eastAsia="zh-CN"/>
        </w:rPr>
      </w:pPr>
      <w:r>
        <w:rPr>
          <w:rFonts w:hint="default"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lang w:eastAsia="zh-Hans"/>
        </w:rPr>
        <w:t>、</w:t>
      </w:r>
      <w:r>
        <w:rPr>
          <w:rFonts w:hint="default" w:ascii="Times New Roman" w:hAnsi="Times New Roman" w:eastAsia="黑体" w:cs="Times New Roman"/>
          <w:sz w:val="32"/>
          <w:szCs w:val="32"/>
        </w:rPr>
        <w:t>其他需</w:t>
      </w:r>
      <w:bookmarkStart w:id="2" w:name="page8"/>
      <w:bookmarkEnd w:id="2"/>
      <w:r>
        <w:rPr>
          <w:rFonts w:hint="default" w:ascii="Times New Roman" w:hAnsi="Times New Roman" w:eastAsia="黑体" w:cs="Times New Roman"/>
          <w:sz w:val="32"/>
          <w:szCs w:val="32"/>
          <w:lang w:val="en-US" w:eastAsia="zh-CN"/>
        </w:rPr>
        <w:t>要说明的问题</w:t>
      </w:r>
    </w:p>
    <w:p w14:paraId="56F9717B">
      <w:pPr>
        <w:keepNext w:val="0"/>
        <w:keepLines w:val="0"/>
        <w:pageBreakBefore w:val="0"/>
        <w:kinsoku/>
        <w:wordWrap/>
        <w:overflowPunct/>
        <w:topLinePunct w:val="0"/>
        <w:autoSpaceDE/>
        <w:autoSpaceDN/>
        <w:bidi w:val="0"/>
        <w:spacing w:line="560" w:lineRule="exact"/>
        <w:ind w:firstLine="640" w:firstLineChars="200"/>
        <w:textAlignment w:val="auto"/>
        <w:rPr>
          <w:rFonts w:hint="eastAsia" w:ascii="仿宋_GB2312" w:hAnsi="仿宋" w:eastAsia="仿宋_GB2312" w:cs="宋体"/>
          <w:b w:val="0"/>
          <w:bCs w:val="0"/>
          <w:color w:val="auto"/>
          <w:sz w:val="32"/>
          <w:szCs w:val="32"/>
          <w:highlight w:val="none"/>
          <w:lang w:bidi="ar"/>
        </w:rPr>
      </w:pPr>
      <w:r>
        <w:rPr>
          <w:rFonts w:hint="eastAsia" w:ascii="仿宋_GB2312" w:hAnsi="仿宋" w:eastAsia="仿宋_GB2312" w:cs="宋体"/>
          <w:b w:val="0"/>
          <w:bCs w:val="0"/>
          <w:color w:val="auto"/>
          <w:sz w:val="32"/>
          <w:szCs w:val="32"/>
          <w:highlight w:val="none"/>
          <w:lang w:bidi="ar"/>
        </w:rPr>
        <w:t>项目下达后，</w:t>
      </w:r>
      <w:r>
        <w:rPr>
          <w:rFonts w:hint="eastAsia" w:ascii="仿宋_GB2312" w:hAnsi="仿宋" w:eastAsia="仿宋_GB2312" w:cs="宋体"/>
          <w:b w:val="0"/>
          <w:bCs w:val="0"/>
          <w:color w:val="auto"/>
          <w:sz w:val="32"/>
          <w:szCs w:val="32"/>
          <w:highlight w:val="none"/>
          <w:lang w:eastAsia="zh-CN" w:bidi="ar"/>
        </w:rPr>
        <w:t>根据</w:t>
      </w:r>
      <w:r>
        <w:rPr>
          <w:rFonts w:hint="eastAsia" w:ascii="仿宋_GB2312" w:hAnsi="仿宋" w:eastAsia="仿宋_GB2312" w:cs="宋体"/>
          <w:b w:val="0"/>
          <w:bCs w:val="0"/>
          <w:color w:val="auto"/>
          <w:sz w:val="32"/>
          <w:szCs w:val="32"/>
          <w:highlight w:val="none"/>
          <w:lang w:bidi="ar"/>
        </w:rPr>
        <w:t>财政预算安排资金，严格按照项目进展情况进行支付。后期参考项目实施</w:t>
      </w:r>
      <w:r>
        <w:rPr>
          <w:rFonts w:hint="eastAsia" w:ascii="仿宋_GB2312" w:hAnsi="仿宋" w:eastAsia="仿宋_GB2312" w:cs="宋体"/>
          <w:b w:val="0"/>
          <w:bCs w:val="0"/>
          <w:color w:val="auto"/>
          <w:sz w:val="32"/>
          <w:szCs w:val="32"/>
          <w:highlight w:val="none"/>
          <w:lang w:val="en-US" w:eastAsia="zh-CN" w:bidi="ar"/>
        </w:rPr>
        <w:t>进度</w:t>
      </w:r>
      <w:r>
        <w:rPr>
          <w:rFonts w:hint="eastAsia" w:ascii="仿宋_GB2312" w:hAnsi="仿宋" w:eastAsia="仿宋_GB2312" w:cs="宋体"/>
          <w:b w:val="0"/>
          <w:bCs w:val="0"/>
          <w:color w:val="auto"/>
          <w:sz w:val="32"/>
          <w:szCs w:val="32"/>
          <w:highlight w:val="none"/>
          <w:lang w:bidi="ar"/>
        </w:rPr>
        <w:t>，</w:t>
      </w:r>
      <w:r>
        <w:rPr>
          <w:rFonts w:hint="eastAsia" w:ascii="仿宋_GB2312" w:hAnsi="仿宋" w:eastAsia="仿宋_GB2312" w:cs="宋体"/>
          <w:b w:val="0"/>
          <w:bCs w:val="0"/>
          <w:color w:val="auto"/>
          <w:sz w:val="32"/>
          <w:szCs w:val="32"/>
          <w:highlight w:val="none"/>
          <w:lang w:val="en-US" w:eastAsia="zh-CN" w:bidi="ar"/>
        </w:rPr>
        <w:t>及时制定更加详细的项目实施计划和资金支付进度，确保项目更快更好实施</w:t>
      </w:r>
      <w:r>
        <w:rPr>
          <w:rFonts w:hint="eastAsia" w:ascii="仿宋_GB2312" w:hAnsi="仿宋" w:eastAsia="仿宋_GB2312" w:cs="宋体"/>
          <w:b w:val="0"/>
          <w:bCs w:val="0"/>
          <w:color w:val="auto"/>
          <w:sz w:val="32"/>
          <w:szCs w:val="32"/>
          <w:highlight w:val="none"/>
          <w:lang w:bidi="ar"/>
        </w:rPr>
        <w:t>。</w:t>
      </w:r>
    </w:p>
    <w:p w14:paraId="7C6FF8A0">
      <w:pPr>
        <w:pStyle w:val="2"/>
        <w:rPr>
          <w:rFonts w:hint="default"/>
          <w:lang w:val="en-US" w:eastAsia="zh-CN"/>
        </w:rPr>
        <w:sectPr>
          <w:pgSz w:w="11906" w:h="16838"/>
          <w:pgMar w:top="1440" w:right="1558" w:bottom="1440" w:left="1800" w:header="851" w:footer="992" w:gutter="0"/>
          <w:cols w:space="425" w:num="1"/>
          <w:docGrid w:type="lines" w:linePitch="312" w:charSpace="0"/>
        </w:sectPr>
      </w:pPr>
    </w:p>
    <w:p w14:paraId="7986E13C">
      <w:pPr>
        <w:spacing w:line="600" w:lineRule="exact"/>
        <w:rPr>
          <w:rFonts w:hint="default" w:ascii="Times New Roman" w:hAnsi="Times New Roman" w:eastAsia="黑体" w:cs="Times New Roman"/>
          <w:b/>
          <w:bCs w:val="0"/>
          <w:sz w:val="32"/>
          <w:szCs w:val="32"/>
        </w:rPr>
      </w:pPr>
      <w:r>
        <w:rPr>
          <w:rFonts w:hint="default" w:ascii="Times New Roman" w:hAnsi="Times New Roman" w:eastAsia="黑体" w:cs="Times New Roman"/>
          <w:b/>
          <w:bCs w:val="0"/>
          <w:sz w:val="32"/>
          <w:szCs w:val="32"/>
        </w:rPr>
        <w:t>附件1</w:t>
      </w:r>
    </w:p>
    <w:p w14:paraId="187C0978">
      <w:pPr>
        <w:pStyle w:val="20"/>
        <w:ind w:firstLine="562"/>
        <w:jc w:val="center"/>
        <w:rPr>
          <w:rFonts w:hint="default" w:ascii="Times New Roman" w:hAnsi="Times New Roman" w:eastAsia="仿宋_GB2312" w:cs="Times New Roman"/>
          <w:b w:val="0"/>
          <w:bCs w:val="0"/>
          <w:sz w:val="32"/>
          <w:szCs w:val="32"/>
        </w:rPr>
      </w:pPr>
      <w:bookmarkStart w:id="3" w:name="_Toc30064_WPSOffice_Level1"/>
      <w:bookmarkStart w:id="4" w:name="_Toc26499_WPSOffice_Level2"/>
      <w:r>
        <w:rPr>
          <w:rFonts w:hint="eastAsia" w:eastAsia="仿宋_GB2312" w:cs="Times New Roman"/>
          <w:b/>
          <w:bCs/>
          <w:color w:val="auto"/>
          <w:sz w:val="32"/>
          <w:szCs w:val="32"/>
          <w:lang w:val="en-US" w:eastAsia="zh-CN"/>
        </w:rPr>
        <w:t>科技创新投入专项资金项目</w:t>
      </w:r>
      <w:r>
        <w:rPr>
          <w:rFonts w:hint="default" w:ascii="Times New Roman" w:hAnsi="Times New Roman" w:eastAsia="仿宋_GB2312" w:cs="Times New Roman"/>
          <w:b/>
          <w:bCs/>
          <w:color w:val="auto"/>
          <w:sz w:val="32"/>
          <w:szCs w:val="32"/>
        </w:rPr>
        <w:t>绩效评价指标体系及综合评分表</w:t>
      </w:r>
      <w:bookmarkEnd w:id="3"/>
      <w:bookmarkEnd w:id="4"/>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537FF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290F731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一级指标</w:t>
            </w:r>
          </w:p>
        </w:tc>
        <w:tc>
          <w:tcPr>
            <w:tcW w:w="764" w:type="dxa"/>
            <w:shd w:val="clear" w:color="auto" w:fill="FFFFFF"/>
            <w:vAlign w:val="center"/>
          </w:tcPr>
          <w:p w14:paraId="09422C8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二级指标</w:t>
            </w:r>
          </w:p>
        </w:tc>
        <w:tc>
          <w:tcPr>
            <w:tcW w:w="873" w:type="dxa"/>
            <w:shd w:val="clear" w:color="auto" w:fill="FFFFFF"/>
            <w:vAlign w:val="center"/>
          </w:tcPr>
          <w:p w14:paraId="44D1F06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三级指标</w:t>
            </w:r>
          </w:p>
        </w:tc>
        <w:tc>
          <w:tcPr>
            <w:tcW w:w="2353" w:type="dxa"/>
            <w:shd w:val="clear" w:color="auto" w:fill="FFFFFF"/>
            <w:vAlign w:val="center"/>
          </w:tcPr>
          <w:p w14:paraId="73E1252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指标解释</w:t>
            </w:r>
          </w:p>
        </w:tc>
        <w:tc>
          <w:tcPr>
            <w:tcW w:w="5198" w:type="dxa"/>
            <w:shd w:val="clear" w:color="auto" w:fill="FFFFFF"/>
            <w:vAlign w:val="center"/>
          </w:tcPr>
          <w:p w14:paraId="4401CB30">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指标说明</w:t>
            </w:r>
          </w:p>
        </w:tc>
        <w:tc>
          <w:tcPr>
            <w:tcW w:w="1300" w:type="dxa"/>
            <w:shd w:val="clear" w:color="auto" w:fill="FFFFFF"/>
            <w:vAlign w:val="center"/>
          </w:tcPr>
          <w:p w14:paraId="1FAEF58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权重</w:t>
            </w:r>
          </w:p>
        </w:tc>
        <w:tc>
          <w:tcPr>
            <w:tcW w:w="1363" w:type="dxa"/>
            <w:shd w:val="clear" w:color="auto" w:fill="FFFFFF"/>
            <w:vAlign w:val="center"/>
          </w:tcPr>
          <w:p w14:paraId="110CA15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得分</w:t>
            </w:r>
          </w:p>
        </w:tc>
      </w:tr>
      <w:tr w14:paraId="0CD1D7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291A439D">
            <w:pPr>
              <w:widowControl/>
              <w:spacing w:line="0" w:lineRule="atLeast"/>
              <w:jc w:val="center"/>
              <w:rPr>
                <w:rFonts w:hint="default" w:ascii="Times New Roman" w:hAnsi="Times New Roman" w:eastAsia="仿宋_GB2312" w:cs="Times New Roman"/>
                <w:color w:val="000000"/>
                <w:kern w:val="0"/>
                <w:sz w:val="22"/>
                <w:szCs w:val="22"/>
              </w:rPr>
            </w:pPr>
          </w:p>
          <w:p w14:paraId="3BE426D4">
            <w:pPr>
              <w:widowControl/>
              <w:spacing w:line="0" w:lineRule="atLeast"/>
              <w:jc w:val="center"/>
              <w:rPr>
                <w:rFonts w:hint="default" w:ascii="Times New Roman" w:hAnsi="Times New Roman" w:eastAsia="仿宋_GB2312" w:cs="Times New Roman"/>
                <w:color w:val="000000"/>
                <w:kern w:val="0"/>
                <w:sz w:val="22"/>
                <w:szCs w:val="22"/>
              </w:rPr>
            </w:pPr>
          </w:p>
          <w:p w14:paraId="5130A28C">
            <w:pPr>
              <w:widowControl/>
              <w:spacing w:line="0" w:lineRule="atLeast"/>
              <w:jc w:val="center"/>
              <w:rPr>
                <w:rFonts w:hint="default" w:ascii="Times New Roman" w:hAnsi="Times New Roman" w:eastAsia="仿宋_GB2312" w:cs="Times New Roman"/>
                <w:color w:val="000000"/>
                <w:kern w:val="0"/>
                <w:sz w:val="22"/>
                <w:szCs w:val="22"/>
              </w:rPr>
            </w:pPr>
          </w:p>
          <w:p w14:paraId="7C488689">
            <w:pPr>
              <w:widowControl/>
              <w:spacing w:line="0" w:lineRule="atLeast"/>
              <w:jc w:val="center"/>
              <w:rPr>
                <w:rFonts w:hint="default" w:ascii="Times New Roman" w:hAnsi="Times New Roman" w:eastAsia="仿宋_GB2312" w:cs="Times New Roman"/>
                <w:color w:val="000000"/>
                <w:kern w:val="0"/>
                <w:sz w:val="22"/>
                <w:szCs w:val="22"/>
              </w:rPr>
            </w:pPr>
          </w:p>
          <w:p w14:paraId="76A28D08">
            <w:pPr>
              <w:widowControl/>
              <w:spacing w:line="0" w:lineRule="atLeast"/>
              <w:jc w:val="center"/>
              <w:rPr>
                <w:rFonts w:hint="default" w:ascii="Times New Roman" w:hAnsi="Times New Roman" w:eastAsia="仿宋_GB2312" w:cs="Times New Roman"/>
                <w:color w:val="000000"/>
                <w:kern w:val="0"/>
                <w:sz w:val="22"/>
                <w:szCs w:val="22"/>
              </w:rPr>
            </w:pPr>
          </w:p>
          <w:p w14:paraId="0D8EEA91">
            <w:pPr>
              <w:widowControl/>
              <w:spacing w:line="0" w:lineRule="atLeast"/>
              <w:jc w:val="center"/>
              <w:rPr>
                <w:rFonts w:hint="default" w:ascii="Times New Roman" w:hAnsi="Times New Roman" w:eastAsia="仿宋_GB2312" w:cs="Times New Roman"/>
                <w:color w:val="000000"/>
                <w:kern w:val="0"/>
                <w:sz w:val="22"/>
                <w:szCs w:val="22"/>
              </w:rPr>
            </w:pPr>
          </w:p>
          <w:p w14:paraId="6676135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决策　</w:t>
            </w:r>
          </w:p>
        </w:tc>
        <w:tc>
          <w:tcPr>
            <w:tcW w:w="764" w:type="dxa"/>
            <w:vMerge w:val="restart"/>
            <w:shd w:val="clear" w:color="auto" w:fill="FFFFFF"/>
            <w:vAlign w:val="center"/>
          </w:tcPr>
          <w:p w14:paraId="2BBBB2C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　</w:t>
            </w:r>
          </w:p>
        </w:tc>
        <w:tc>
          <w:tcPr>
            <w:tcW w:w="873" w:type="dxa"/>
            <w:shd w:val="clear" w:color="auto" w:fill="FFFFFF"/>
            <w:vAlign w:val="center"/>
          </w:tcPr>
          <w:p w14:paraId="1CD2F12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w:t>
            </w:r>
          </w:p>
          <w:p w14:paraId="594A600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充分性</w:t>
            </w:r>
          </w:p>
        </w:tc>
        <w:tc>
          <w:tcPr>
            <w:tcW w:w="2353" w:type="dxa"/>
            <w:shd w:val="clear" w:color="auto" w:fill="FFFFFF"/>
            <w:vAlign w:val="center"/>
          </w:tcPr>
          <w:p w14:paraId="188B907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项目立项是否符合法律法规、相关政策、发展规划以及部门职责，用以反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和考核项目立项依据情况。</w:t>
            </w:r>
          </w:p>
        </w:tc>
        <w:tc>
          <w:tcPr>
            <w:tcW w:w="5198" w:type="dxa"/>
            <w:shd w:val="clear" w:color="auto" w:fill="FFFFFF"/>
            <w:vAlign w:val="center"/>
          </w:tcPr>
          <w:p w14:paraId="5CCD99D0">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①项目立项是否符合国家法律法规和相关政策；</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②项目立项是否符合行业发展规划和政策要求；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③项目立项是否与部门职责范围相符，属于部门履职所需；</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④项目是否属于公共财政支持范围，是否符合中央、地方事权支出责任划分原则；</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⑤项目是否与相关部门同类项目或部门内部相关项目重复。</w:t>
            </w:r>
          </w:p>
        </w:tc>
        <w:tc>
          <w:tcPr>
            <w:tcW w:w="1300" w:type="dxa"/>
            <w:shd w:val="clear" w:color="auto" w:fill="FFFFFF"/>
            <w:vAlign w:val="center"/>
          </w:tcPr>
          <w:p w14:paraId="46F0C8A6">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14:paraId="67DE60E2">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59BBF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63717C94">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30F49326">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440ADB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立项程序</w:t>
            </w:r>
          </w:p>
          <w:p w14:paraId="45209CD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规范性</w:t>
            </w:r>
          </w:p>
        </w:tc>
        <w:tc>
          <w:tcPr>
            <w:tcW w:w="2353" w:type="dxa"/>
            <w:shd w:val="clear" w:color="auto" w:fill="FFFFFF"/>
            <w:vAlign w:val="center"/>
          </w:tcPr>
          <w:p w14:paraId="3BEF6ED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项目申请、设立过程是否符合相关要求，用以反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和考核项目立项的规范情况。</w:t>
            </w:r>
          </w:p>
        </w:tc>
        <w:tc>
          <w:tcPr>
            <w:tcW w:w="5198" w:type="dxa"/>
            <w:shd w:val="clear" w:color="auto" w:fill="FFFFFF"/>
            <w:vAlign w:val="center"/>
          </w:tcPr>
          <w:p w14:paraId="3598819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①项目是否按照规定的程序申请设立；</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②审批文件、材料是否符合相关要求；</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③事前是否已经过必要的可行性研究、专家论证、风险评估、绩效评估、集体决策。</w:t>
            </w:r>
          </w:p>
        </w:tc>
        <w:tc>
          <w:tcPr>
            <w:tcW w:w="1300" w:type="dxa"/>
            <w:shd w:val="clear" w:color="auto" w:fill="FFFFFF"/>
            <w:vAlign w:val="center"/>
          </w:tcPr>
          <w:p w14:paraId="62E4014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auto" w:fill="FFFFFF"/>
            <w:vAlign w:val="center"/>
          </w:tcPr>
          <w:p w14:paraId="02F50D2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728342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7537D7E8">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14:paraId="71E7AEE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　</w:t>
            </w:r>
          </w:p>
        </w:tc>
        <w:tc>
          <w:tcPr>
            <w:tcW w:w="873" w:type="dxa"/>
            <w:shd w:val="clear" w:color="auto" w:fill="FFFFFF"/>
            <w:vAlign w:val="center"/>
          </w:tcPr>
          <w:p w14:paraId="48D0FBB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绩效目标</w:t>
            </w:r>
          </w:p>
          <w:p w14:paraId="243074A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000000" w:fill="FFFFFF"/>
            <w:vAlign w:val="center"/>
          </w:tcPr>
          <w:p w14:paraId="51DA649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项目所设定的绩效目标是否依据充分，是否符合客观实际，用以反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和考核项目绩效目标与项目实施的相符情况。</w:t>
            </w:r>
          </w:p>
        </w:tc>
        <w:tc>
          <w:tcPr>
            <w:tcW w:w="5198" w:type="dxa"/>
            <w:shd w:val="clear" w:color="000000" w:fill="FFFFFF"/>
            <w:vAlign w:val="center"/>
          </w:tcPr>
          <w:p w14:paraId="607AA649">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（如未设定预算绩效目标，也可考核其他工作任务目标）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①项目是否有绩效目标；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②项目绩效目标与实际工作内容是否具有相关性；</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③项目预期产出效益和效果是否符合正常的业绩水平；</w:t>
            </w:r>
          </w:p>
          <w:p w14:paraId="0757E1D7">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④是否与预算确定的项目投资额或资金量相匹配。</w:t>
            </w:r>
          </w:p>
        </w:tc>
        <w:tc>
          <w:tcPr>
            <w:tcW w:w="1300" w:type="dxa"/>
            <w:shd w:val="clear" w:color="000000" w:fill="FFFFFF"/>
            <w:vAlign w:val="center"/>
          </w:tcPr>
          <w:p w14:paraId="00EA231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14:paraId="08048CF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0876E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750E3952">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01AF4FC5">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1672C27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绩效指标</w:t>
            </w:r>
          </w:p>
          <w:p w14:paraId="4599F5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明确性</w:t>
            </w:r>
          </w:p>
        </w:tc>
        <w:tc>
          <w:tcPr>
            <w:tcW w:w="2353" w:type="dxa"/>
            <w:shd w:val="clear" w:color="000000" w:fill="FFFFFF"/>
            <w:vAlign w:val="center"/>
          </w:tcPr>
          <w:p w14:paraId="4B21889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依据绩效目标设定的绩效指标是否清晰、细化、可衡量等，用以反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和考核项目绩效目标的明细化情况。</w:t>
            </w:r>
          </w:p>
        </w:tc>
        <w:tc>
          <w:tcPr>
            <w:tcW w:w="5198" w:type="dxa"/>
            <w:shd w:val="clear" w:color="000000" w:fill="FFFFFF"/>
            <w:vAlign w:val="center"/>
          </w:tcPr>
          <w:p w14:paraId="0BD1F4B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①是否将项目绩效目标细化分解为具体的绩效指标；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②是否通过清晰、可衡量的指标值予以体现；</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③是否与项目目标任务数或计划数相对应。</w:t>
            </w:r>
            <w:r>
              <w:rPr>
                <w:rFonts w:hint="default" w:ascii="Times New Roman" w:hAnsi="Times New Roman" w:eastAsia="仿宋_GB2312" w:cs="Times New Roman"/>
                <w:color w:val="000000"/>
                <w:kern w:val="0"/>
                <w:sz w:val="22"/>
                <w:szCs w:val="22"/>
              </w:rPr>
              <w:br w:type="textWrapping"/>
            </w:r>
          </w:p>
        </w:tc>
        <w:tc>
          <w:tcPr>
            <w:tcW w:w="1300" w:type="dxa"/>
            <w:shd w:val="clear" w:color="000000" w:fill="FFFFFF"/>
            <w:vAlign w:val="center"/>
          </w:tcPr>
          <w:p w14:paraId="7B57DE2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3</w:t>
            </w:r>
          </w:p>
        </w:tc>
        <w:tc>
          <w:tcPr>
            <w:tcW w:w="1363" w:type="dxa"/>
            <w:shd w:val="clear" w:color="000000" w:fill="FFFFFF"/>
            <w:vAlign w:val="center"/>
          </w:tcPr>
          <w:p w14:paraId="4D18398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3</w:t>
            </w:r>
          </w:p>
        </w:tc>
      </w:tr>
      <w:tr w14:paraId="49DDA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363FC396">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14:paraId="6703216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资金投入</w:t>
            </w:r>
          </w:p>
          <w:p w14:paraId="31B23044">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14:paraId="6FF602E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预算编制</w:t>
            </w:r>
          </w:p>
          <w:p w14:paraId="4828F92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科学性</w:t>
            </w:r>
          </w:p>
        </w:tc>
        <w:tc>
          <w:tcPr>
            <w:tcW w:w="2353" w:type="dxa"/>
            <w:shd w:val="clear" w:color="auto" w:fill="FFFFFF"/>
            <w:vAlign w:val="center"/>
          </w:tcPr>
          <w:p w14:paraId="44B95E5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项目预算编制是否经过科学论证、有明确标准，资金额度与年度目标是否相适应，用以反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和考核项目预算编制的科学性、合理性情况。</w:t>
            </w:r>
          </w:p>
        </w:tc>
        <w:tc>
          <w:tcPr>
            <w:tcW w:w="5198" w:type="dxa"/>
            <w:shd w:val="clear" w:color="auto" w:fill="FFFFFF"/>
            <w:vAlign w:val="center"/>
          </w:tcPr>
          <w:p w14:paraId="0D13A01A">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①预算编制是否经过科学论证；</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②预算内容与项目内容是否匹配；</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③预算额度测算依据是否充分，是否按照标准编制；</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④预算确定的项目投资额或资金量是否与工作任务相匹配。</w:t>
            </w:r>
          </w:p>
        </w:tc>
        <w:tc>
          <w:tcPr>
            <w:tcW w:w="1300" w:type="dxa"/>
            <w:shd w:val="clear" w:color="auto" w:fill="FFFFFF"/>
            <w:vAlign w:val="center"/>
          </w:tcPr>
          <w:p w14:paraId="589749ED">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14:paraId="7DF5C794">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101FE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0B8C62BA">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261EC419">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15B1BD39">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资金分配</w:t>
            </w:r>
          </w:p>
          <w:p w14:paraId="0E56D57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合理性</w:t>
            </w:r>
          </w:p>
        </w:tc>
        <w:tc>
          <w:tcPr>
            <w:tcW w:w="2353" w:type="dxa"/>
            <w:shd w:val="clear" w:color="auto" w:fill="FFFFFF"/>
            <w:vAlign w:val="center"/>
          </w:tcPr>
          <w:p w14:paraId="786E39B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项目预算资金分配是否有测算依据，与补助单位或地方实际是否相适应，用以反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和考核项目预算资金分配的科学性、合理性情况。</w:t>
            </w:r>
          </w:p>
        </w:tc>
        <w:tc>
          <w:tcPr>
            <w:tcW w:w="5198" w:type="dxa"/>
            <w:shd w:val="clear" w:color="auto" w:fill="FFFFFF"/>
            <w:vAlign w:val="center"/>
          </w:tcPr>
          <w:p w14:paraId="4BE4DCD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①预算资金分配依据是否充分；</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②资金分配额度是否合理，与项目单位或地方实际是否相适应。</w:t>
            </w:r>
          </w:p>
        </w:tc>
        <w:tc>
          <w:tcPr>
            <w:tcW w:w="1300" w:type="dxa"/>
            <w:shd w:val="clear" w:color="auto" w:fill="FFFFFF"/>
            <w:vAlign w:val="center"/>
          </w:tcPr>
          <w:p w14:paraId="361FA5C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auto" w:fill="FFFFFF"/>
            <w:vAlign w:val="center"/>
          </w:tcPr>
          <w:p w14:paraId="58BA3F7A">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DDE19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50354993">
            <w:pPr>
              <w:spacing w:line="0" w:lineRule="atLeast"/>
              <w:jc w:val="center"/>
              <w:rPr>
                <w:rFonts w:hint="default" w:ascii="Times New Roman" w:hAnsi="Times New Roman" w:eastAsia="仿宋_GB2312" w:cs="Times New Roman"/>
                <w:color w:val="000000"/>
                <w:kern w:val="0"/>
                <w:sz w:val="22"/>
                <w:szCs w:val="22"/>
              </w:rPr>
            </w:pPr>
          </w:p>
          <w:p w14:paraId="5698F5E9">
            <w:pPr>
              <w:spacing w:line="0" w:lineRule="atLeast"/>
              <w:jc w:val="center"/>
              <w:rPr>
                <w:rFonts w:hint="default" w:ascii="Times New Roman" w:hAnsi="Times New Roman" w:eastAsia="仿宋_GB2312" w:cs="Times New Roman"/>
                <w:color w:val="000000"/>
                <w:kern w:val="0"/>
                <w:sz w:val="22"/>
                <w:szCs w:val="22"/>
              </w:rPr>
            </w:pPr>
          </w:p>
          <w:p w14:paraId="5A1D7424">
            <w:pPr>
              <w:spacing w:line="0" w:lineRule="atLeast"/>
              <w:jc w:val="center"/>
              <w:rPr>
                <w:rFonts w:hint="default" w:ascii="Times New Roman" w:hAnsi="Times New Roman" w:eastAsia="仿宋_GB2312" w:cs="Times New Roman"/>
                <w:color w:val="000000"/>
                <w:kern w:val="0"/>
                <w:sz w:val="22"/>
                <w:szCs w:val="22"/>
              </w:rPr>
            </w:pPr>
          </w:p>
          <w:p w14:paraId="040EC03A">
            <w:pPr>
              <w:spacing w:line="0" w:lineRule="atLeast"/>
              <w:jc w:val="center"/>
              <w:rPr>
                <w:rFonts w:hint="default" w:ascii="Times New Roman" w:hAnsi="Times New Roman" w:eastAsia="仿宋_GB2312" w:cs="Times New Roman"/>
                <w:color w:val="000000"/>
                <w:kern w:val="0"/>
                <w:sz w:val="22"/>
                <w:szCs w:val="22"/>
              </w:rPr>
            </w:pPr>
          </w:p>
          <w:p w14:paraId="44E45FCB">
            <w:pPr>
              <w:spacing w:line="0" w:lineRule="atLeast"/>
              <w:jc w:val="center"/>
              <w:rPr>
                <w:rFonts w:hint="default" w:ascii="Times New Roman" w:hAnsi="Times New Roman" w:eastAsia="仿宋_GB2312" w:cs="Times New Roman"/>
                <w:color w:val="000000"/>
                <w:kern w:val="0"/>
                <w:sz w:val="22"/>
                <w:szCs w:val="22"/>
              </w:rPr>
            </w:pPr>
          </w:p>
          <w:p w14:paraId="6341122A">
            <w:pPr>
              <w:spacing w:line="0" w:lineRule="atLeast"/>
              <w:jc w:val="center"/>
              <w:rPr>
                <w:rFonts w:hint="default" w:ascii="Times New Roman" w:hAnsi="Times New Roman" w:eastAsia="仿宋_GB2312" w:cs="Times New Roman"/>
                <w:color w:val="000000"/>
                <w:kern w:val="0"/>
                <w:sz w:val="22"/>
                <w:szCs w:val="22"/>
              </w:rPr>
            </w:pPr>
          </w:p>
          <w:p w14:paraId="6C11A783">
            <w:pPr>
              <w:spacing w:line="0" w:lineRule="atLeast"/>
              <w:jc w:val="center"/>
              <w:rPr>
                <w:rFonts w:hint="default" w:ascii="Times New Roman" w:hAnsi="Times New Roman" w:eastAsia="仿宋_GB2312" w:cs="Times New Roman"/>
                <w:color w:val="000000"/>
                <w:kern w:val="0"/>
                <w:sz w:val="22"/>
                <w:szCs w:val="22"/>
              </w:rPr>
            </w:pPr>
          </w:p>
          <w:p w14:paraId="431CEC79">
            <w:pPr>
              <w:spacing w:line="0" w:lineRule="atLeast"/>
              <w:jc w:val="center"/>
              <w:rPr>
                <w:rFonts w:hint="default" w:ascii="Times New Roman" w:hAnsi="Times New Roman" w:eastAsia="仿宋_GB2312" w:cs="Times New Roman"/>
                <w:color w:val="000000"/>
                <w:kern w:val="0"/>
                <w:sz w:val="22"/>
                <w:szCs w:val="22"/>
              </w:rPr>
            </w:pPr>
          </w:p>
          <w:p w14:paraId="5119F77D">
            <w:pPr>
              <w:spacing w:line="0" w:lineRule="atLeast"/>
              <w:jc w:val="center"/>
              <w:rPr>
                <w:rFonts w:hint="default" w:ascii="Times New Roman" w:hAnsi="Times New Roman" w:eastAsia="仿宋_GB2312" w:cs="Times New Roman"/>
                <w:color w:val="000000"/>
                <w:kern w:val="0"/>
                <w:sz w:val="22"/>
                <w:szCs w:val="22"/>
              </w:rPr>
            </w:pPr>
          </w:p>
          <w:p w14:paraId="4495C1C9">
            <w:pPr>
              <w:spacing w:line="0" w:lineRule="atLeast"/>
              <w:jc w:val="center"/>
              <w:rPr>
                <w:rFonts w:hint="default" w:ascii="Times New Roman" w:hAnsi="Times New Roman" w:eastAsia="仿宋_GB2312" w:cs="Times New Roman"/>
                <w:color w:val="000000"/>
                <w:kern w:val="0"/>
                <w:sz w:val="22"/>
                <w:szCs w:val="22"/>
              </w:rPr>
            </w:pPr>
          </w:p>
          <w:p w14:paraId="2FC8F926">
            <w:pPr>
              <w:spacing w:line="0" w:lineRule="atLeast"/>
              <w:jc w:val="center"/>
              <w:rPr>
                <w:rFonts w:hint="default" w:ascii="Times New Roman" w:hAnsi="Times New Roman" w:eastAsia="仿宋_GB2312" w:cs="Times New Roman"/>
                <w:color w:val="000000"/>
                <w:kern w:val="0"/>
                <w:sz w:val="22"/>
                <w:szCs w:val="22"/>
              </w:rPr>
            </w:pPr>
          </w:p>
          <w:p w14:paraId="1EF42081">
            <w:pPr>
              <w:spacing w:line="0" w:lineRule="atLeast"/>
              <w:jc w:val="center"/>
              <w:rPr>
                <w:rFonts w:hint="default" w:ascii="Times New Roman" w:hAnsi="Times New Roman" w:eastAsia="仿宋_GB2312" w:cs="Times New Roman"/>
                <w:color w:val="000000"/>
                <w:kern w:val="0"/>
                <w:sz w:val="22"/>
                <w:szCs w:val="22"/>
              </w:rPr>
            </w:pPr>
          </w:p>
          <w:p w14:paraId="71B6BEAC">
            <w:pPr>
              <w:spacing w:line="0" w:lineRule="atLeast"/>
              <w:jc w:val="center"/>
              <w:rPr>
                <w:rFonts w:hint="default" w:ascii="Times New Roman" w:hAnsi="Times New Roman" w:eastAsia="仿宋_GB2312" w:cs="Times New Roman"/>
                <w:color w:val="000000"/>
                <w:kern w:val="0"/>
                <w:sz w:val="22"/>
                <w:szCs w:val="22"/>
              </w:rPr>
            </w:pPr>
          </w:p>
          <w:p w14:paraId="5CDDDFA5">
            <w:pPr>
              <w:spacing w:line="0" w:lineRule="atLeast"/>
              <w:jc w:val="center"/>
              <w:rPr>
                <w:rFonts w:hint="default" w:ascii="Times New Roman" w:hAnsi="Times New Roman" w:eastAsia="仿宋_GB2312" w:cs="Times New Roman"/>
                <w:color w:val="000000"/>
                <w:kern w:val="0"/>
                <w:sz w:val="22"/>
                <w:szCs w:val="22"/>
              </w:rPr>
            </w:pPr>
          </w:p>
          <w:p w14:paraId="77614068">
            <w:pPr>
              <w:spacing w:line="0" w:lineRule="atLeast"/>
              <w:jc w:val="center"/>
              <w:rPr>
                <w:rFonts w:hint="default" w:ascii="Times New Roman" w:hAnsi="Times New Roman" w:eastAsia="仿宋_GB2312" w:cs="Times New Roman"/>
                <w:color w:val="000000"/>
                <w:kern w:val="0"/>
                <w:sz w:val="22"/>
                <w:szCs w:val="22"/>
              </w:rPr>
            </w:pPr>
          </w:p>
          <w:p w14:paraId="1225E203">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过程</w:t>
            </w:r>
          </w:p>
          <w:p w14:paraId="751A7CB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764" w:type="dxa"/>
            <w:vMerge w:val="restart"/>
            <w:shd w:val="clear" w:color="auto" w:fill="FFFFFF"/>
            <w:vAlign w:val="center"/>
          </w:tcPr>
          <w:p w14:paraId="6DDBEE2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14:paraId="7F72615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w:t>
            </w:r>
          </w:p>
        </w:tc>
        <w:tc>
          <w:tcPr>
            <w:tcW w:w="2353" w:type="dxa"/>
            <w:shd w:val="clear" w:color="000000" w:fill="FFFFFF"/>
            <w:vAlign w:val="center"/>
          </w:tcPr>
          <w:p w14:paraId="559ACADD">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实际到位资金与预算资金的比率，用以反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和考核资金落实情况对项目实施的总体保障程度。</w:t>
            </w:r>
          </w:p>
        </w:tc>
        <w:tc>
          <w:tcPr>
            <w:tcW w:w="5198" w:type="dxa"/>
            <w:shd w:val="clear" w:color="000000" w:fill="FFFFFF"/>
            <w:vAlign w:val="center"/>
          </w:tcPr>
          <w:p w14:paraId="267E7BB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资金到位率=（实际到位资金/预算资金）×100%。</w:t>
            </w:r>
          </w:p>
          <w:p w14:paraId="6A97F98F">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实际到位资金：一定时期（本年度或项目期）内落实到具体项目的资金。</w:t>
            </w:r>
          </w:p>
          <w:p w14:paraId="2A6A41A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预算资金：一定时期（本年度或项目期）内预算安排到具体项目的资金。</w:t>
            </w:r>
          </w:p>
        </w:tc>
        <w:tc>
          <w:tcPr>
            <w:tcW w:w="1300" w:type="dxa"/>
            <w:shd w:val="clear" w:color="000000" w:fill="FFFFFF"/>
            <w:vAlign w:val="center"/>
          </w:tcPr>
          <w:p w14:paraId="1ECFD92B">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31E95A61">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4A7B9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5A6AB01D">
            <w:pPr>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6CFEDB80">
            <w:pPr>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624A625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w:t>
            </w:r>
          </w:p>
        </w:tc>
        <w:tc>
          <w:tcPr>
            <w:tcW w:w="2353" w:type="dxa"/>
            <w:shd w:val="clear" w:color="auto" w:fill="FFFFFF"/>
            <w:vAlign w:val="center"/>
          </w:tcPr>
          <w:p w14:paraId="196CEA8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项目预算资金是否按照计划执行，用以反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或考核项目预算执行情况。</w:t>
            </w:r>
          </w:p>
        </w:tc>
        <w:tc>
          <w:tcPr>
            <w:tcW w:w="5198" w:type="dxa"/>
            <w:shd w:val="clear" w:color="auto" w:fill="FFFFFF"/>
            <w:vAlign w:val="center"/>
          </w:tcPr>
          <w:p w14:paraId="2AEFDD86">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预算执行率=（实际支出资金/实际到位资金）×100%。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实际支出资金：一定时期（本年度或项目期）内项目实际拨付的资金。</w:t>
            </w:r>
          </w:p>
        </w:tc>
        <w:tc>
          <w:tcPr>
            <w:tcW w:w="1300" w:type="dxa"/>
            <w:shd w:val="clear" w:color="auto" w:fill="FFFFFF"/>
            <w:vAlign w:val="center"/>
          </w:tcPr>
          <w:p w14:paraId="7D1C5AB1">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default" w:ascii="Times New Roman" w:hAnsi="Times New Roman" w:eastAsia="仿宋_GB2312" w:cs="Times New Roman"/>
                <w:b/>
                <w:bCs/>
                <w:color w:val="000000"/>
                <w:kern w:val="0"/>
                <w:sz w:val="22"/>
                <w:szCs w:val="22"/>
                <w:lang w:val="en-US" w:eastAsia="zh-CN"/>
              </w:rPr>
              <w:t>4</w:t>
            </w:r>
          </w:p>
        </w:tc>
        <w:tc>
          <w:tcPr>
            <w:tcW w:w="1363" w:type="dxa"/>
            <w:shd w:val="clear" w:color="auto" w:fill="FFFFFF"/>
            <w:vAlign w:val="center"/>
          </w:tcPr>
          <w:p w14:paraId="05EE6A24">
            <w:pPr>
              <w:widowControl/>
              <w:spacing w:line="0" w:lineRule="atLeast"/>
              <w:jc w:val="center"/>
              <w:rPr>
                <w:rFonts w:hint="default" w:ascii="Times New Roman" w:hAnsi="Times New Roman" w:eastAsia="仿宋_GB2312" w:cs="Times New Roman"/>
                <w:b/>
                <w:bCs/>
                <w:color w:val="000000"/>
                <w:kern w:val="0"/>
                <w:sz w:val="22"/>
                <w:szCs w:val="22"/>
                <w:lang w:val="en-US" w:eastAsia="zh-CN"/>
              </w:rPr>
            </w:pPr>
            <w:r>
              <w:rPr>
                <w:rFonts w:hint="eastAsia" w:eastAsia="仿宋_GB2312" w:cs="Times New Roman"/>
                <w:b/>
                <w:bCs/>
                <w:color w:val="000000"/>
                <w:kern w:val="0"/>
                <w:sz w:val="22"/>
                <w:szCs w:val="22"/>
                <w:lang w:val="en-US" w:eastAsia="zh-CN"/>
              </w:rPr>
              <w:t>4</w:t>
            </w:r>
          </w:p>
        </w:tc>
      </w:tr>
      <w:tr w14:paraId="1A720D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12481EE2">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0B029F2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资金管理</w:t>
            </w:r>
          </w:p>
        </w:tc>
        <w:tc>
          <w:tcPr>
            <w:tcW w:w="873" w:type="dxa"/>
            <w:shd w:val="clear" w:color="auto" w:fill="FFFFFF"/>
            <w:vAlign w:val="center"/>
          </w:tcPr>
          <w:p w14:paraId="597EFDEB">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资金使用</w:t>
            </w:r>
          </w:p>
          <w:p w14:paraId="5B74E0DF">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合规性</w:t>
            </w:r>
          </w:p>
        </w:tc>
        <w:tc>
          <w:tcPr>
            <w:tcW w:w="2353" w:type="dxa"/>
            <w:shd w:val="clear" w:color="000000" w:fill="FFFFFF"/>
            <w:vAlign w:val="center"/>
          </w:tcPr>
          <w:p w14:paraId="29912BE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项目资金使用是否符合相关的财务管理制度规定，用以反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和考核项目资金的规范运行情况。</w:t>
            </w:r>
          </w:p>
        </w:tc>
        <w:tc>
          <w:tcPr>
            <w:tcW w:w="5198" w:type="dxa"/>
            <w:shd w:val="clear" w:color="000000" w:fill="FFFFFF"/>
            <w:vAlign w:val="center"/>
          </w:tcPr>
          <w:p w14:paraId="023820EB">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①是否符合国家财经法规和财务管理制度以及有关专项资金管理办法的规定；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②资金的拨付是否有完整的审批程序和手续；</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③是否符合项目预算批复或合同规定的用途；</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④是否存在截留、挤占、挪用、虚列支出等情况。</w:t>
            </w:r>
          </w:p>
        </w:tc>
        <w:tc>
          <w:tcPr>
            <w:tcW w:w="1300" w:type="dxa"/>
            <w:shd w:val="clear" w:color="000000" w:fill="FFFFFF"/>
            <w:vAlign w:val="center"/>
          </w:tcPr>
          <w:p w14:paraId="328D6851">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409161CD">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BDBD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45A5793E">
            <w:pPr>
              <w:spacing w:line="0" w:lineRule="atLeast"/>
              <w:jc w:val="center"/>
              <w:rPr>
                <w:rFonts w:hint="default" w:ascii="Times New Roman" w:hAnsi="Times New Roman" w:eastAsia="仿宋_GB2312" w:cs="Times New Roman"/>
                <w:color w:val="000000"/>
                <w:kern w:val="0"/>
                <w:sz w:val="22"/>
                <w:szCs w:val="22"/>
              </w:rPr>
            </w:pPr>
          </w:p>
        </w:tc>
        <w:tc>
          <w:tcPr>
            <w:tcW w:w="764" w:type="dxa"/>
            <w:vMerge w:val="restart"/>
            <w:shd w:val="clear" w:color="auto" w:fill="FFFFFF"/>
            <w:vAlign w:val="center"/>
          </w:tcPr>
          <w:p w14:paraId="34E78C07">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组织实施</w:t>
            </w:r>
          </w:p>
          <w:p w14:paraId="4D257D37">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　</w:t>
            </w:r>
          </w:p>
        </w:tc>
        <w:tc>
          <w:tcPr>
            <w:tcW w:w="873" w:type="dxa"/>
            <w:shd w:val="clear" w:color="auto" w:fill="FFFFFF"/>
            <w:vAlign w:val="center"/>
          </w:tcPr>
          <w:p w14:paraId="287CA5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管理制度</w:t>
            </w:r>
          </w:p>
          <w:p w14:paraId="7FF878E2">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健全性</w:t>
            </w:r>
          </w:p>
        </w:tc>
        <w:tc>
          <w:tcPr>
            <w:tcW w:w="2353" w:type="dxa"/>
            <w:shd w:val="clear" w:color="000000" w:fill="FFFFFF"/>
            <w:vAlign w:val="center"/>
          </w:tcPr>
          <w:p w14:paraId="450D35E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项目实施单位的财务和业务管理制度是否健全，用以反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和考核财务和业务管理制度对项目顺利实施的保障情况。</w:t>
            </w:r>
          </w:p>
        </w:tc>
        <w:tc>
          <w:tcPr>
            <w:tcW w:w="5198" w:type="dxa"/>
            <w:shd w:val="clear" w:color="000000" w:fill="FFFFFF"/>
            <w:vAlign w:val="center"/>
          </w:tcPr>
          <w:p w14:paraId="719DAFF7">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①是否已制定或具有相应的财务和业务管理制度；</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②财务和业务管理制度是否合法、合规、完整。</w:t>
            </w:r>
          </w:p>
        </w:tc>
        <w:tc>
          <w:tcPr>
            <w:tcW w:w="1300" w:type="dxa"/>
            <w:shd w:val="clear" w:color="000000" w:fill="FFFFFF"/>
            <w:vAlign w:val="center"/>
          </w:tcPr>
          <w:p w14:paraId="4E101DAC">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5CBE0F60">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274D3B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71442512">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0F797378">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760931D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制度执行</w:t>
            </w:r>
          </w:p>
          <w:p w14:paraId="11A3D23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有效性</w:t>
            </w:r>
          </w:p>
        </w:tc>
        <w:tc>
          <w:tcPr>
            <w:tcW w:w="2353" w:type="dxa"/>
            <w:shd w:val="clear" w:color="000000" w:fill="FFFFFF"/>
            <w:vAlign w:val="center"/>
          </w:tcPr>
          <w:p w14:paraId="7D28618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项目实施是否符合相关管理规定，用以反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和考核相关管理制度的有效执行情况。</w:t>
            </w:r>
          </w:p>
        </w:tc>
        <w:tc>
          <w:tcPr>
            <w:tcW w:w="5198" w:type="dxa"/>
            <w:shd w:val="clear" w:color="000000" w:fill="FFFFFF"/>
            <w:vAlign w:val="center"/>
          </w:tcPr>
          <w:p w14:paraId="681BE1D9">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评价要点：</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①是否遵守相关法律法规和相关管理规定；</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②项目调整及支出调整手续是否完备；</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③项目合同书、验收报告、技术鉴定等资料是否齐全并及时归档；</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④项目实施的人员条件、场地设备、信息支撑等是否落实到位。</w:t>
            </w:r>
          </w:p>
        </w:tc>
        <w:tc>
          <w:tcPr>
            <w:tcW w:w="1300" w:type="dxa"/>
            <w:shd w:val="clear" w:color="000000" w:fill="FFFFFF"/>
            <w:vAlign w:val="center"/>
          </w:tcPr>
          <w:p w14:paraId="50EBD5B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4</w:t>
            </w:r>
          </w:p>
        </w:tc>
        <w:tc>
          <w:tcPr>
            <w:tcW w:w="1363" w:type="dxa"/>
            <w:shd w:val="clear" w:color="000000" w:fill="FFFFFF"/>
            <w:vAlign w:val="center"/>
          </w:tcPr>
          <w:p w14:paraId="6673DEAF">
            <w:pPr>
              <w:widowControl/>
              <w:spacing w:line="0" w:lineRule="atLeast"/>
              <w:jc w:val="center"/>
              <w:rPr>
                <w:rFonts w:hint="default" w:ascii="Times New Roman" w:hAnsi="Times New Roman" w:eastAsia="仿宋_GB2312" w:cs="Times New Roman"/>
                <w:b/>
                <w:bCs/>
                <w:color w:val="000000"/>
                <w:kern w:val="0"/>
                <w:sz w:val="22"/>
                <w:szCs w:val="22"/>
                <w:highlight w:val="none"/>
                <w:lang w:eastAsia="zh-CN"/>
              </w:rPr>
            </w:pPr>
            <w:r>
              <w:rPr>
                <w:rFonts w:hint="eastAsia" w:eastAsia="仿宋_GB2312" w:cs="Times New Roman"/>
                <w:b/>
                <w:bCs/>
                <w:color w:val="000000"/>
                <w:kern w:val="0"/>
                <w:sz w:val="22"/>
                <w:szCs w:val="22"/>
                <w:highlight w:val="none"/>
                <w:lang w:val="en-US" w:eastAsia="zh-CN"/>
              </w:rPr>
              <w:t>4</w:t>
            </w:r>
          </w:p>
        </w:tc>
      </w:tr>
      <w:tr w14:paraId="6ABCED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7D7746EA">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w:t>
            </w:r>
          </w:p>
        </w:tc>
        <w:tc>
          <w:tcPr>
            <w:tcW w:w="764" w:type="dxa"/>
            <w:shd w:val="clear" w:color="auto" w:fill="FFFFFF"/>
            <w:vAlign w:val="center"/>
          </w:tcPr>
          <w:p w14:paraId="3FB3CD0C">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产出数量</w:t>
            </w:r>
          </w:p>
        </w:tc>
        <w:tc>
          <w:tcPr>
            <w:tcW w:w="873" w:type="dxa"/>
            <w:shd w:val="clear" w:color="auto" w:fill="FFFFFF"/>
            <w:vAlign w:val="center"/>
          </w:tcPr>
          <w:p w14:paraId="5866E9F5">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w:t>
            </w:r>
          </w:p>
        </w:tc>
        <w:tc>
          <w:tcPr>
            <w:tcW w:w="2353" w:type="dxa"/>
            <w:shd w:val="clear" w:color="000000" w:fill="FFFFFF"/>
            <w:vAlign w:val="center"/>
          </w:tcPr>
          <w:p w14:paraId="5A78592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项目实施的实际产出数与计划产出数的比率，用以反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和考核项目产出数量目标的实现程度。</w:t>
            </w:r>
          </w:p>
        </w:tc>
        <w:tc>
          <w:tcPr>
            <w:tcW w:w="5198" w:type="dxa"/>
            <w:shd w:val="clear" w:color="000000" w:fill="FFFFFF"/>
            <w:vAlign w:val="center"/>
          </w:tcPr>
          <w:p w14:paraId="5B72BD62">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实际完成率=（实际产出数/计划产出数）×100%。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实际产出数：一定时期（本年度或项目期）内项目实际产出的产品或提供的服务数量。</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189DB9E5">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64EBFBE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8</w:t>
            </w:r>
          </w:p>
        </w:tc>
      </w:tr>
      <w:tr w14:paraId="1069D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5D20F991">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2695B35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产出质量</w:t>
            </w:r>
          </w:p>
        </w:tc>
        <w:tc>
          <w:tcPr>
            <w:tcW w:w="873" w:type="dxa"/>
            <w:shd w:val="clear" w:color="auto" w:fill="FFFFFF"/>
            <w:vAlign w:val="center"/>
          </w:tcPr>
          <w:p w14:paraId="4B998091">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达标率</w:t>
            </w:r>
          </w:p>
        </w:tc>
        <w:tc>
          <w:tcPr>
            <w:tcW w:w="2353" w:type="dxa"/>
            <w:shd w:val="clear" w:color="000000" w:fill="FFFFFF"/>
            <w:vAlign w:val="center"/>
          </w:tcPr>
          <w:p w14:paraId="1D12951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项目完成的质量达标产出数与实际产出数的比率，用以反</w:t>
            </w:r>
            <w:r>
              <w:rPr>
                <w:rFonts w:hint="eastAsia" w:eastAsia="仿宋_GB2312" w:cs="Times New Roman"/>
                <w:color w:val="000000"/>
                <w:kern w:val="0"/>
                <w:sz w:val="22"/>
                <w:szCs w:val="22"/>
                <w:lang w:eastAsia="zh-CN"/>
              </w:rPr>
              <w:t>映</w:t>
            </w:r>
            <w:r>
              <w:rPr>
                <w:rFonts w:hint="default" w:ascii="Times New Roman" w:hAnsi="Times New Roman" w:eastAsia="仿宋_GB2312" w:cs="Times New Roman"/>
                <w:color w:val="000000"/>
                <w:kern w:val="0"/>
                <w:sz w:val="22"/>
                <w:szCs w:val="22"/>
              </w:rPr>
              <w:t>和考核项目产出质量目标的实现程度。</w:t>
            </w:r>
          </w:p>
        </w:tc>
        <w:tc>
          <w:tcPr>
            <w:tcW w:w="5198" w:type="dxa"/>
            <w:shd w:val="clear" w:color="000000" w:fill="FFFFFF"/>
            <w:vAlign w:val="center"/>
          </w:tcPr>
          <w:p w14:paraId="5A72735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质量达标率=（质量达标产出数/实际产出数）×100%。</w:t>
            </w:r>
          </w:p>
          <w:p w14:paraId="1C9FA9B4">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7F1EE32F">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2268E354">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8</w:t>
            </w:r>
          </w:p>
        </w:tc>
      </w:tr>
      <w:tr w14:paraId="1B91F7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0BB051C7">
            <w:pPr>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490305B5">
            <w:pPr>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产出时效</w:t>
            </w:r>
          </w:p>
        </w:tc>
        <w:tc>
          <w:tcPr>
            <w:tcW w:w="873" w:type="dxa"/>
            <w:shd w:val="clear" w:color="auto" w:fill="FFFFFF"/>
            <w:vAlign w:val="center"/>
          </w:tcPr>
          <w:p w14:paraId="038EFFE4">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完成及时性</w:t>
            </w:r>
          </w:p>
        </w:tc>
        <w:tc>
          <w:tcPr>
            <w:tcW w:w="2353" w:type="dxa"/>
            <w:shd w:val="clear" w:color="000000" w:fill="FFFFFF"/>
            <w:vAlign w:val="center"/>
          </w:tcPr>
          <w:p w14:paraId="115606C1">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项目实际完成时间与计划完成时间的比较，用以</w:t>
            </w:r>
            <w:r>
              <w:rPr>
                <w:rFonts w:hint="eastAsia" w:eastAsia="仿宋_GB2312" w:cs="Times New Roman"/>
                <w:color w:val="000000"/>
                <w:kern w:val="0"/>
                <w:sz w:val="22"/>
                <w:szCs w:val="22"/>
                <w:lang w:eastAsia="zh-CN"/>
              </w:rPr>
              <w:t>反映</w:t>
            </w:r>
            <w:r>
              <w:rPr>
                <w:rFonts w:hint="default" w:ascii="Times New Roman" w:hAnsi="Times New Roman" w:eastAsia="仿宋_GB2312" w:cs="Times New Roman"/>
                <w:color w:val="000000"/>
                <w:kern w:val="0"/>
                <w:sz w:val="22"/>
                <w:szCs w:val="22"/>
              </w:rPr>
              <w:t>和考核项目产出时效目标的实现程度。</w:t>
            </w:r>
          </w:p>
        </w:tc>
        <w:tc>
          <w:tcPr>
            <w:tcW w:w="5198" w:type="dxa"/>
            <w:shd w:val="clear" w:color="000000" w:fill="FFFFFF"/>
            <w:vAlign w:val="center"/>
          </w:tcPr>
          <w:p w14:paraId="74AB4688">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实际完成时间：项目实施单位完成该项目实际所耗用的时间。</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计划完成时间：按照项目实施计划或相关规定完成该项目所需的时间。</w:t>
            </w:r>
          </w:p>
        </w:tc>
        <w:tc>
          <w:tcPr>
            <w:tcW w:w="1300" w:type="dxa"/>
            <w:shd w:val="clear" w:color="000000" w:fill="FFFFFF"/>
            <w:vAlign w:val="center"/>
          </w:tcPr>
          <w:p w14:paraId="55050F29">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0B92A52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8</w:t>
            </w:r>
          </w:p>
        </w:tc>
      </w:tr>
      <w:tr w14:paraId="6FC94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6BDA6929">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shd w:val="clear" w:color="auto" w:fill="FFFFFF"/>
            <w:vAlign w:val="center"/>
          </w:tcPr>
          <w:p w14:paraId="3A21D793">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产出成本</w:t>
            </w:r>
          </w:p>
        </w:tc>
        <w:tc>
          <w:tcPr>
            <w:tcW w:w="873" w:type="dxa"/>
            <w:shd w:val="clear" w:color="auto" w:fill="FFFFFF"/>
            <w:vAlign w:val="center"/>
          </w:tcPr>
          <w:p w14:paraId="2E63DB3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节约率</w:t>
            </w:r>
          </w:p>
        </w:tc>
        <w:tc>
          <w:tcPr>
            <w:tcW w:w="2353" w:type="dxa"/>
            <w:shd w:val="clear" w:color="000000" w:fill="FFFFFF"/>
            <w:vAlign w:val="center"/>
          </w:tcPr>
          <w:p w14:paraId="08DAE46E">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完成项目计划工作目标的实际节约成本与计划成本的比率，用以</w:t>
            </w:r>
            <w:r>
              <w:rPr>
                <w:rFonts w:hint="eastAsia" w:eastAsia="仿宋_GB2312" w:cs="Times New Roman"/>
                <w:color w:val="000000"/>
                <w:kern w:val="0"/>
                <w:sz w:val="22"/>
                <w:szCs w:val="22"/>
                <w:lang w:eastAsia="zh-CN"/>
              </w:rPr>
              <w:t>反映</w:t>
            </w:r>
            <w:r>
              <w:rPr>
                <w:rFonts w:hint="default" w:ascii="Times New Roman" w:hAnsi="Times New Roman" w:eastAsia="仿宋_GB2312" w:cs="Times New Roman"/>
                <w:color w:val="000000"/>
                <w:kern w:val="0"/>
                <w:sz w:val="22"/>
                <w:szCs w:val="22"/>
              </w:rPr>
              <w:t>和考核项目的成本节约程度。</w:t>
            </w:r>
          </w:p>
        </w:tc>
        <w:tc>
          <w:tcPr>
            <w:tcW w:w="5198" w:type="dxa"/>
            <w:shd w:val="clear" w:color="000000" w:fill="FFFFFF"/>
            <w:vAlign w:val="center"/>
          </w:tcPr>
          <w:p w14:paraId="606DE2F3">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成本节约率=[（计划成本-实际成本）/计划成本]×100%。</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实际成本：项目实施单位如期、保质、保量完成既定工作目标实际所耗费的支出。</w:t>
            </w:r>
            <w:r>
              <w:rPr>
                <w:rFonts w:hint="default" w:ascii="Times New Roman" w:hAnsi="Times New Roman" w:eastAsia="仿宋_GB2312" w:cs="Times New Roman"/>
                <w:color w:val="000000"/>
                <w:kern w:val="0"/>
                <w:sz w:val="22"/>
                <w:szCs w:val="22"/>
              </w:rPr>
              <w:br w:type="textWrapping"/>
            </w:r>
            <w:r>
              <w:rPr>
                <w:rFonts w:hint="default" w:ascii="Times New Roman" w:hAnsi="Times New Roman" w:eastAsia="仿宋_GB2312" w:cs="Times New Roman"/>
                <w:color w:val="000000"/>
                <w:kern w:val="0"/>
                <w:sz w:val="22"/>
                <w:szCs w:val="22"/>
              </w:rPr>
              <w:t>计划成本：项目实施单位为完成工作目标计划安排的支出，一般以项目预算为参考。</w:t>
            </w:r>
          </w:p>
        </w:tc>
        <w:tc>
          <w:tcPr>
            <w:tcW w:w="1300" w:type="dxa"/>
            <w:shd w:val="clear" w:color="000000" w:fill="FFFFFF"/>
            <w:vAlign w:val="center"/>
          </w:tcPr>
          <w:p w14:paraId="76F3B32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37E72628">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6E9CD0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75AAC5AE">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效益　</w:t>
            </w:r>
          </w:p>
        </w:tc>
        <w:tc>
          <w:tcPr>
            <w:tcW w:w="764" w:type="dxa"/>
            <w:vMerge w:val="restart"/>
            <w:shd w:val="clear" w:color="auto" w:fill="FFFFFF"/>
            <w:vAlign w:val="center"/>
          </w:tcPr>
          <w:p w14:paraId="09581AC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项目效益　</w:t>
            </w:r>
          </w:p>
        </w:tc>
        <w:tc>
          <w:tcPr>
            <w:tcW w:w="873" w:type="dxa"/>
            <w:shd w:val="clear" w:color="auto" w:fill="FFFFFF"/>
            <w:vAlign w:val="center"/>
          </w:tcPr>
          <w:p w14:paraId="114F4666">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实施效益</w:t>
            </w:r>
          </w:p>
        </w:tc>
        <w:tc>
          <w:tcPr>
            <w:tcW w:w="2353" w:type="dxa"/>
            <w:shd w:val="clear" w:color="auto" w:fill="FFFFFF"/>
            <w:vAlign w:val="center"/>
          </w:tcPr>
          <w:p w14:paraId="4F78C8BA">
            <w:pPr>
              <w:widowControl/>
              <w:spacing w:line="0" w:lineRule="atLeast"/>
              <w:jc w:val="lef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项目实施所产生的效益。</w:t>
            </w:r>
          </w:p>
        </w:tc>
        <w:tc>
          <w:tcPr>
            <w:tcW w:w="5198" w:type="dxa"/>
            <w:shd w:val="clear" w:color="auto" w:fill="FFFFFF"/>
            <w:vAlign w:val="center"/>
          </w:tcPr>
          <w:p w14:paraId="33153C45">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372AE098">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auto" w:fill="FFFFFF"/>
            <w:vAlign w:val="center"/>
          </w:tcPr>
          <w:p w14:paraId="089CE8D9">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r w14:paraId="359CF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23202AC3">
            <w:pPr>
              <w:widowControl/>
              <w:spacing w:line="0" w:lineRule="atLeast"/>
              <w:jc w:val="center"/>
              <w:rPr>
                <w:rFonts w:hint="default" w:ascii="Times New Roman" w:hAnsi="Times New Roman" w:eastAsia="仿宋_GB2312" w:cs="Times New Roman"/>
                <w:color w:val="000000"/>
                <w:kern w:val="0"/>
                <w:sz w:val="22"/>
                <w:szCs w:val="22"/>
              </w:rPr>
            </w:pPr>
          </w:p>
        </w:tc>
        <w:tc>
          <w:tcPr>
            <w:tcW w:w="764" w:type="dxa"/>
            <w:vMerge w:val="continue"/>
            <w:shd w:val="clear" w:color="auto" w:fill="FFFFFF"/>
            <w:vAlign w:val="center"/>
          </w:tcPr>
          <w:p w14:paraId="78619486">
            <w:pPr>
              <w:widowControl/>
              <w:spacing w:line="0" w:lineRule="atLeast"/>
              <w:jc w:val="center"/>
              <w:rPr>
                <w:rFonts w:hint="default" w:ascii="Times New Roman" w:hAnsi="Times New Roman" w:eastAsia="仿宋_GB2312" w:cs="Times New Roman"/>
                <w:color w:val="000000"/>
                <w:kern w:val="0"/>
                <w:sz w:val="22"/>
                <w:szCs w:val="22"/>
              </w:rPr>
            </w:pPr>
          </w:p>
        </w:tc>
        <w:tc>
          <w:tcPr>
            <w:tcW w:w="873" w:type="dxa"/>
            <w:shd w:val="clear" w:color="auto" w:fill="FFFFFF"/>
            <w:vAlign w:val="center"/>
          </w:tcPr>
          <w:p w14:paraId="6E0ED120">
            <w:pPr>
              <w:widowControl/>
              <w:spacing w:line="0" w:lineRule="atLeast"/>
              <w:jc w:val="center"/>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满意度</w:t>
            </w:r>
          </w:p>
        </w:tc>
        <w:tc>
          <w:tcPr>
            <w:tcW w:w="2353" w:type="dxa"/>
            <w:shd w:val="clear" w:color="000000" w:fill="FFFFFF"/>
            <w:vAlign w:val="center"/>
          </w:tcPr>
          <w:p w14:paraId="68034380">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社会公众或服务对象对项目实施效果的满意程度。</w:t>
            </w:r>
          </w:p>
        </w:tc>
        <w:tc>
          <w:tcPr>
            <w:tcW w:w="5198" w:type="dxa"/>
            <w:shd w:val="clear" w:color="000000" w:fill="FFFFFF"/>
            <w:vAlign w:val="center"/>
          </w:tcPr>
          <w:p w14:paraId="4DC3A9AC">
            <w:pPr>
              <w:widowControl/>
              <w:spacing w:line="0" w:lineRule="atLeast"/>
              <w:rPr>
                <w:rFonts w:hint="default" w:ascii="Times New Roman" w:hAnsi="Times New Roman" w:eastAsia="仿宋_GB2312" w:cs="Times New Roman"/>
                <w:color w:val="000000"/>
                <w:kern w:val="0"/>
                <w:sz w:val="22"/>
                <w:szCs w:val="22"/>
              </w:rPr>
            </w:pPr>
            <w:r>
              <w:rPr>
                <w:rFonts w:hint="default" w:ascii="Times New Roman" w:hAnsi="Times New Roman" w:eastAsia="仿宋_GB2312" w:cs="Times New Roman"/>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4F07A2E">
            <w:pPr>
              <w:widowControl/>
              <w:spacing w:line="0" w:lineRule="atLeast"/>
              <w:jc w:val="center"/>
              <w:rPr>
                <w:rFonts w:hint="default" w:ascii="Times New Roman" w:hAnsi="Times New Roman" w:eastAsia="仿宋_GB2312" w:cs="Times New Roman"/>
                <w:b/>
                <w:bCs/>
                <w:color w:val="000000"/>
                <w:kern w:val="0"/>
                <w:sz w:val="22"/>
                <w:szCs w:val="22"/>
              </w:rPr>
            </w:pPr>
            <w:r>
              <w:rPr>
                <w:rFonts w:hint="default" w:ascii="Times New Roman" w:hAnsi="Times New Roman" w:eastAsia="仿宋_GB2312" w:cs="Times New Roman"/>
                <w:b/>
                <w:bCs/>
                <w:color w:val="000000"/>
                <w:kern w:val="0"/>
                <w:sz w:val="22"/>
                <w:szCs w:val="22"/>
              </w:rPr>
              <w:t>10</w:t>
            </w:r>
          </w:p>
        </w:tc>
        <w:tc>
          <w:tcPr>
            <w:tcW w:w="1363" w:type="dxa"/>
            <w:shd w:val="clear" w:color="000000" w:fill="FFFFFF"/>
            <w:vAlign w:val="center"/>
          </w:tcPr>
          <w:p w14:paraId="50D72D77">
            <w:pPr>
              <w:widowControl/>
              <w:spacing w:line="0" w:lineRule="atLeast"/>
              <w:jc w:val="center"/>
              <w:rPr>
                <w:rFonts w:hint="default" w:ascii="Times New Roman" w:hAnsi="Times New Roman" w:eastAsia="仿宋_GB2312" w:cs="Times New Roman"/>
                <w:b/>
                <w:bCs/>
                <w:color w:val="000000"/>
                <w:kern w:val="0"/>
                <w:sz w:val="22"/>
                <w:szCs w:val="22"/>
                <w:highlight w:val="none"/>
                <w:lang w:val="en-US" w:eastAsia="zh-CN"/>
              </w:rPr>
            </w:pPr>
            <w:r>
              <w:rPr>
                <w:rFonts w:hint="eastAsia" w:eastAsia="仿宋_GB2312" w:cs="Times New Roman"/>
                <w:b/>
                <w:bCs/>
                <w:color w:val="000000"/>
                <w:kern w:val="0"/>
                <w:sz w:val="22"/>
                <w:szCs w:val="22"/>
                <w:highlight w:val="none"/>
                <w:lang w:val="en-US" w:eastAsia="zh-CN"/>
              </w:rPr>
              <w:t>10</w:t>
            </w:r>
          </w:p>
        </w:tc>
      </w:tr>
    </w:tbl>
    <w:p w14:paraId="6C5C98EE">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3239850-6929-4ECD-9EB0-1FE58161C51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ADE0DB22-0564-429A-8E2D-9C84CC5C10B3}"/>
  </w:font>
  <w:font w:name="仿宋_GB2312">
    <w:panose1 w:val="02010609030101010101"/>
    <w:charset w:val="86"/>
    <w:family w:val="modern"/>
    <w:pitch w:val="default"/>
    <w:sig w:usb0="00000001" w:usb1="080E0000" w:usb2="00000000" w:usb3="00000000" w:csb0="00040000" w:csb1="00000000"/>
    <w:embedRegular r:id="rId3" w:fontKey="{F2CBDD68-B612-4759-9D2A-C8A265032FCE}"/>
  </w:font>
  <w:font w:name="Calibri Light">
    <w:altName w:val="Calibri"/>
    <w:panose1 w:val="020F0302020204030204"/>
    <w:charset w:val="00"/>
    <w:family w:val="swiss"/>
    <w:pitch w:val="default"/>
    <w:sig w:usb0="00000000" w:usb1="00000000" w:usb2="00000000" w:usb3="00000000" w:csb0="2000019F" w:csb1="00000000"/>
  </w:font>
  <w:font w:name="华文中宋">
    <w:panose1 w:val="02010600040101010101"/>
    <w:charset w:val="86"/>
    <w:family w:val="auto"/>
    <w:pitch w:val="default"/>
    <w:sig w:usb0="00000287" w:usb1="080F0000" w:usb2="00000000" w:usb3="00000000" w:csb0="0004009F" w:csb1="DFD70000"/>
    <w:embedRegular r:id="rId4" w:fontKey="{01CBABCC-9CE7-47D4-A5B1-CD06E2CD8BDB}"/>
  </w:font>
  <w:font w:name="方正小标宋_GBK">
    <w:panose1 w:val="02000000000000000000"/>
    <w:charset w:val="86"/>
    <w:family w:val="script"/>
    <w:pitch w:val="default"/>
    <w:sig w:usb0="A00002BF" w:usb1="38CF7CFA" w:usb2="00082016" w:usb3="00000000" w:csb0="00040001" w:csb1="00000000"/>
    <w:embedRegular r:id="rId5" w:fontKey="{4874746C-BD27-4999-B5BE-691FA7B2490A}"/>
  </w:font>
  <w:font w:name="楷体">
    <w:panose1 w:val="02010609060101010101"/>
    <w:charset w:val="86"/>
    <w:family w:val="modern"/>
    <w:pitch w:val="default"/>
    <w:sig w:usb0="800002BF" w:usb1="38CF7CFA" w:usb2="00000016" w:usb3="00000000" w:csb0="00040001" w:csb1="00000000"/>
    <w:embedRegular r:id="rId6" w:fontKey="{110DC66A-A468-4EC3-8013-E1D54214209A}"/>
  </w:font>
  <w:font w:name="方正仿宋_GBK">
    <w:panose1 w:val="02000000000000000000"/>
    <w:charset w:val="86"/>
    <w:family w:val="auto"/>
    <w:pitch w:val="default"/>
    <w:sig w:usb0="A00002BF" w:usb1="38CF7CFA" w:usb2="00082016" w:usb3="00000000" w:csb0="00040001" w:csb1="00000000"/>
    <w:embedRegular r:id="rId7" w:fontKey="{DDEE83B9-B322-4DCB-8204-7CB413A4EF45}"/>
  </w:font>
  <w:font w:name="仿宋">
    <w:panose1 w:val="02010609060101010101"/>
    <w:charset w:val="86"/>
    <w:family w:val="auto"/>
    <w:pitch w:val="default"/>
    <w:sig w:usb0="800002BF" w:usb1="38CF7CFA" w:usb2="00000016" w:usb3="00000000" w:csb0="00040001" w:csb1="00000000"/>
    <w:embedRegular r:id="rId8" w:fontKey="{9A5B1399-08B9-44FD-A49F-7C410847696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72F516E">
        <w:pPr>
          <w:pStyle w:val="8"/>
          <w:jc w:val="center"/>
        </w:pPr>
        <w:r>
          <w:fldChar w:fldCharType="begin"/>
        </w:r>
        <w:r>
          <w:instrText xml:space="preserve">PAGE   \* MERGEFORMAT</w:instrText>
        </w:r>
        <w:r>
          <w:fldChar w:fldCharType="separate"/>
        </w:r>
        <w:r>
          <w:rPr>
            <w:lang w:val="zh-CN"/>
          </w:rPr>
          <w:t>13</w:t>
        </w:r>
        <w:r>
          <w:fldChar w:fldCharType="end"/>
        </w:r>
      </w:p>
    </w:sdtContent>
  </w:sdt>
  <w:p w14:paraId="6FF0FBB8">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4A35B86"/>
    <w:multiLevelType w:val="singleLevel"/>
    <w:tmpl w:val="24A35B86"/>
    <w:lvl w:ilvl="0" w:tentative="0">
      <w:start w:val="6"/>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53C532CA"/>
    <w:multiLevelType w:val="singleLevel"/>
    <w:tmpl w:val="53C532CA"/>
    <w:lvl w:ilvl="0" w:tentative="0">
      <w:start w:val="2"/>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RhNzIwMTU3YTRiZGFmNmQzZjIzZGVlNTEwZTE2MjkifQ=="/>
  </w:docVars>
  <w:rsids>
    <w:rsidRoot w:val="FF6C4049"/>
    <w:rsid w:val="003229E9"/>
    <w:rsid w:val="006F7242"/>
    <w:rsid w:val="007B168A"/>
    <w:rsid w:val="007D22FF"/>
    <w:rsid w:val="008B2CFE"/>
    <w:rsid w:val="00F26FF6"/>
    <w:rsid w:val="0176587A"/>
    <w:rsid w:val="019B252A"/>
    <w:rsid w:val="01C72A54"/>
    <w:rsid w:val="02912B77"/>
    <w:rsid w:val="03F57C1D"/>
    <w:rsid w:val="048C0C43"/>
    <w:rsid w:val="05C52C76"/>
    <w:rsid w:val="07397B77"/>
    <w:rsid w:val="0E070702"/>
    <w:rsid w:val="0F9D7CB6"/>
    <w:rsid w:val="103F5667"/>
    <w:rsid w:val="10D35617"/>
    <w:rsid w:val="13471461"/>
    <w:rsid w:val="13B90F01"/>
    <w:rsid w:val="152A2FC5"/>
    <w:rsid w:val="15FE59C0"/>
    <w:rsid w:val="169D32E4"/>
    <w:rsid w:val="181066D2"/>
    <w:rsid w:val="1B123FFB"/>
    <w:rsid w:val="1B170CEE"/>
    <w:rsid w:val="1C671E73"/>
    <w:rsid w:val="1C723F4C"/>
    <w:rsid w:val="2101123C"/>
    <w:rsid w:val="212C3E79"/>
    <w:rsid w:val="215432E1"/>
    <w:rsid w:val="21880456"/>
    <w:rsid w:val="257C20CD"/>
    <w:rsid w:val="274F0D9D"/>
    <w:rsid w:val="282B16BA"/>
    <w:rsid w:val="28D42F6F"/>
    <w:rsid w:val="2A24276F"/>
    <w:rsid w:val="2AA8477A"/>
    <w:rsid w:val="2AC00851"/>
    <w:rsid w:val="2B292930"/>
    <w:rsid w:val="2C1A0FAF"/>
    <w:rsid w:val="2DCC5C81"/>
    <w:rsid w:val="30E013FA"/>
    <w:rsid w:val="319A5A46"/>
    <w:rsid w:val="342B029F"/>
    <w:rsid w:val="35C97442"/>
    <w:rsid w:val="36D66653"/>
    <w:rsid w:val="38844396"/>
    <w:rsid w:val="38CA40DD"/>
    <w:rsid w:val="395F2B56"/>
    <w:rsid w:val="3ADB186E"/>
    <w:rsid w:val="3BECE841"/>
    <w:rsid w:val="3CFB42C2"/>
    <w:rsid w:val="3D2E4DE1"/>
    <w:rsid w:val="3D976B76"/>
    <w:rsid w:val="3DE77067"/>
    <w:rsid w:val="3EE143F0"/>
    <w:rsid w:val="3F1D27AA"/>
    <w:rsid w:val="3F3C7A12"/>
    <w:rsid w:val="3F8D7BE1"/>
    <w:rsid w:val="3FD1331E"/>
    <w:rsid w:val="3FF7797D"/>
    <w:rsid w:val="41A30600"/>
    <w:rsid w:val="43D45DC7"/>
    <w:rsid w:val="444617EA"/>
    <w:rsid w:val="447B120C"/>
    <w:rsid w:val="48772A9D"/>
    <w:rsid w:val="4A185268"/>
    <w:rsid w:val="4B46011E"/>
    <w:rsid w:val="4C68609F"/>
    <w:rsid w:val="51AC7E11"/>
    <w:rsid w:val="51F119DA"/>
    <w:rsid w:val="536D51C6"/>
    <w:rsid w:val="56EC171F"/>
    <w:rsid w:val="56F42753"/>
    <w:rsid w:val="59DA0B7E"/>
    <w:rsid w:val="5A7C7147"/>
    <w:rsid w:val="5B0A3B5C"/>
    <w:rsid w:val="5BFF6039"/>
    <w:rsid w:val="5CEC7901"/>
    <w:rsid w:val="5D435C2E"/>
    <w:rsid w:val="5D76A616"/>
    <w:rsid w:val="5D7F20B9"/>
    <w:rsid w:val="5DAC7D0E"/>
    <w:rsid w:val="5DC73909"/>
    <w:rsid w:val="5EB92159"/>
    <w:rsid w:val="5F98B5AF"/>
    <w:rsid w:val="5FAC55E5"/>
    <w:rsid w:val="5FFB04E3"/>
    <w:rsid w:val="5FFE8511"/>
    <w:rsid w:val="5FFEACE2"/>
    <w:rsid w:val="61ED2899"/>
    <w:rsid w:val="61F9558D"/>
    <w:rsid w:val="643EE26D"/>
    <w:rsid w:val="64445C77"/>
    <w:rsid w:val="651B5F9F"/>
    <w:rsid w:val="654F1AD9"/>
    <w:rsid w:val="65582CEE"/>
    <w:rsid w:val="66A701EF"/>
    <w:rsid w:val="686B7F96"/>
    <w:rsid w:val="68A52A0C"/>
    <w:rsid w:val="69B314D9"/>
    <w:rsid w:val="6C38270C"/>
    <w:rsid w:val="6CDB599A"/>
    <w:rsid w:val="6E7C2560"/>
    <w:rsid w:val="6F5C41AC"/>
    <w:rsid w:val="6FAF6C78"/>
    <w:rsid w:val="7317C656"/>
    <w:rsid w:val="734ED73F"/>
    <w:rsid w:val="735B7E97"/>
    <w:rsid w:val="739A2D02"/>
    <w:rsid w:val="74743400"/>
    <w:rsid w:val="772B5869"/>
    <w:rsid w:val="77FD8BE9"/>
    <w:rsid w:val="78494A0E"/>
    <w:rsid w:val="79723493"/>
    <w:rsid w:val="799D6F4C"/>
    <w:rsid w:val="79A9BD3F"/>
    <w:rsid w:val="7A3E2CE4"/>
    <w:rsid w:val="7BFFFDD0"/>
    <w:rsid w:val="7C336E5F"/>
    <w:rsid w:val="7C8B03FC"/>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outlineLvl w:val="0"/>
    </w:pPr>
    <w:rPr>
      <w:rFonts w:ascii="仿宋_GB2312" w:hAnsi="仿宋_GB2312" w:eastAsia="黑体" w:cs="黑体"/>
      <w:kern w:val="44"/>
      <w:szCs w:val="3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5">
    <w:name w:val="annotation text"/>
    <w:basedOn w:val="1"/>
    <w:link w:val="23"/>
    <w:qFormat/>
    <w:uiPriority w:val="0"/>
    <w:pPr>
      <w:jc w:val="left"/>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Subtitle"/>
    <w:basedOn w:val="1"/>
    <w:next w:val="1"/>
    <w:qFormat/>
    <w:uiPriority w:val="11"/>
    <w:pPr>
      <w:spacing w:before="240" w:after="60" w:line="312" w:lineRule="auto"/>
      <w:jc w:val="center"/>
      <w:outlineLvl w:val="1"/>
    </w:pPr>
    <w:rPr>
      <w:b/>
      <w:bCs/>
      <w:kern w:val="28"/>
      <w:sz w:val="32"/>
      <w:szCs w:val="32"/>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annotation subject"/>
    <w:basedOn w:val="5"/>
    <w:next w:val="5"/>
    <w:link w:val="24"/>
    <w:qFormat/>
    <w:uiPriority w:val="0"/>
    <w:rPr>
      <w:b/>
      <w:bCs/>
    </w:rPr>
  </w:style>
  <w:style w:type="paragraph" w:styleId="13">
    <w:name w:val="Body Text First Indent"/>
    <w:basedOn w:val="2"/>
    <w:qFormat/>
    <w:uiPriority w:val="0"/>
    <w:pPr>
      <w:spacing w:after="0"/>
      <w:ind w:firstLine="200" w:firstLineChars="200"/>
    </w:pPr>
  </w:style>
  <w:style w:type="paragraph" w:styleId="14">
    <w:name w:val="Body Text First Indent 2"/>
    <w:basedOn w:val="6"/>
    <w:qFormat/>
    <w:uiPriority w:val="0"/>
    <w:pPr>
      <w:ind w:firstLine="42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2"/>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10573</Words>
  <Characters>10959</Characters>
  <Lines>58</Lines>
  <Paragraphs>16</Paragraphs>
  <TotalTime>43</TotalTime>
  <ScaleCrop>false</ScaleCrop>
  <LinksUpToDate>false</LinksUpToDate>
  <CharactersWithSpaces>10983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cp:lastPrinted>2025-07-01T10:24:59Z</cp:lastPrinted>
  <dcterms:modified xsi:type="dcterms:W3CDTF">2025-07-01T10:26:34Z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66FF0395377F4040AC679B57473C612E_13</vt:lpwstr>
  </property>
</Properties>
</file>