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8"/>
          <w:szCs w:val="48"/>
          <w:lang w:val="en-US" w:eastAsia="zh-CN"/>
        </w:rPr>
        <w:t>东天山生态旅游景区建设项目</w:t>
      </w:r>
      <w:r>
        <w:rPr>
          <w:rFonts w:hint="eastAsia" w:ascii="方正小标宋简体" w:hAnsi="方正小标宋简体" w:eastAsia="方正小标宋简体" w:cs="方正小标宋简体"/>
          <w:kern w:val="0"/>
          <w:sz w:val="48"/>
          <w:szCs w:val="48"/>
        </w:rPr>
        <w:t>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jc w:val="both"/>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东天山生态旅游景区建设项目</w:t>
      </w:r>
    </w:p>
    <w:p>
      <w:pPr>
        <w:spacing w:line="700" w:lineRule="exact"/>
        <w:jc w:val="both"/>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哈密市文化体育广播电视和旅游局</w:t>
      </w:r>
    </w:p>
    <w:p>
      <w:pPr>
        <w:spacing w:line="700" w:lineRule="exact"/>
        <w:jc w:val="both"/>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哈密市文化体育广播电视和旅游局</w:t>
      </w:r>
    </w:p>
    <w:p>
      <w:pPr>
        <w:spacing w:line="700" w:lineRule="exact"/>
        <w:jc w:val="both"/>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沙静雯</w:t>
      </w:r>
    </w:p>
    <w:p>
      <w:pPr>
        <w:spacing w:line="700" w:lineRule="exact"/>
        <w:jc w:val="both"/>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为</w:t>
      </w:r>
      <w:r>
        <w:rPr>
          <w:rFonts w:hint="default" w:ascii="Times New Roman" w:hAnsi="Times New Roman" w:eastAsia="仿宋_GB2312" w:cs="Times New Roman"/>
          <w:sz w:val="32"/>
          <w:szCs w:val="32"/>
        </w:rPr>
        <w:t>切实推进哈密市旅游高质量发展，着力打造新疆“十四五”期间新的旅游文化中心、游客集散中心，让哈密成为游客畅游大美新疆的新向往。</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随着生活条件的改善，旅游日益成为老百姓的一种常态化生活方式，成为“美好生活”重要组成部分，旅游消费已</w:t>
      </w:r>
      <w:r>
        <w:rPr>
          <w:rFonts w:hint="eastAsia" w:eastAsia="仿宋_GB2312" w:cs="Times New Roman"/>
          <w:sz w:val="32"/>
          <w:szCs w:val="32"/>
          <w:lang w:eastAsia="zh-CN"/>
        </w:rPr>
        <w:t>进入</w:t>
      </w:r>
      <w:r>
        <w:rPr>
          <w:rFonts w:hint="default" w:ascii="Times New Roman" w:hAnsi="Times New Roman" w:eastAsia="仿宋_GB2312" w:cs="Times New Roman"/>
          <w:sz w:val="32"/>
          <w:szCs w:val="32"/>
        </w:rPr>
        <w:t>大众旅游时代。据统计，2018年，全国国内旅游达到55.39亿人次，加上出境旅游，城乡居民人均出游率已经达到4.1次。旅游业具有“软硬兼备、融合度高、覆盖面广、拉动力强”等特点，在拉动内需、调整产业结构、增加就业等方面发挥着越来越显著的作用，成为推动经济社会发展的重要抓手，成为国民经济支柱产业。</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凭借着得天独厚的资源优势，近年来新疆旅游业发展呈持续快速发展态势。据统计，2018年全区累计接待游客数量突破1.5亿人次，增长率40.2%，旅游收入接近2600亿元，增长率达41.6%。新疆成为我国旅游人数增长最快的旅游目的地，也是国内热点旅游目的地之一。</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计划进行（1）改造项目：包括消防设施维修改造、电路维修；暖气更新改造；新增独立水源；新建污水池，共计35万元；（2）新建项目：包括滑雪场夜场亮化工程；增设索道观光平台，林间的防护设施，游步道；修建松树塘滑雪场工具用房，共计215万元；新增给排水、电管网，配电箱，蓄水池供水管网，水井改造；新建两条80米游乐滑道，并购置安装相关附属设施；新增鹿园观赏区，共计55万元；（3）采购项目：包括雪具大厅自动售票机4台、雪鞋雪板、头盔、护目镜、雪鞋烘干机、修板打蜡设备（全套）等；雪具大厅收银系统升级；采购四季全地形游乐坦克、雪地碰碰车、无轨道小火车、多彩雪地滚筒等游乐设备设施；采购夏季露营地移动地台、桌椅等设施设备；采购造雪水管、储物柜等，共计95万元，合计400万元。</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东天山生态旅游景区</w:t>
      </w:r>
      <w:r>
        <w:rPr>
          <w:rFonts w:hint="eastAsia" w:eastAsia="仿宋_GB2312" w:cs="Times New Roman"/>
          <w:sz w:val="32"/>
          <w:szCs w:val="32"/>
          <w:lang w:val="en-US" w:eastAsia="zh-CN"/>
        </w:rPr>
        <w:t>建设项目</w:t>
      </w:r>
      <w:r>
        <w:rPr>
          <w:rFonts w:hint="default" w:ascii="Times New Roman" w:hAnsi="Times New Roman" w:eastAsia="仿宋_GB2312" w:cs="Times New Roman"/>
          <w:sz w:val="32"/>
          <w:szCs w:val="32"/>
          <w:lang w:val="en-US" w:eastAsia="zh-CN"/>
        </w:rPr>
        <w:t>2023年总预算资金</w:t>
      </w:r>
      <w:r>
        <w:rPr>
          <w:rFonts w:hint="eastAsia" w:eastAsia="仿宋_GB2312" w:cs="Times New Roman"/>
          <w:sz w:val="32"/>
          <w:szCs w:val="32"/>
          <w:lang w:val="en-US" w:eastAsia="zh-CN"/>
        </w:rPr>
        <w:t>400</w:t>
      </w:r>
      <w:r>
        <w:rPr>
          <w:rFonts w:hint="default" w:ascii="Times New Roman" w:hAnsi="Times New Roman" w:eastAsia="仿宋_GB2312" w:cs="Times New Roman"/>
          <w:sz w:val="32"/>
          <w:szCs w:val="32"/>
          <w:lang w:val="en-US" w:eastAsia="zh-CN"/>
        </w:rPr>
        <w:t>万元，项目资金为</w:t>
      </w:r>
      <w:r>
        <w:rPr>
          <w:rFonts w:hint="eastAsia" w:eastAsia="仿宋_GB2312" w:cs="Times New Roman"/>
          <w:sz w:val="32"/>
          <w:szCs w:val="32"/>
          <w:lang w:val="en-US" w:eastAsia="zh-CN"/>
        </w:rPr>
        <w:t>市本级</w:t>
      </w:r>
      <w:r>
        <w:rPr>
          <w:rFonts w:hint="default" w:ascii="Times New Roman" w:hAnsi="Times New Roman" w:eastAsia="仿宋_GB2312" w:cs="Times New Roman"/>
          <w:sz w:val="32"/>
          <w:szCs w:val="32"/>
          <w:lang w:val="en-US" w:eastAsia="zh-CN"/>
        </w:rPr>
        <w:t>财政资金，项目资金到位数</w:t>
      </w:r>
      <w:r>
        <w:rPr>
          <w:rFonts w:hint="eastAsia" w:eastAsia="仿宋_GB2312" w:cs="Times New Roman"/>
          <w:sz w:val="32"/>
          <w:szCs w:val="32"/>
          <w:lang w:val="en-US" w:eastAsia="zh-CN"/>
        </w:rPr>
        <w:t>400</w:t>
      </w:r>
      <w:r>
        <w:rPr>
          <w:rFonts w:hint="default" w:ascii="Times New Roman" w:hAnsi="Times New Roman" w:eastAsia="仿宋_GB2312" w:cs="Times New Roman"/>
          <w:sz w:val="32"/>
          <w:szCs w:val="32"/>
          <w:lang w:val="en-US" w:eastAsia="zh-CN"/>
        </w:rPr>
        <w:t>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东天山生态旅游景区建设项目年初预算数</w:t>
      </w:r>
      <w:r>
        <w:rPr>
          <w:rFonts w:hint="eastAsia" w:eastAsia="仿宋_GB2312" w:cs="Times New Roman"/>
          <w:sz w:val="32"/>
          <w:szCs w:val="32"/>
          <w:lang w:val="en-US" w:eastAsia="zh-CN"/>
        </w:rPr>
        <w:t>400</w:t>
      </w:r>
      <w:r>
        <w:rPr>
          <w:rFonts w:hint="default" w:ascii="Times New Roman" w:hAnsi="Times New Roman" w:eastAsia="仿宋_GB2312" w:cs="Times New Roman"/>
          <w:sz w:val="32"/>
          <w:szCs w:val="32"/>
          <w:lang w:val="en-US" w:eastAsia="zh-CN"/>
        </w:rPr>
        <w:t>万元，全年预算数为</w:t>
      </w:r>
      <w:r>
        <w:rPr>
          <w:rFonts w:hint="eastAsia" w:eastAsia="仿宋_GB2312" w:cs="Times New Roman"/>
          <w:sz w:val="32"/>
          <w:szCs w:val="32"/>
          <w:lang w:val="en-US" w:eastAsia="zh-CN"/>
        </w:rPr>
        <w:t>400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12月31日全年执行数381.50万元，预算执行率为95.38%，项目资金主要用于</w:t>
      </w:r>
      <w:r>
        <w:rPr>
          <w:rFonts w:hint="eastAsia" w:eastAsia="仿宋_GB2312" w:cs="Times New Roman"/>
          <w:sz w:val="32"/>
          <w:szCs w:val="32"/>
          <w:lang w:val="en-US" w:eastAsia="zh-CN"/>
        </w:rPr>
        <w:t>对5个景区19个修缮改造费用的支付</w:t>
      </w:r>
      <w:r>
        <w:rPr>
          <w:rFonts w:hint="default"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2023年东天山生态旅游景区建设项目按计划对东西天山5个景区进行修缮改造工作</w:t>
      </w:r>
      <w:r>
        <w:rPr>
          <w:rFonts w:hint="eastAsia" w:eastAsia="仿宋_GB2312" w:cs="Times New Roman"/>
          <w:sz w:val="32"/>
          <w:szCs w:val="32"/>
          <w:lang w:eastAsia="zh-CN"/>
        </w:rPr>
        <w:t>。</w:t>
      </w:r>
      <w:r>
        <w:rPr>
          <w:rFonts w:hint="eastAsia" w:eastAsia="仿宋_GB2312" w:cs="Times New Roman"/>
          <w:sz w:val="32"/>
          <w:szCs w:val="32"/>
          <w:lang w:val="en-US" w:eastAsia="zh-CN"/>
        </w:rPr>
        <w:t>包括：</w:t>
      </w:r>
      <w:r>
        <w:rPr>
          <w:rFonts w:hint="default" w:ascii="Times New Roman" w:hAnsi="Times New Roman" w:eastAsia="仿宋_GB2312" w:cs="Times New Roman"/>
          <w:sz w:val="32"/>
          <w:szCs w:val="32"/>
        </w:rPr>
        <w:t>新建围栏、新建木栈道、新建休息平台、新建办公用房遮阳棚、新建可移动停车棚、新建可移动遮阳棚、停车场办公用房室内装修改造、新增150</w:t>
      </w:r>
      <w:r>
        <w:rPr>
          <w:rFonts w:hint="eastAsia" w:eastAsia="仿宋_GB2312" w:cs="Times New Roman"/>
          <w:sz w:val="32"/>
          <w:szCs w:val="32"/>
          <w:lang w:val="en-US" w:eastAsia="zh-CN"/>
        </w:rPr>
        <w:t>m³</w:t>
      </w:r>
      <w:r>
        <w:rPr>
          <w:rFonts w:hint="default" w:ascii="Times New Roman" w:hAnsi="Times New Roman" w:eastAsia="仿宋_GB2312" w:cs="Times New Roman"/>
          <w:sz w:val="32"/>
          <w:szCs w:val="32"/>
        </w:rPr>
        <w:t>污水池一座、新建鹿棚、口门子卫生间维修、新建人工造雪设施安装、新建雪场工具房、鸣沙山鸣沙阁后堂给排水改造、鸣沙山商铺给水管和洁具、隔断、电缆配电箱更换、雪具大厅暖气、灯具更换、各景点木质设施、白石头照明设施采购安装、东天山景区各景点环保设施采购、东天山景区各景点标识标牌制作等。</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哈密市东天山生态旅游景区建设项目的实施和运营将从整体上提高哈密市旅游景区的基础设施水平，同时，作为哈密市旅游发展的重要项目，项目建设可加快当地经济发展、促进当地就业、加速产业结构的调整，具有良好的社会效益。经过全面的基础设施建设、有效的生态环境保护、深挖其人文历史价值、可以呈现当地民俗风情，形成深厚的历史人文景观和优美的自然生态景观交相辉映的特色旅游区，吸引更多的游客到这里来体验历史、亲近自然、陶冶情操、拓展能力。</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（1）项目准备阶段（2月-4月）：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1.编制项目建设方案，邀请专家对建设方案进行论证、评审；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2.完成项目建设资金的筹集工作，确定项目建设内容及投资资金；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3.通过招投标等方式确定项目承建单位。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（2）项目建设阶段（5月-12月）：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1.完成基础设施建设；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2.完成设施设备采购工作；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3.完成各岗位人员的培训；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4.完成各种制度规范制定。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东天山生态旅游景区建设项目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东天山生态旅游景区建设项目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w:t>
      </w:r>
      <w:r>
        <w:rPr>
          <w:rFonts w:hint="eastAsia" w:eastAsia="仿宋_GB2312" w:cs="Times New Roman"/>
          <w:b w:val="0"/>
          <w:bCs w:val="0"/>
          <w:kern w:val="28"/>
          <w:sz w:val="32"/>
          <w:szCs w:val="32"/>
          <w:lang w:val="en-US" w:eastAsia="zh-CN" w:bidi="ar-SA"/>
        </w:rPr>
        <w:t>，</w:t>
      </w:r>
      <w:r>
        <w:rPr>
          <w:rFonts w:hint="default" w:ascii="Times New Roman" w:hAnsi="Times New Roman" w:eastAsia="仿宋_GB2312" w:cs="Times New Roman"/>
          <w:b w:val="0"/>
          <w:bCs w:val="0"/>
          <w:kern w:val="28"/>
          <w:sz w:val="32"/>
          <w:szCs w:val="32"/>
          <w:lang w:val="en-US" w:eastAsia="zh-CN" w:bidi="ar-SA"/>
        </w:rPr>
        <w:t>项目的实施达到预期效果。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w:t>
      </w:r>
      <w:r>
        <w:rPr>
          <w:rFonts w:hint="eastAsia" w:ascii="Times New Roman" w:hAnsi="Times New Roman" w:eastAsia="仿宋_GB2312" w:cs="Times New Roman"/>
          <w:b w:val="0"/>
          <w:bCs w:val="0"/>
          <w:lang w:val="en-US" w:eastAsia="zh-CN"/>
        </w:rPr>
        <w:t>相关</w:t>
      </w:r>
      <w:r>
        <w:rPr>
          <w:rFonts w:hint="default" w:ascii="Times New Roman" w:hAnsi="Times New Roman" w:eastAsia="仿宋_GB2312" w:cs="Times New Roman"/>
          <w:b w:val="0"/>
          <w:bCs w:val="0"/>
        </w:rPr>
        <w:t>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99.82</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19.82</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99.1</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19.82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99.82</w:t>
            </w:r>
          </w:p>
        </w:tc>
      </w:tr>
    </w:tbl>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19.82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99.1</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400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381.5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95.4</w:t>
      </w:r>
      <w:r>
        <w:rPr>
          <w:rFonts w:hint="default" w:ascii="Times New Roman" w:hAnsi="Times New Roman" w:eastAsia="仿宋_GB2312" w:cs="Times New Roman"/>
          <w:sz w:val="32"/>
          <w:szCs w:val="32"/>
          <w:highlight w:val="none"/>
          <w:lang w:val="en-US" w:eastAsia="zh-CN"/>
        </w:rPr>
        <w:t>%。偏差原因：</w:t>
      </w:r>
      <w:r>
        <w:rPr>
          <w:rFonts w:hint="eastAsia" w:eastAsia="仿宋_GB2312" w:cs="Times New Roman"/>
          <w:sz w:val="32"/>
          <w:szCs w:val="32"/>
          <w:highlight w:val="none"/>
          <w:lang w:val="en-US" w:eastAsia="zh-CN"/>
        </w:rPr>
        <w:t>该项目资金根据项目计划方案估算所需资金，实际项目开展招投标工作选取资质完善，价位较低的设备及服务方，产生资金结余。</w:t>
      </w:r>
      <w:r>
        <w:rPr>
          <w:rFonts w:hint="default" w:ascii="Times New Roman" w:hAnsi="Times New Roman" w:eastAsia="仿宋_GB2312" w:cs="Times New Roman"/>
          <w:sz w:val="32"/>
          <w:szCs w:val="32"/>
          <w:highlight w:val="none"/>
          <w:lang w:val="en-US" w:eastAsia="zh-CN"/>
        </w:rPr>
        <w:t>改进措施：</w:t>
      </w:r>
      <w:r>
        <w:rPr>
          <w:rFonts w:hint="eastAsia" w:eastAsia="仿宋_GB2312" w:cs="Times New Roman"/>
          <w:sz w:val="32"/>
          <w:szCs w:val="32"/>
          <w:highlight w:val="none"/>
          <w:lang w:val="en-US" w:eastAsia="zh-CN"/>
        </w:rPr>
        <w:t>进一步完善预算编制，提高预算编制精细化水平，完善预算编制与预算执行相结合机制，加强资金结转结余管理。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Times New Roman" w:hAnsi="Times New Roman" w:eastAsia="宋体"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修缮改造项目</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目标值&gt;=19个，实际完成值19个，完成率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涉及景区数量</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目标值&gt;=5个，实际完成值5个，完成率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项目设计变更率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目标值&lt;=10%，实际完成值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资金支付合规率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目标值&gt;=96%，实际完成值</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项目按计划开工时间</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目标值&lt;=8月，实际完成值8月，完成率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项目按计划完工时间</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目标值&lt;=10月，实际完成值10月，完成率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项目成本控制率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设施设备利用率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推动冰雪旅游业高质量发展</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w:t>
      </w:r>
      <w:r>
        <w:rPr>
          <w:rFonts w:hint="eastAsia" w:eastAsia="仿宋_GB2312" w:cs="Times New Roman"/>
          <w:sz w:val="32"/>
          <w:szCs w:val="32"/>
          <w:highlight w:val="none"/>
          <w:lang w:val="en-US" w:eastAsia="zh-CN"/>
        </w:rPr>
        <w:t>有效推动</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有效推动</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游客体验满意度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目标值&gt;=97%，实际完成值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103</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资金被挤占和挪用现象的发生，跟踪检查到位。</w:t>
      </w:r>
      <w:r>
        <w:rPr>
          <w:rFonts w:hint="eastAsia" w:ascii="Times New Roman" w:hAnsi="Times New Roman" w:eastAsia="仿宋_GB2312" w:cs="Times New Roman"/>
          <w:b w:val="0"/>
          <w:bCs w:val="0"/>
          <w:kern w:val="2"/>
          <w:lang w:val="en-US" w:eastAsia="zh-CN"/>
        </w:rPr>
        <w:t>相关</w:t>
      </w:r>
      <w:r>
        <w:rPr>
          <w:rFonts w:hint="default" w:ascii="Times New Roman" w:hAnsi="Times New Roman" w:eastAsia="仿宋_GB2312" w:cs="Times New Roman"/>
          <w:b w:val="0"/>
          <w:bCs w:val="0"/>
          <w:kern w:val="2"/>
        </w:rPr>
        <w:t>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w:t>
      </w:r>
      <w:r>
        <w:rPr>
          <w:rFonts w:hint="eastAsia" w:eastAsia="仿宋_GB2312" w:cs="Times New Roman"/>
          <w:color w:val="000000" w:themeColor="text1"/>
          <w:sz w:val="32"/>
          <w:szCs w:val="32"/>
          <w:highlight w:val="none"/>
          <w:lang w:val="en-US" w:eastAsia="zh-CN"/>
          <w14:textFill>
            <w14:solidFill>
              <w14:schemeClr w14:val="tx1"/>
            </w14:solidFill>
          </w14:textFill>
        </w:rPr>
        <w:t>管理</w:t>
      </w:r>
      <w:bookmarkStart w:id="5" w:name="_GoBack"/>
      <w:bookmarkEnd w:id="5"/>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水</w:t>
      </w:r>
      <w:r>
        <w:rPr>
          <w:rFonts w:hint="eastAsia" w:eastAsia="仿宋_GB2312" w:cs="Times New Roman"/>
          <w:color w:val="000000" w:themeColor="text1"/>
          <w:sz w:val="32"/>
          <w:szCs w:val="32"/>
          <w:highlight w:val="none"/>
          <w:lang w:val="en-US" w:eastAsia="zh-CN"/>
          <w14:textFill>
            <w14:solidFill>
              <w14:schemeClr w14:val="tx1"/>
            </w14:solidFill>
          </w14:textFill>
        </w:rPr>
        <w:t>平，</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多进行有关绩效管理工作方面的培训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积极组织第三方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开展</w:t>
      </w:r>
      <w:r>
        <w:rPr>
          <w:rFonts w:hint="default" w:ascii="Times New Roman" w:hAnsi="Times New Roman" w:eastAsia="黑体" w:cs="Times New Roman"/>
          <w:sz w:val="32"/>
          <w:szCs w:val="32"/>
          <w:highlight w:val="none"/>
          <w:lang w:eastAsia="zh-CN"/>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七</w:t>
      </w:r>
      <w:r>
        <w:rPr>
          <w:rFonts w:hint="eastAsia" w:ascii="黑体" w:hAnsi="黑体" w:eastAsia="黑体" w:cs="黑体"/>
          <w:b w:val="0"/>
          <w:bCs w:val="0"/>
          <w:sz w:val="32"/>
          <w:szCs w:val="32"/>
          <w:highlight w:val="none"/>
          <w:lang w:val="en-US" w:eastAsia="zh-Hans"/>
        </w:rPr>
        <w:t>、</w:t>
      </w:r>
      <w:r>
        <w:rPr>
          <w:rFonts w:hint="eastAsia" w:ascii="黑体" w:hAnsi="黑体" w:eastAsia="黑体" w:cs="黑体"/>
          <w:b w:val="0"/>
          <w:bCs w:val="0"/>
          <w:sz w:val="32"/>
          <w:szCs w:val="32"/>
          <w:highlight w:val="none"/>
          <w:lang w:val="en-US" w:eastAsia="zh-CN"/>
        </w:rPr>
        <w:t>其他需</w:t>
      </w:r>
      <w:bookmarkStart w:id="2" w:name="page8"/>
      <w:bookmarkEnd w:id="2"/>
      <w:r>
        <w:rPr>
          <w:rFonts w:hint="eastAsia" w:ascii="黑体" w:hAnsi="黑体" w:eastAsia="黑体" w:cs="黑体"/>
          <w:b w:val="0"/>
          <w:bCs w:val="0"/>
          <w:sz w:val="32"/>
          <w:szCs w:val="32"/>
          <w:highlight w:val="none"/>
          <w:lang w:val="en-US" w:eastAsia="zh-CN"/>
        </w:rPr>
        <w:t>要说明的问题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该项目在财政的指导和帮助下，项目在资金申请前置条件的落实上，发挥了积极的“花钱必问效，无效必问责”的项目绩效管理和实施的理念引导；</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项目在实施的过程中进行了绩效的全过程管理，资金使用流程严谨合规，确保资金用途显效、高效</w:t>
      </w:r>
      <w:r>
        <w:rPr>
          <w:rFonts w:hint="eastAsia" w:eastAsia="仿宋_GB2312" w:cs="Times New Roman"/>
          <w:sz w:val="32"/>
          <w:szCs w:val="32"/>
          <w:highlight w:val="none"/>
          <w:lang w:val="en-US" w:eastAsia="zh-CN"/>
        </w:rPr>
        <w:t>。</w:t>
      </w:r>
    </w:p>
    <w:p>
      <w:pPr>
        <w:pStyle w:val="4"/>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19"/>
        <w:ind w:firstLine="562"/>
        <w:jc w:val="center"/>
        <w:rPr>
          <w:rFonts w:hint="default" w:ascii="Times New Roman" w:hAnsi="Times New Roman" w:eastAsia="仿宋_GB2312" w:cs="Times New Roman"/>
          <w:b w:val="0"/>
          <w:bCs w:val="0"/>
          <w:sz w:val="32"/>
          <w:szCs w:val="32"/>
        </w:rPr>
      </w:pPr>
      <w:bookmarkStart w:id="3" w:name="_Toc26499_WPSOffice_Level2"/>
      <w:bookmarkStart w:id="4" w:name="_Toc30064_WPSOffice_Level1"/>
      <w:r>
        <w:rPr>
          <w:rFonts w:hint="default" w:ascii="Times New Roman" w:hAnsi="Times New Roman" w:eastAsia="仿宋_GB2312" w:cs="Times New Roman"/>
          <w:b/>
          <w:bCs/>
          <w:color w:val="auto"/>
          <w:sz w:val="32"/>
          <w:szCs w:val="32"/>
          <w:lang w:val="en-US" w:eastAsia="zh-CN"/>
        </w:rPr>
        <w:t>东天山生态旅游景区建设项目</w:t>
      </w:r>
      <w:r>
        <w:rPr>
          <w:rFonts w:hint="default" w:ascii="Times New Roman" w:hAnsi="Times New Roman" w:eastAsia="仿宋_GB2312" w:cs="Times New Roman"/>
          <w:b/>
          <w:bCs/>
          <w:color w:val="auto"/>
          <w:sz w:val="32"/>
          <w:szCs w:val="32"/>
        </w:rPr>
        <w:t>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301"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92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204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301"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927"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927"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927"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927"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01"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927"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2048"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301"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301"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927"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2048" w:type="pct"/>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01"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34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927"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2048"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537"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ADC04F50-6996-49B0-8390-7CD7952655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23F6BAA-22E8-4270-A811-CEF9192D644A}"/>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CC1B0CC7-C7F1-434C-A2A7-3D6412FE1B08}"/>
  </w:font>
  <w:font w:name="华文中宋">
    <w:panose1 w:val="02010600040101010101"/>
    <w:charset w:val="86"/>
    <w:family w:val="auto"/>
    <w:pitch w:val="default"/>
    <w:sig w:usb0="00000287" w:usb1="080F0000" w:usb2="00000000" w:usb3="00000000" w:csb0="0004009F" w:csb1="DFD70000"/>
    <w:embedRegular r:id="rId4" w:fontKey="{5855FB74-0ADB-463A-83FE-E12C9DAB12E6}"/>
  </w:font>
  <w:font w:name="方正小标宋简体">
    <w:panose1 w:val="02000000000000000000"/>
    <w:charset w:val="86"/>
    <w:family w:val="auto"/>
    <w:pitch w:val="default"/>
    <w:sig w:usb0="A00002BF" w:usb1="184F6CFA" w:usb2="00000012" w:usb3="00000000" w:csb0="00040001" w:csb1="00000000"/>
    <w:embedRegular r:id="rId5" w:fontKey="{CB03A1C7-B064-4701-94C3-479558039660}"/>
  </w:font>
  <w:font w:name="方正小标宋_GBK">
    <w:panose1 w:val="02000000000000000000"/>
    <w:charset w:val="86"/>
    <w:family w:val="script"/>
    <w:pitch w:val="default"/>
    <w:sig w:usb0="A00002BF" w:usb1="38CF7CFA" w:usb2="00082016" w:usb3="00000000" w:csb0="00040001" w:csb1="00000000"/>
    <w:embedRegular r:id="rId6" w:fontKey="{CA38175C-D995-40D8-9FBD-5CB45EBD166B}"/>
  </w:font>
  <w:font w:name="楷体">
    <w:panose1 w:val="02010609060101010101"/>
    <w:charset w:val="86"/>
    <w:family w:val="modern"/>
    <w:pitch w:val="default"/>
    <w:sig w:usb0="800002BF" w:usb1="38CF7CFA" w:usb2="00000016" w:usb3="00000000" w:csb0="00040001" w:csb1="00000000"/>
    <w:embedRegular r:id="rId7" w:fontKey="{C7169EE6-5A49-408A-B549-BB487DABADDC}"/>
  </w:font>
  <w:font w:name="方正仿宋_GBK">
    <w:panose1 w:val="02000000000000000000"/>
    <w:charset w:val="86"/>
    <w:family w:val="auto"/>
    <w:pitch w:val="default"/>
    <w:sig w:usb0="A00002BF" w:usb1="38CF7CFA" w:usb2="00082016" w:usb3="00000000" w:csb0="00040001" w:csb1="00000000"/>
    <w:embedRegular r:id="rId8" w:fontKey="{2DF9D8E2-C650-4ED8-ACBE-85FB5A67D4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0ODc3YTUyMTQ1ODg0ODU5ZmM2YjczODcxYjFiZDgifQ=="/>
  </w:docVars>
  <w:rsids>
    <w:rsidRoot w:val="FF6C4049"/>
    <w:rsid w:val="006F7242"/>
    <w:rsid w:val="007B168A"/>
    <w:rsid w:val="008B2CFE"/>
    <w:rsid w:val="009E5D66"/>
    <w:rsid w:val="00F26FF6"/>
    <w:rsid w:val="0176587A"/>
    <w:rsid w:val="048C0C43"/>
    <w:rsid w:val="05441E12"/>
    <w:rsid w:val="07397B77"/>
    <w:rsid w:val="0B553E6B"/>
    <w:rsid w:val="13471461"/>
    <w:rsid w:val="13B90F01"/>
    <w:rsid w:val="181066D2"/>
    <w:rsid w:val="197A625B"/>
    <w:rsid w:val="1C671E73"/>
    <w:rsid w:val="215B63C6"/>
    <w:rsid w:val="274F0D9D"/>
    <w:rsid w:val="2BC43604"/>
    <w:rsid w:val="2DA90D03"/>
    <w:rsid w:val="2F3E76A8"/>
    <w:rsid w:val="2F9B3A50"/>
    <w:rsid w:val="38CA40DD"/>
    <w:rsid w:val="395F2B56"/>
    <w:rsid w:val="3BECE841"/>
    <w:rsid w:val="3DE77067"/>
    <w:rsid w:val="3F3C7A12"/>
    <w:rsid w:val="3FF7797D"/>
    <w:rsid w:val="41D8612C"/>
    <w:rsid w:val="42450C5B"/>
    <w:rsid w:val="447B120C"/>
    <w:rsid w:val="4A185268"/>
    <w:rsid w:val="4A972462"/>
    <w:rsid w:val="50CF6B46"/>
    <w:rsid w:val="51165E87"/>
    <w:rsid w:val="5905109F"/>
    <w:rsid w:val="5BEF3B17"/>
    <w:rsid w:val="5BFF6039"/>
    <w:rsid w:val="5CEC7901"/>
    <w:rsid w:val="5D435C2E"/>
    <w:rsid w:val="5D76A616"/>
    <w:rsid w:val="5D7F20B9"/>
    <w:rsid w:val="5DAA2CD6"/>
    <w:rsid w:val="5DAC7D0E"/>
    <w:rsid w:val="5F98B5AF"/>
    <w:rsid w:val="5FFE8511"/>
    <w:rsid w:val="5FFEACE2"/>
    <w:rsid w:val="643EE26D"/>
    <w:rsid w:val="651B5F9F"/>
    <w:rsid w:val="654F1AD9"/>
    <w:rsid w:val="66C70806"/>
    <w:rsid w:val="6D7478EE"/>
    <w:rsid w:val="6F5C41AC"/>
    <w:rsid w:val="6FAF6C78"/>
    <w:rsid w:val="710A6EC7"/>
    <w:rsid w:val="7317C656"/>
    <w:rsid w:val="734ED73F"/>
    <w:rsid w:val="752F6306"/>
    <w:rsid w:val="75680129"/>
    <w:rsid w:val="772B5869"/>
    <w:rsid w:val="77FD8BE9"/>
    <w:rsid w:val="78C46A6E"/>
    <w:rsid w:val="79A9BD3F"/>
    <w:rsid w:val="7BFFFDD0"/>
    <w:rsid w:val="7C336E5F"/>
    <w:rsid w:val="7D7A5F86"/>
    <w:rsid w:val="7F37BB4E"/>
    <w:rsid w:val="7FB435B1"/>
    <w:rsid w:val="7FE40491"/>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9389</Words>
  <Characters>9730</Characters>
  <Lines>58</Lines>
  <Paragraphs>16</Paragraphs>
  <TotalTime>274</TotalTime>
  <ScaleCrop>false</ScaleCrop>
  <LinksUpToDate>false</LinksUpToDate>
  <CharactersWithSpaces>9739</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Lenovo</cp:lastModifiedBy>
  <cp:lastPrinted>2025-05-27T08:09:00Z</cp:lastPrinted>
  <dcterms:modified xsi:type="dcterms:W3CDTF">2024-09-25T09:30:46Z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8017AB2675F24EB795B3E0A35F4BCAED_13</vt:lpwstr>
  </property>
  <property fmtid="{D5CDD505-2E9C-101B-9397-08002B2CF9AE}" pid="4" name="KSOTemplateDocerSaveRecord">
    <vt:lpwstr>eyJoZGlkIjoiNzdiMDY3OTJjMTBjNmQ5MzIxNjVhMTdmNmI0ZjU1YjIiLCJ1c2VySWQiOiI0MDk5MjYyODIifQ==</vt:lpwstr>
  </property>
</Properties>
</file>