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eastAsia="黑体" w:cs="Times New Roman"/>
          <w:kern w:val="0"/>
          <w:sz w:val="48"/>
          <w:szCs w:val="48"/>
          <w:lang w:val="en-US" w:eastAsia="zh-CN"/>
        </w:rPr>
        <w:t>机房等级保护升级及测评项目</w:t>
      </w:r>
      <w:r>
        <w:rPr>
          <w:rFonts w:hint="default" w:ascii="Times New Roman" w:hAnsi="Times New Roman" w:eastAsia="黑体" w:cs="Times New Roman"/>
          <w:kern w:val="0"/>
          <w:sz w:val="48"/>
          <w:szCs w:val="48"/>
        </w:rPr>
        <w:t>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1"/>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1440" w:firstLineChars="4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eastAsia="zh-CN"/>
        </w:rPr>
        <w:t>机房等级保护升级及测评项目</w:t>
      </w:r>
    </w:p>
    <w:p>
      <w:pPr>
        <w:spacing w:line="700" w:lineRule="exact"/>
        <w:ind w:firstLine="1440" w:firstLineChars="400"/>
        <w:jc w:val="left"/>
        <w:rPr>
          <w:rFonts w:hint="default" w:eastAsia="仿宋_GB2312" w:cs="Times New Roman"/>
          <w:kern w:val="0"/>
          <w:sz w:val="36"/>
          <w:szCs w:val="36"/>
          <w:lang w:val="en-US" w:eastAsia="zh-CN"/>
        </w:rPr>
      </w:pPr>
      <w:r>
        <w:rPr>
          <w:rFonts w:hint="default" w:eastAsia="仿宋_GB2312" w:cs="Times New Roman"/>
          <w:kern w:val="0"/>
          <w:sz w:val="36"/>
          <w:szCs w:val="36"/>
          <w:lang w:eastAsia="zh-CN"/>
        </w:rPr>
        <w:t>实施单位（公章）：</w:t>
      </w:r>
      <w:r>
        <w:rPr>
          <w:rFonts w:hint="eastAsia" w:eastAsia="仿宋_GB2312" w:cs="Times New Roman"/>
          <w:kern w:val="0"/>
          <w:sz w:val="36"/>
          <w:szCs w:val="36"/>
          <w:lang w:eastAsia="zh-CN"/>
        </w:rPr>
        <w:t>哈密市财政局</w:t>
      </w:r>
    </w:p>
    <w:p>
      <w:pPr>
        <w:spacing w:line="700" w:lineRule="exact"/>
        <w:ind w:firstLine="1440" w:firstLineChars="400"/>
        <w:jc w:val="left"/>
        <w:rPr>
          <w:rFonts w:hint="default" w:eastAsia="仿宋_GB2312" w:cs="Times New Roman"/>
          <w:kern w:val="0"/>
          <w:sz w:val="36"/>
          <w:szCs w:val="36"/>
          <w:lang w:val="en-US" w:eastAsia="zh-CN"/>
        </w:rPr>
      </w:pPr>
      <w:r>
        <w:rPr>
          <w:rFonts w:hint="default" w:eastAsia="仿宋_GB2312" w:cs="Times New Roman"/>
          <w:kern w:val="0"/>
          <w:sz w:val="36"/>
          <w:szCs w:val="36"/>
          <w:lang w:eastAsia="zh-CN"/>
        </w:rPr>
        <w:t>主管部门（公章）：</w:t>
      </w:r>
      <w:r>
        <w:rPr>
          <w:rFonts w:hint="eastAsia" w:eastAsia="仿宋_GB2312" w:cs="Times New Roman"/>
          <w:kern w:val="0"/>
          <w:sz w:val="36"/>
          <w:szCs w:val="36"/>
          <w:lang w:eastAsia="zh-CN"/>
        </w:rPr>
        <w:t>哈密市财政局</w:t>
      </w:r>
    </w:p>
    <w:p>
      <w:pPr>
        <w:spacing w:line="700" w:lineRule="exact"/>
        <w:ind w:firstLine="1440" w:firstLineChars="400"/>
        <w:jc w:val="left"/>
        <w:rPr>
          <w:rFonts w:hint="default" w:eastAsia="仿宋_GB2312" w:cs="Times New Roman"/>
          <w:kern w:val="0"/>
          <w:sz w:val="36"/>
          <w:szCs w:val="36"/>
          <w:lang w:eastAsia="zh-CN"/>
        </w:rPr>
      </w:pPr>
      <w:r>
        <w:rPr>
          <w:rFonts w:hint="default" w:eastAsia="仿宋_GB2312" w:cs="Times New Roman"/>
          <w:kern w:val="0"/>
          <w:sz w:val="36"/>
          <w:szCs w:val="36"/>
          <w:lang w:eastAsia="zh-CN"/>
        </w:rPr>
        <w:t>项目负责人（签章）：</w:t>
      </w:r>
      <w:r>
        <w:rPr>
          <w:rFonts w:hint="eastAsia" w:eastAsia="仿宋_GB2312" w:cs="Times New Roman"/>
          <w:kern w:val="0"/>
          <w:sz w:val="36"/>
          <w:szCs w:val="36"/>
          <w:lang w:eastAsia="zh-CN"/>
        </w:rPr>
        <w:t>刘志远</w:t>
      </w:r>
    </w:p>
    <w:p>
      <w:pPr>
        <w:spacing w:line="700" w:lineRule="exact"/>
        <w:ind w:firstLine="1440" w:firstLineChars="400"/>
        <w:jc w:val="left"/>
        <w:rPr>
          <w:rFonts w:hint="default" w:eastAsia="仿宋_GB2312" w:cs="Times New Roman"/>
          <w:kern w:val="0"/>
          <w:sz w:val="36"/>
          <w:szCs w:val="36"/>
          <w:lang w:eastAsia="zh-CN"/>
        </w:rPr>
      </w:pPr>
      <w:r>
        <w:rPr>
          <w:rFonts w:hint="default" w:eastAsia="仿宋_GB2312" w:cs="Times New Roman"/>
          <w:kern w:val="0"/>
          <w:sz w:val="36"/>
          <w:szCs w:val="36"/>
          <w:lang w:eastAsia="zh-CN"/>
        </w:rPr>
        <w:t>填报时间：</w:t>
      </w:r>
      <w:r>
        <w:rPr>
          <w:rFonts w:hint="default" w:eastAsia="仿宋_GB2312" w:cs="Times New Roman"/>
          <w:kern w:val="0"/>
          <w:sz w:val="36"/>
          <w:szCs w:val="36"/>
          <w:lang w:val="en-US" w:eastAsia="zh-CN"/>
        </w:rPr>
        <w:t>2024</w:t>
      </w:r>
      <w:r>
        <w:rPr>
          <w:rFonts w:hint="default" w:eastAsia="仿宋_GB2312" w:cs="Times New Roman"/>
          <w:kern w:val="0"/>
          <w:sz w:val="36"/>
          <w:szCs w:val="36"/>
          <w:lang w:eastAsia="zh-CN"/>
        </w:rPr>
        <w:t>年</w:t>
      </w:r>
      <w:r>
        <w:rPr>
          <w:rFonts w:hint="eastAsia" w:eastAsia="仿宋_GB2312" w:cs="Times New Roman"/>
          <w:kern w:val="0"/>
          <w:sz w:val="36"/>
          <w:szCs w:val="36"/>
          <w:lang w:val="en-US" w:eastAsia="zh-CN"/>
        </w:rPr>
        <w:t>4</w:t>
      </w:r>
      <w:r>
        <w:rPr>
          <w:rFonts w:hint="default" w:eastAsia="仿宋_GB2312" w:cs="Times New Roman"/>
          <w:kern w:val="0"/>
          <w:sz w:val="36"/>
          <w:szCs w:val="36"/>
          <w:lang w:eastAsia="zh-CN"/>
        </w:rPr>
        <w:t>月</w:t>
      </w:r>
      <w:r>
        <w:rPr>
          <w:rFonts w:hint="eastAsia" w:eastAsia="仿宋_GB2312" w:cs="Times New Roman"/>
          <w:kern w:val="0"/>
          <w:sz w:val="36"/>
          <w:szCs w:val="36"/>
          <w:lang w:val="en-US" w:eastAsia="zh-CN"/>
        </w:rPr>
        <w:t>10</w:t>
      </w:r>
      <w:r>
        <w:rPr>
          <w:rFonts w:hint="default" w:eastAsia="仿宋_GB2312" w:cs="Times New Roman"/>
          <w:kern w:val="0"/>
          <w:sz w:val="36"/>
          <w:szCs w:val="36"/>
          <w:lang w:eastAsia="zh-CN"/>
        </w:rPr>
        <w:t>日</w:t>
      </w:r>
    </w:p>
    <w:p>
      <w:pPr>
        <w:spacing w:line="540" w:lineRule="exact"/>
        <w:jc w:val="center"/>
        <w:rPr>
          <w:rFonts w:hint="default" w:ascii="Times New Roman" w:hAnsi="Times New Roman" w:eastAsia="仿宋_GB2312" w:cs="Times New Roman"/>
          <w:kern w:val="0"/>
          <w:sz w:val="30"/>
          <w:szCs w:val="30"/>
        </w:rPr>
      </w:pPr>
    </w:p>
    <w:p>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（一）项目概况</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eastAsia="仿宋_GB2312" w:cs="Times New Roman"/>
          <w:sz w:val="32"/>
          <w:szCs w:val="32"/>
          <w:lang w:val="en-US" w:eastAsia="zh-CN"/>
        </w:rPr>
      </w:pPr>
      <w:r>
        <w:rPr>
          <w:rFonts w:hint="eastAsia" w:eastAsia="仿宋_GB2312" w:cs="Times New Roman"/>
          <w:sz w:val="32"/>
          <w:szCs w:val="32"/>
          <w:lang w:val="en-US" w:eastAsia="zh-CN"/>
        </w:rPr>
        <w:t>机房等级保护建设是网络安全工作的重点，也是自治区财政厅、市委网信办、市公安局重点检查的项目之一。各项关于网络安全检查的文件中都有要求对机房及信息系统进行等级保护。目前2.0预算管理一体化系统已经上线使用（系统主要功能包括项目库录入、预算编制、预算执行、工资统发、单位会计核算、绩效管理等财政业务），如发生网络安全事件，将对全区资金安全、业务运行造成影响。为做好财政系统对全市的服务工作、确保哈密财政网络安全、确保财政资金安全、确保财政业务正常运行。</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eastAsia="仿宋_GB2312" w:cs="Times New Roman"/>
          <w:sz w:val="32"/>
          <w:szCs w:val="32"/>
          <w:lang w:val="en-US" w:eastAsia="zh-CN"/>
        </w:rPr>
      </w:pPr>
      <w:r>
        <w:rPr>
          <w:rFonts w:hint="eastAsia" w:eastAsia="仿宋_GB2312" w:cs="Times New Roman"/>
          <w:sz w:val="32"/>
          <w:szCs w:val="32"/>
          <w:lang w:val="en-US" w:eastAsia="zh-CN"/>
        </w:rPr>
        <w:t>信息系统定级工作完成后，运营、使用单位首先要按照相关的管理规范和技术标准进行安全建设和整改，使用符合国家有关规定、满足信息系统安全保护等级需求的信息技术产品，进行信息系统安全建设或者改建工作。经测算，预计需资金170万元。项目建设共两部分，其中机房设备购置140万元（主要包括数据库审计与风险控制系统、主机安全及管理系统、运维审计与风险控制系统、安全网关、远程安全评估系统、网络准入系统、安全隔离与信息交换系统等网络安全设备及机房环境改造），配套设施采购30万元（工作电脑40台、视频会议设备1套）。 该项目建成后，将对财政网络起到很好的保护作用，使财政系统在安全、流畅的环境下运行，确保了财政业务正常运行、确保了财政资金的安全，为促进哈密经济发展发挥应有的作用。</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3.资金投入和使用情况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（1）资金投入情况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w:t>
      </w:r>
      <w:r>
        <w:rPr>
          <w:rFonts w:hint="eastAsia" w:eastAsia="仿宋_GB2312" w:cs="Times New Roman"/>
          <w:sz w:val="32"/>
          <w:szCs w:val="32"/>
          <w:lang w:val="en-US" w:eastAsia="zh-CN"/>
        </w:rPr>
        <w:t>机房等级保护升级及测评项目</w:t>
      </w:r>
      <w:r>
        <w:rPr>
          <w:rFonts w:hint="default" w:ascii="Times New Roman" w:hAnsi="Times New Roman" w:eastAsia="仿宋_GB2312" w:cs="Times New Roman"/>
          <w:sz w:val="32"/>
          <w:szCs w:val="32"/>
          <w:lang w:val="en-US" w:eastAsia="zh-CN"/>
        </w:rPr>
        <w:t>总2023年总预算资金</w:t>
      </w:r>
      <w:r>
        <w:rPr>
          <w:rFonts w:hint="eastAsia" w:eastAsia="仿宋_GB2312" w:cs="Times New Roman"/>
          <w:sz w:val="32"/>
          <w:szCs w:val="32"/>
          <w:lang w:val="en-US" w:eastAsia="zh-CN"/>
        </w:rPr>
        <w:t>130.00万元</w:t>
      </w:r>
      <w:r>
        <w:rPr>
          <w:rFonts w:hint="default" w:ascii="Times New Roman" w:hAnsi="Times New Roman" w:eastAsia="仿宋_GB2312" w:cs="Times New Roman"/>
          <w:sz w:val="32"/>
          <w:szCs w:val="32"/>
          <w:lang w:val="en-US" w:eastAsia="zh-CN"/>
        </w:rPr>
        <w:t>，项目资金为</w:t>
      </w:r>
      <w:r>
        <w:rPr>
          <w:rFonts w:hint="eastAsia" w:ascii="Times New Roman" w:hAnsi="Times New Roman" w:eastAsia="仿宋_GB2312" w:cs="Times New Roman"/>
          <w:sz w:val="32"/>
          <w:szCs w:val="32"/>
          <w:lang w:val="en-US" w:eastAsia="zh-CN"/>
        </w:rPr>
        <w:t>本级</w:t>
      </w:r>
      <w:r>
        <w:rPr>
          <w:rFonts w:hint="default" w:ascii="Times New Roman" w:hAnsi="Times New Roman" w:eastAsia="仿宋_GB2312" w:cs="Times New Roman"/>
          <w:sz w:val="32"/>
          <w:szCs w:val="32"/>
          <w:lang w:val="en-US" w:eastAsia="zh-CN"/>
        </w:rPr>
        <w:t>财政资金，项目资金到位数</w:t>
      </w:r>
      <w:r>
        <w:rPr>
          <w:rFonts w:hint="eastAsia" w:eastAsia="仿宋_GB2312" w:cs="Times New Roman"/>
          <w:sz w:val="32"/>
          <w:szCs w:val="32"/>
          <w:lang w:val="en-US" w:eastAsia="zh-CN"/>
        </w:rPr>
        <w:t>130.00万元</w:t>
      </w:r>
      <w:r>
        <w:rPr>
          <w:rFonts w:hint="default" w:ascii="Times New Roman" w:hAnsi="Times New Roman" w:eastAsia="仿宋_GB2312" w:cs="Times New Roman"/>
          <w:sz w:val="32"/>
          <w:szCs w:val="32"/>
          <w:lang w:val="en-US" w:eastAsia="zh-CN"/>
        </w:rPr>
        <w:t>，资金到位率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（2）资金使用情况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eastAsia="仿宋_GB2312" w:cs="Times New Roman"/>
          <w:sz w:val="32"/>
          <w:szCs w:val="32"/>
          <w:lang w:val="en-US" w:eastAsia="zh-CN"/>
        </w:rPr>
      </w:pPr>
      <w:r>
        <w:rPr>
          <w:rFonts w:hint="eastAsia" w:eastAsia="仿宋_GB2312" w:cs="Times New Roman"/>
          <w:sz w:val="32"/>
          <w:szCs w:val="32"/>
          <w:lang w:val="en-US" w:eastAsia="zh-CN"/>
        </w:rPr>
        <w:t>机房等级保护升级及测评项目</w:t>
      </w:r>
      <w:r>
        <w:rPr>
          <w:rFonts w:hint="default" w:eastAsia="仿宋_GB2312" w:cs="Times New Roman"/>
          <w:sz w:val="32"/>
          <w:szCs w:val="32"/>
          <w:lang w:val="en-US" w:eastAsia="zh-CN"/>
        </w:rPr>
        <w:t>年初预算数</w:t>
      </w:r>
      <w:r>
        <w:rPr>
          <w:rFonts w:hint="eastAsia" w:eastAsia="仿宋_GB2312" w:cs="Times New Roman"/>
          <w:sz w:val="32"/>
          <w:szCs w:val="32"/>
          <w:lang w:val="en-US" w:eastAsia="zh-CN"/>
        </w:rPr>
        <w:t>130.00万元</w:t>
      </w:r>
      <w:r>
        <w:rPr>
          <w:rFonts w:hint="default" w:eastAsia="仿宋_GB2312" w:cs="Times New Roman"/>
          <w:sz w:val="32"/>
          <w:szCs w:val="32"/>
          <w:lang w:val="en-US" w:eastAsia="zh-CN"/>
        </w:rPr>
        <w:t>，全年预算数为</w:t>
      </w:r>
      <w:r>
        <w:rPr>
          <w:rFonts w:hint="eastAsia" w:eastAsia="仿宋_GB2312" w:cs="Times New Roman"/>
          <w:sz w:val="32"/>
          <w:szCs w:val="32"/>
          <w:lang w:val="en-US" w:eastAsia="zh-CN"/>
        </w:rPr>
        <w:t>130.00万元</w:t>
      </w:r>
      <w:r>
        <w:rPr>
          <w:rFonts w:hint="default" w:eastAsia="仿宋_GB2312" w:cs="Times New Roman"/>
          <w:sz w:val="32"/>
          <w:szCs w:val="32"/>
          <w:lang w:val="en-US" w:eastAsia="zh-CN"/>
        </w:rPr>
        <w:t>，</w:t>
      </w:r>
      <w:r>
        <w:rPr>
          <w:rFonts w:hint="eastAsia" w:eastAsia="仿宋_GB2312" w:cs="Times New Roman"/>
          <w:sz w:val="32"/>
          <w:szCs w:val="32"/>
          <w:lang w:val="en-US" w:eastAsia="zh-CN"/>
        </w:rPr>
        <w:t>截至2023年</w:t>
      </w:r>
      <w:r>
        <w:rPr>
          <w:rFonts w:hint="default" w:eastAsia="仿宋_GB2312" w:cs="Times New Roman"/>
          <w:sz w:val="32"/>
          <w:szCs w:val="32"/>
          <w:lang w:val="en-US" w:eastAsia="zh-CN"/>
        </w:rPr>
        <w:t>12月31日全年执行数</w:t>
      </w:r>
      <w:r>
        <w:rPr>
          <w:rFonts w:hint="eastAsia" w:eastAsia="仿宋_GB2312" w:cs="Times New Roman"/>
          <w:sz w:val="32"/>
          <w:szCs w:val="32"/>
          <w:lang w:val="en-US" w:eastAsia="zh-CN"/>
        </w:rPr>
        <w:t>130.00万元</w:t>
      </w:r>
      <w:r>
        <w:rPr>
          <w:rFonts w:hint="default" w:eastAsia="仿宋_GB2312" w:cs="Times New Roman"/>
          <w:sz w:val="32"/>
          <w:szCs w:val="32"/>
          <w:lang w:val="en-US" w:eastAsia="zh-CN"/>
        </w:rPr>
        <w:t>，预算执行率为</w:t>
      </w:r>
      <w:r>
        <w:rPr>
          <w:rFonts w:hint="eastAsia" w:eastAsia="仿宋_GB2312" w:cs="Times New Roman"/>
          <w:sz w:val="32"/>
          <w:szCs w:val="32"/>
          <w:lang w:val="en-US" w:eastAsia="zh-CN"/>
        </w:rPr>
        <w:t>100</w:t>
      </w:r>
      <w:r>
        <w:rPr>
          <w:rFonts w:hint="default" w:eastAsia="仿宋_GB2312" w:cs="Times New Roman"/>
          <w:sz w:val="32"/>
          <w:szCs w:val="32"/>
          <w:lang w:val="en-US" w:eastAsia="zh-CN"/>
        </w:rPr>
        <w:t>%，项目资金主要用于</w:t>
      </w:r>
      <w:r>
        <w:rPr>
          <w:rFonts w:hint="eastAsia" w:eastAsia="仿宋_GB2312" w:cs="Times New Roman"/>
          <w:sz w:val="32"/>
          <w:szCs w:val="32"/>
          <w:lang w:val="en-US" w:eastAsia="zh-CN"/>
        </w:rPr>
        <w:t>等级保护测评，机房等级保护安全设备、系统费用。</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pPr>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rPr>
        <w:t>项目资金使用</w:t>
      </w:r>
      <w:r>
        <w:rPr>
          <w:rFonts w:hint="eastAsia" w:eastAsia="仿宋_GB2312" w:cs="Times New Roman"/>
          <w:sz w:val="32"/>
          <w:szCs w:val="32"/>
          <w:lang w:eastAsia="zh-CN"/>
        </w:rPr>
        <w:t>130.00</w:t>
      </w:r>
      <w:r>
        <w:rPr>
          <w:rFonts w:hint="eastAsia" w:ascii="Times New Roman" w:hAnsi="Times New Roman" w:eastAsia="仿宋_GB2312" w:cs="Times New Roman"/>
          <w:sz w:val="32"/>
          <w:szCs w:val="32"/>
        </w:rPr>
        <w:t>万元，通过购置数据库审计与风险控制系统1套，购置主机安全及管理系统1套，购置运维审计与风险控制系统1套，购置安全网关、远程安全评估系统1套，购置网络准入系统1套，完善哈密市财政网络安全漏洞、加固安全防御，在通过国家标准的等保验收的基础上，为哈密市财政网络整体安全建立防御体系，提升财政网络的安全等级，有效保障财政资金安全</w:t>
      </w:r>
      <w:r>
        <w:rPr>
          <w:rFonts w:hint="eastAsia" w:ascii="Times New Roman" w:hAnsi="Times New Roman" w:eastAsia="仿宋_GB2312" w:cs="Times New Roman"/>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（二）项目绩效目标</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1.总体目标</w:t>
      </w:r>
    </w:p>
    <w:p>
      <w:pPr>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通过本项目完善哈密市财政网络安全漏洞、加固安全防御，在通过国家标准的等保验收的基础上，为哈密市财政网络整体安全建立防御体系，提升财政网络的安全等级，有效保障财政资金安全。</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2.阶段性目标</w:t>
      </w:r>
    </w:p>
    <w:p>
      <w:pPr>
        <w:ind w:firstLine="640" w:firstLineChars="200"/>
        <w:rPr>
          <w:rFonts w:hint="eastAsia" w:eastAsia="仿宋_GB2312" w:cs="Times New Roman"/>
          <w:sz w:val="32"/>
          <w:szCs w:val="32"/>
          <w:lang w:val="en-US" w:eastAsia="zh-CN"/>
        </w:rPr>
      </w:pPr>
      <w:r>
        <w:rPr>
          <w:rFonts w:hint="eastAsia" w:eastAsia="仿宋_GB2312" w:cs="Times New Roman"/>
          <w:sz w:val="32"/>
          <w:szCs w:val="32"/>
          <w:lang w:val="en-US" w:eastAsia="zh-CN"/>
        </w:rPr>
        <w:t>1-2月编制项目实施方案，根据方案编制预算，申请项目预算资金。</w:t>
      </w:r>
    </w:p>
    <w:p>
      <w:pPr>
        <w:ind w:firstLine="640" w:firstLineChars="200"/>
        <w:rPr>
          <w:rFonts w:hint="eastAsia" w:eastAsia="仿宋_GB2312" w:cs="Times New Roman"/>
          <w:sz w:val="32"/>
          <w:szCs w:val="32"/>
          <w:lang w:val="en-US" w:eastAsia="zh-CN"/>
        </w:rPr>
      </w:pPr>
      <w:r>
        <w:rPr>
          <w:rFonts w:hint="eastAsia" w:eastAsia="仿宋_GB2312" w:cs="Times New Roman"/>
          <w:sz w:val="32"/>
          <w:szCs w:val="32"/>
          <w:lang w:val="en-US" w:eastAsia="zh-CN"/>
        </w:rPr>
        <w:t xml:space="preserve">3-10月完成购置数据库审计与风险控制系统1套，购置主机安全及管理系统1套，购置运维审计与风险控制系统1套，购置安全网关、远程安全评估系统1套，购置网络准入系统1套，完善哈密市财政网络安全漏洞、加固安全防御。截至  </w:t>
      </w:r>
    </w:p>
    <w:p>
      <w:pPr>
        <w:ind w:firstLine="640" w:firstLineChars="200"/>
        <w:rPr>
          <w:rFonts w:hint="default" w:eastAsia="仿宋_GB2312" w:cs="Times New Roman"/>
          <w:sz w:val="32"/>
          <w:szCs w:val="32"/>
          <w:lang w:val="en-US" w:eastAsia="zh-CN"/>
        </w:rPr>
      </w:pPr>
      <w:r>
        <w:rPr>
          <w:rFonts w:hint="eastAsia" w:eastAsia="仿宋_GB2312" w:cs="Times New Roman"/>
          <w:sz w:val="32"/>
          <w:szCs w:val="32"/>
          <w:lang w:val="en-US" w:eastAsia="zh-CN"/>
        </w:rPr>
        <w:t>11-12月份进行最后的项目审核和资金支付，对项目全年工作形成汇总、归档。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（一）绩效评价目的、对象和范围</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项目实施前向项目负责人提供财政支出绩效方面的资金管理信息，促进项目支出严格按照资金管理规定进行。</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w:t>
      </w:r>
      <w:r>
        <w:rPr>
          <w:rFonts w:hint="eastAsia" w:ascii="Times New Roman" w:hAnsi="Times New Roman"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机房等级保护升级及测评项目</w:t>
      </w:r>
      <w:r>
        <w:rPr>
          <w:rFonts w:hint="default" w:ascii="Times New Roman" w:hAnsi="Times New Roman" w:eastAsia="仿宋_GB2312" w:cs="Times New Roman"/>
          <w:kern w:val="0"/>
          <w:sz w:val="32"/>
          <w:szCs w:val="32"/>
          <w:lang w:val="en-US" w:eastAsia="zh-CN" w:bidi="ar-SA"/>
        </w:rPr>
        <w:t>所包含</w:t>
      </w:r>
      <w:r>
        <w:rPr>
          <w:rFonts w:hint="default" w:ascii="Times New Roman" w:hAnsi="Times New Roman" w:eastAsia="仿宋_GB2312" w:cs="Times New Roman"/>
          <w:sz w:val="32"/>
          <w:szCs w:val="32"/>
        </w:rPr>
        <w:t>的全部项目内容。</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eastAsia" w:eastAsia="仿宋_GB2312" w:cs="Times New Roman"/>
          <w:sz w:val="32"/>
          <w:szCs w:val="32"/>
          <w:lang w:val="en-US" w:eastAsia="zh-CN"/>
        </w:rPr>
        <w:t>机房等级保护升级及测评项目</w:t>
      </w:r>
      <w:r>
        <w:rPr>
          <w:rFonts w:hint="default" w:ascii="Times New Roman" w:hAnsi="Times New Roman" w:eastAsia="仿宋_GB2312" w:cs="Times New Roman"/>
          <w:sz w:val="32"/>
          <w:szCs w:val="32"/>
          <w:highlight w:val="none"/>
        </w:rPr>
        <w:t>进行评</w:t>
      </w:r>
      <w:r>
        <w:rPr>
          <w:rFonts w:hint="default" w:ascii="Times New Roman" w:hAnsi="Times New Roman" w:eastAsia="仿宋_GB2312" w:cs="Times New Roman"/>
          <w:sz w:val="32"/>
          <w:szCs w:val="32"/>
        </w:rPr>
        <w:t>价，评价核心为专项资金的支出完成情况和效果。</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b/>
          <w:bCs/>
          <w:sz w:val="32"/>
          <w:szCs w:val="32"/>
        </w:rPr>
        <w:t>（二）绩效评价原则、评价指标体系（详情见表1）、评价方法、评价标准。</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eastAsia" w:ascii="Times New Roman" w:hAnsi="Times New Roman" w:eastAsia="仿宋_GB2312" w:cs="Times New Roman"/>
          <w:sz w:val="32"/>
          <w:szCs w:val="32"/>
          <w:lang w:eastAsia="zh-CN"/>
        </w:rPr>
        <w:t>地</w:t>
      </w:r>
      <w:r>
        <w:rPr>
          <w:rFonts w:hint="default" w:ascii="Times New Roman" w:hAnsi="Times New Roman" w:eastAsia="仿宋_GB2312" w:cs="Times New Roman"/>
          <w:sz w:val="32"/>
          <w:szCs w:val="32"/>
        </w:rPr>
        <w:t>反映。</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default" w:ascii="Times New Roman" w:hAnsi="Times New Roman" w:eastAsia="仿宋_GB2312" w:cs="Times New Roman"/>
          <w:sz w:val="32"/>
          <w:szCs w:val="32"/>
          <w:lang w:val="en-US" w:eastAsia="zh-CN"/>
        </w:rPr>
        <w:t>项目成本权重10分，</w:t>
      </w:r>
      <w:r>
        <w:rPr>
          <w:rFonts w:hint="default" w:ascii="Times New Roman" w:hAnsi="Times New Roman" w:eastAsia="仿宋_GB2312" w:cs="Times New Roman"/>
          <w:sz w:val="32"/>
          <w:szCs w:val="32"/>
        </w:rPr>
        <w:t>项目效益权重为20分。</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cs="Times New Roman"/>
          <w:b w:val="0"/>
          <w:bCs w:val="0"/>
          <w:color w:val="auto"/>
        </w:rPr>
      </w:pPr>
      <w:r>
        <w:rPr>
          <w:rFonts w:hint="default" w:ascii="Times New Roman" w:hAnsi="Times New Roman" w:eastAsia="仿宋_GB2312" w:cs="Times New Roman"/>
          <w:b/>
          <w:bCs/>
          <w:color w:val="auto"/>
          <w:sz w:val="32"/>
          <w:szCs w:val="32"/>
          <w:lang w:val="en-US" w:eastAsia="zh-CN"/>
        </w:rPr>
        <w:t>成本效益分析法：</w:t>
      </w:r>
      <w:r>
        <w:rPr>
          <w:rFonts w:hint="default" w:ascii="Times New Roman" w:hAnsi="Times New Roman" w:eastAsia="仿宋_GB2312" w:cs="Times New Roman"/>
          <w:color w:val="auto"/>
          <w:sz w:val="32"/>
          <w:szCs w:val="32"/>
          <w:lang w:val="en-US" w:eastAsia="zh-CN"/>
        </w:rPr>
        <w:t>将项目的预算支出安排与预期效益进行对比分析，以评价绩效目标的预期实现程度。</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bookmarkStart w:id="0" w:name="_Toc31464"/>
      <w:bookmarkStart w:id="1" w:name="_Toc17882"/>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pPr>
        <w:pStyle w:val="11"/>
        <w:keepNext w:val="0"/>
        <w:keepLines w:val="0"/>
        <w:pageBreakBefore w:val="0"/>
        <w:numPr>
          <w:ilvl w:val="0"/>
          <w:numId w:val="2"/>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w:t>
      </w:r>
      <w:r>
        <w:rPr>
          <w:rFonts w:hint="eastAsia" w:eastAsia="仿宋_GB2312" w:cs="Times New Roman"/>
          <w:sz w:val="32"/>
          <w:szCs w:val="32"/>
          <w:lang w:val="en-US" w:eastAsia="zh-CN"/>
        </w:rPr>
        <w:t>项目负责科室和负责人</w:t>
      </w:r>
      <w:r>
        <w:rPr>
          <w:rFonts w:hint="default" w:ascii="Times New Roman" w:hAnsi="Times New Roman" w:eastAsia="仿宋_GB2312" w:cs="Times New Roman"/>
          <w:sz w:val="32"/>
          <w:szCs w:val="32"/>
        </w:rPr>
        <w:t>，开展前期调研；其次明确项目绩效目标，确定绩效评价方法。</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eastAsia" w:ascii="Times New Roman" w:hAnsi="Times New Roman" w:eastAsia="仿宋_GB2312" w:cs="Times New Roman"/>
          <w:sz w:val="32"/>
          <w:szCs w:val="32"/>
          <w:lang w:val="en-US" w:eastAsia="zh-CN"/>
        </w:rPr>
        <w:t>按照绩效评价要求，</w:t>
      </w:r>
      <w:r>
        <w:rPr>
          <w:rFonts w:hint="default" w:ascii="Times New Roman" w:hAnsi="Times New Roman" w:eastAsia="仿宋_GB2312" w:cs="Times New Roman"/>
          <w:sz w:val="32"/>
          <w:szCs w:val="32"/>
        </w:rPr>
        <w:t>收集项目立项依据、相关会议纪要、实施方案、财政资金分配方案、支付管理情况等相关评价资料并进行梳理。</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一</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w:t>
      </w:r>
      <w:r>
        <w:rPr>
          <w:rFonts w:hint="eastAsia" w:ascii="Times New Roman" w:hAnsi="Times New Roman" w:eastAsia="仿宋_GB2312" w:cs="Times New Roman"/>
          <w:b w:val="0"/>
          <w:bCs w:val="0"/>
          <w:kern w:val="28"/>
          <w:sz w:val="32"/>
          <w:szCs w:val="32"/>
          <w:lang w:val="en-US" w:eastAsia="zh-CN" w:bidi="ar-SA"/>
        </w:rPr>
        <w:t>程中</w:t>
      </w:r>
      <w:r>
        <w:rPr>
          <w:rFonts w:hint="default"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ascii="Times New Roman" w:hAnsi="Times New Roman" w:eastAsia="仿宋_GB2312" w:cs="Times New Roman"/>
          <w:b w:val="0"/>
          <w:bCs w:val="0"/>
          <w:kern w:val="28"/>
          <w:sz w:val="32"/>
          <w:szCs w:val="32"/>
          <w:lang w:val="en-US" w:eastAsia="zh-CN" w:bidi="ar-SA"/>
        </w:rPr>
        <w:t>地</w:t>
      </w:r>
      <w:r>
        <w:rPr>
          <w:rFonts w:hint="default" w:ascii="Times New Roman" w:hAnsi="Times New Roman" w:eastAsia="仿宋_GB2312" w:cs="Times New Roman"/>
          <w:b w:val="0"/>
          <w:bCs w:val="0"/>
          <w:kern w:val="28"/>
          <w:sz w:val="32"/>
          <w:szCs w:val="32"/>
          <w:lang w:val="en-US" w:eastAsia="zh-CN" w:bidi="ar-SA"/>
        </w:rPr>
        <w:t>发挥，保障项目如期按要求完成。规范项目档案资料的整理。项目的实施达到项目预期效果。</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二</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评价结论</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分，属</w:t>
      </w:r>
      <w:r>
        <w:rPr>
          <w:rFonts w:hint="default" w:ascii="Times New Roman" w:hAnsi="Times New Roman" w:eastAsia="仿宋_GB2312" w:cs="Times New Roman"/>
          <w:b w:val="0"/>
          <w:bCs w:val="0"/>
          <w:highlight w:val="none"/>
        </w:rPr>
        <w:t>于“</w:t>
      </w:r>
      <w:r>
        <w:rPr>
          <w:rFonts w:hint="eastAsia" w:ascii="Times New Roman" w:hAnsi="Times New Roman" w:eastAsia="仿宋_GB2312" w:cs="Times New Roman"/>
          <w:b w:val="0"/>
          <w:bCs w:val="0"/>
          <w:highlight w:val="none"/>
          <w:lang w:val="en-US" w:eastAsia="zh-CN"/>
        </w:rPr>
        <w:t>优</w:t>
      </w:r>
      <w:r>
        <w:rPr>
          <w:rFonts w:hint="default" w:ascii="Times New Roman" w:hAnsi="Times New Roman" w:eastAsia="仿宋_GB2312" w:cs="Times New Roman"/>
          <w:b w:val="0"/>
          <w:bCs w:val="0"/>
          <w:highlight w:val="none"/>
        </w:rPr>
        <w:t xml:space="preserve">”。其中，项目决策类指标权重为20分，得分为20分，得分率为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w:t>
      </w: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val="en-US" w:eastAsia="zh-CN"/>
        </w:rPr>
        <w:t>项目成本类指标权重10分</w:t>
      </w:r>
      <w:r>
        <w:rPr>
          <w:rFonts w:hint="default" w:ascii="Times New Roman" w:hAnsi="Times New Roman" w:eastAsia="仿宋_GB2312" w:cs="Times New Roman"/>
          <w:b w:val="0"/>
          <w:bCs w:val="0"/>
          <w:highlight w:val="none"/>
        </w:rPr>
        <w:t>，得分为</w:t>
      </w:r>
      <w:r>
        <w:rPr>
          <w:rFonts w:hint="eastAsia" w:ascii="Times New Roman" w:hAnsi="Times New Roman" w:eastAsia="仿宋_GB2312" w:cs="Times New Roman"/>
          <w:b w:val="0"/>
          <w:bCs w:val="0"/>
          <w:highlight w:val="none"/>
          <w:lang w:val="en-US" w:eastAsia="zh-CN"/>
        </w:rPr>
        <w:t>10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1"/>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5"/>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default" w:ascii="Times New Roman" w:hAnsi="Times New Roman"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10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100</w:t>
            </w:r>
          </w:p>
        </w:tc>
      </w:tr>
    </w:tbl>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1"/>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（一）项目决策情况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细化情况。绩效目标表经过审核，绩效目标与实际工作内容具有相关性，预算与确定的项目投资额相匹配，对项目任务进行了详细分解。项目预期产出效益及效果符合正常的业绩水平。</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pPr>
        <w:pStyle w:val="11"/>
        <w:keepNext w:val="0"/>
        <w:keepLines w:val="0"/>
        <w:pageBreakBefore w:val="0"/>
        <w:numPr>
          <w:ilvl w:val="0"/>
          <w:numId w:val="4"/>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130.00万元</w:t>
      </w:r>
      <w:r>
        <w:rPr>
          <w:rFonts w:hint="default" w:ascii="Times New Roman" w:hAnsi="Times New Roman" w:eastAsia="仿宋_GB2312" w:cs="Times New Roman"/>
          <w:sz w:val="32"/>
          <w:szCs w:val="32"/>
          <w:highlight w:val="none"/>
          <w:lang w:val="en-US" w:eastAsia="zh-CN"/>
        </w:rPr>
        <w:t>，财政资金及时足额到位，到位率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b w:val="0"/>
          <w:bCs w:val="0"/>
          <w:kern w:val="2"/>
          <w:sz w:val="32"/>
          <w:szCs w:val="32"/>
          <w:highlight w:val="none"/>
          <w:lang w:val="en-US" w:eastAsia="zh-CN" w:bidi="ar-SA"/>
        </w:rPr>
        <w:t>130.00万元</w:t>
      </w:r>
      <w:r>
        <w:rPr>
          <w:rFonts w:hint="default" w:ascii="Times New Roman" w:hAnsi="Times New Roman" w:eastAsia="仿宋_GB2312" w:cs="Times New Roman"/>
          <w:sz w:val="32"/>
          <w:szCs w:val="32"/>
          <w:highlight w:val="none"/>
          <w:lang w:val="en-US" w:eastAsia="zh-CN"/>
        </w:rPr>
        <w:t>，预算执行率为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highlight w:val="none"/>
          <w:lang w:val="en-US" w:eastAsia="zh-CN" w:bidi="ar-SA"/>
        </w:rPr>
        <w:t>《</w:t>
      </w:r>
      <w:r>
        <w:rPr>
          <w:rFonts w:hint="eastAsia" w:eastAsia="仿宋_GB2312" w:cs="Times New Roman"/>
          <w:b w:val="0"/>
          <w:bCs w:val="0"/>
          <w:kern w:val="2"/>
          <w:sz w:val="32"/>
          <w:szCs w:val="32"/>
          <w:highlight w:val="none"/>
          <w:lang w:val="en-US" w:eastAsia="zh-CN" w:bidi="ar-SA"/>
        </w:rPr>
        <w:t>哈密市财政局内部控制制度</w:t>
      </w:r>
      <w:r>
        <w:rPr>
          <w:rFonts w:hint="default"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lang w:val="en-US" w:eastAsia="zh-CN" w:bidi="ar-SA"/>
        </w:rPr>
        <w:t>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3"/>
        <w:keepNext w:val="0"/>
        <w:keepLines w:val="0"/>
        <w:pageBreakBefore w:val="0"/>
        <w:numPr>
          <w:ilvl w:val="0"/>
          <w:numId w:val="4"/>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项目产出</w:t>
      </w:r>
      <w:r>
        <w:rPr>
          <w:rFonts w:hint="default" w:ascii="Times New Roman" w:hAnsi="Times New Roman" w:eastAsia="楷体" w:cs="Times New Roman"/>
          <w:b/>
          <w:bCs/>
          <w:sz w:val="32"/>
          <w:szCs w:val="32"/>
          <w:lang w:val="en-US" w:eastAsia="zh-CN"/>
        </w:rPr>
        <w:t>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项目产出类指标包括产出数量、产出质量、产出时效三方面的内容，</w:t>
      </w:r>
      <w:r>
        <w:rPr>
          <w:rFonts w:hint="default" w:ascii="Times New Roman" w:hAnsi="Times New Roman" w:eastAsia="仿宋_GB2312" w:cs="Times New Roman"/>
          <w:sz w:val="32"/>
          <w:szCs w:val="32"/>
          <w:highlight w:val="none"/>
          <w:lang w:val="en-US" w:eastAsia="zh-CN"/>
        </w:rPr>
        <w:t>由3个三级指标构成，权重分为30分，实际得分</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指标1：购置数据库审计与风险控制系统目标值=1套，实际完成值1套，完成率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购置主机安全及管理系统目标值=1套，实际完成值1套，完成率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购置运维审计与风险控制系统目标值=1套，实际完成值1套，完成率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购置安全网关、远程安全评估系统目标值=1套，实际完成值1套，完成率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购置网络准入系统目标值=1套，实际完成值1套，完成率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安全隔离与信息交换系统等网络安全设备及机房环境改造项目目标值=1个，实际完成值1个，完成率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系统保护测评目标值=1次，实际完成值1次，完成率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系统正常使用率（%）目标值&gt;=95%，实际完成值100%，完成率</w:t>
      </w:r>
      <w:r>
        <w:rPr>
          <w:rFonts w:hint="eastAsia" w:eastAsia="仿宋_GB2312" w:cs="Times New Roman"/>
          <w:sz w:val="32"/>
          <w:szCs w:val="32"/>
          <w:highlight w:val="none"/>
          <w:lang w:val="en-US" w:eastAsia="zh-CN"/>
        </w:rPr>
        <w:t>105.3</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，项目严格按照相关要求进行实施 措施：提升绩效科学管理水平，制定更加合理精确的绩效指标，严格按照项目实施的相关要求进行项目的实施。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测评数据合格率目标值&gt;=90%，实际完成值100%，完成率</w:t>
      </w:r>
      <w:r>
        <w:rPr>
          <w:rFonts w:hint="eastAsia" w:eastAsia="仿宋_GB2312" w:cs="Times New Roman"/>
          <w:sz w:val="32"/>
          <w:szCs w:val="32"/>
          <w:highlight w:val="none"/>
          <w:lang w:val="en-US" w:eastAsia="zh-CN"/>
        </w:rPr>
        <w:t>111.1</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，项目严格按照相关要求进行实施 措施：提升绩效科学管理水平，制定更加合理精确的绩效指标，严格按照项目实施的相关要求进行项目的实施。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验收合格率目标值&gt;=9</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%，实际完成值100%，完成率</w:t>
      </w:r>
      <w:r>
        <w:rPr>
          <w:rFonts w:hint="eastAsia" w:eastAsia="仿宋_GB2312" w:cs="Times New Roman"/>
          <w:sz w:val="32"/>
          <w:szCs w:val="32"/>
          <w:highlight w:val="none"/>
          <w:lang w:val="en-US" w:eastAsia="zh-CN"/>
        </w:rPr>
        <w:t>105.3</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，项目严格按照相关要求进行实施 措施：提升绩效科学管理水平，制定更加合理精确的绩效指标，严格按照项目实施的相关要求进行项目的实施。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系统故障率目标值&lt;=10%，实际完成值10%，完成率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系统运维及时率（%）目标值&gt;=95%，实际完成值100%，完成率</w:t>
      </w:r>
      <w:r>
        <w:rPr>
          <w:rFonts w:hint="eastAsia" w:eastAsia="仿宋_GB2312" w:cs="Times New Roman"/>
          <w:sz w:val="32"/>
          <w:szCs w:val="32"/>
          <w:highlight w:val="none"/>
          <w:lang w:val="en-US" w:eastAsia="zh-CN"/>
        </w:rPr>
        <w:t>105.3</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，项目严格按照相关要求进行实施 措施：提升绩效科学管理水平，制定更加合理精确的绩效指标，严格按照项目实施的相关要求进行项目的实施。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设备购置及时率目标值&gt;=95%，实际完成值100%，完成率</w:t>
      </w:r>
      <w:r>
        <w:rPr>
          <w:rFonts w:hint="eastAsia" w:eastAsia="仿宋_GB2312" w:cs="Times New Roman"/>
          <w:sz w:val="32"/>
          <w:szCs w:val="32"/>
          <w:highlight w:val="none"/>
          <w:lang w:val="en-US" w:eastAsia="zh-CN"/>
        </w:rPr>
        <w:t>105.3</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，项目严格按照相关要求进行实施 措施：提升绩效科学管理水平，制定更加合理精确的绩效指标，严格按照项目实施的相关要求进行项目的实施。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等级测评及时率目标值&gt;=95%，实际完成值100%，完成率</w:t>
      </w:r>
      <w:r>
        <w:rPr>
          <w:rFonts w:hint="eastAsia" w:eastAsia="仿宋_GB2312" w:cs="Times New Roman"/>
          <w:sz w:val="32"/>
          <w:szCs w:val="32"/>
          <w:highlight w:val="none"/>
          <w:lang w:val="en-US" w:eastAsia="zh-CN"/>
        </w:rPr>
        <w:t>105.3</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，项目严格按照相关要求进行实施 措施：提升绩效科学管理水平，制定更加合理精确的绩效指标，严格按照项目实施的相关要求进行项目的实施。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系统故障修复处理时间目标值&lt;=3天，实际完成值1</w:t>
      </w:r>
      <w:r>
        <w:rPr>
          <w:rFonts w:hint="eastAsia" w:eastAsia="仿宋_GB2312" w:cs="Times New Roman"/>
          <w:sz w:val="32"/>
          <w:szCs w:val="32"/>
          <w:highlight w:val="none"/>
          <w:lang w:val="en-US" w:eastAsia="zh-CN"/>
        </w:rPr>
        <w:t>天</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系统运行维护相应时间目标值&lt;=2小时，实际完成值1</w:t>
      </w:r>
      <w:r>
        <w:rPr>
          <w:rFonts w:hint="eastAsia" w:eastAsia="仿宋_GB2312" w:cs="Times New Roman"/>
          <w:sz w:val="32"/>
          <w:szCs w:val="32"/>
          <w:highlight w:val="none"/>
          <w:lang w:val="en-US" w:eastAsia="zh-CN"/>
        </w:rPr>
        <w:t>小时</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3"/>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（四）项目成本情况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lang w:val="en-US" w:eastAsia="zh-CN"/>
        </w:rPr>
        <w:t>项目成本类指标包括经济成本、社会成本、生态环境成本三方面的内容，</w:t>
      </w:r>
      <w:r>
        <w:rPr>
          <w:rFonts w:hint="default" w:ascii="Times New Roman" w:hAnsi="Times New Roman" w:eastAsia="仿宋_GB2312" w:cs="Times New Roman"/>
          <w:sz w:val="32"/>
          <w:szCs w:val="32"/>
          <w:highlight w:val="none"/>
          <w:lang w:val="en-US" w:eastAsia="zh-CN"/>
        </w:rPr>
        <w:t>由1个三级指标构成，权重分为10分，实际得分</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④项目成本情况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等级保护测评目标值&lt;=15万元，实际完成值</w:t>
      </w:r>
      <w:r>
        <w:rPr>
          <w:rFonts w:hint="eastAsia" w:eastAsia="仿宋_GB2312" w:cs="Times New Roman"/>
          <w:sz w:val="32"/>
          <w:szCs w:val="32"/>
          <w:highlight w:val="none"/>
          <w:lang w:val="en-US" w:eastAsia="zh-CN"/>
        </w:rPr>
        <w:t>15万元</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机房等级保护安全设备、系统费用目标值&lt;=115万元，实际完成值</w:t>
      </w:r>
      <w:r>
        <w:rPr>
          <w:rFonts w:hint="eastAsia" w:eastAsia="仿宋_GB2312" w:cs="Times New Roman"/>
          <w:sz w:val="32"/>
          <w:szCs w:val="32"/>
          <w:highlight w:val="none"/>
          <w:lang w:val="en-US" w:eastAsia="zh-CN"/>
        </w:rPr>
        <w:t>115万元</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pStyle w:val="13"/>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（五）项目效益情况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项目效益类指标包括项目实施效益和满意度两方面的内容，由2个三级指标构成，权重分为20分，实际得分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pPr>
        <w:keepNext w:val="0"/>
        <w:keepLines w:val="0"/>
        <w:pageBreakBefore w:val="0"/>
        <w:numPr>
          <w:ilvl w:val="0"/>
          <w:numId w:val="5"/>
        </w:numPr>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eastAsia" w:eastAsia="仿宋_GB2312" w:cs="Times New Roman"/>
          <w:sz w:val="32"/>
          <w:szCs w:val="32"/>
          <w:highlight w:val="none"/>
          <w:lang w:val="en-US" w:eastAsia="zh-CN"/>
        </w:rPr>
        <w:t>经济</w:t>
      </w:r>
      <w:r>
        <w:rPr>
          <w:rFonts w:hint="default" w:ascii="Times New Roman" w:hAnsi="Times New Roman" w:eastAsia="仿宋_GB2312" w:cs="Times New Roman"/>
          <w:sz w:val="32"/>
          <w:szCs w:val="32"/>
          <w:highlight w:val="none"/>
        </w:rPr>
        <w:t>效益指标：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设备利用率目标值&gt;=95%，实际完成值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105.3</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，项目严格按照相关要求进行实施 措施：提升绩效科学管理水平，制定更加合理精确的绩效指标，严格按照项目实施的相关要求进行项目的实施。</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Calibri" w:hAnsi="Calibri" w:eastAsia="仿宋_GB2312" w:cs="Calibri"/>
          <w:sz w:val="32"/>
          <w:szCs w:val="32"/>
          <w:highlight w:val="none"/>
          <w:lang w:val="en-US" w:eastAsia="zh-CN"/>
        </w:rPr>
        <w:t>②</w:t>
      </w:r>
      <w:r>
        <w:rPr>
          <w:rFonts w:hint="eastAsia" w:eastAsia="仿宋_GB2312" w:cs="Times New Roman"/>
          <w:sz w:val="32"/>
          <w:szCs w:val="32"/>
          <w:highlight w:val="none"/>
          <w:lang w:val="en-US" w:eastAsia="zh-CN"/>
        </w:rPr>
        <w:t>社会</w:t>
      </w:r>
      <w:r>
        <w:rPr>
          <w:rFonts w:hint="default" w:ascii="Times New Roman" w:hAnsi="Times New Roman" w:eastAsia="仿宋_GB2312" w:cs="Times New Roman"/>
          <w:sz w:val="32"/>
          <w:szCs w:val="32"/>
          <w:highlight w:val="none"/>
        </w:rPr>
        <w:t>效益指标：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财政信息系统安全目标值提升，实际完成值</w:t>
      </w:r>
      <w:r>
        <w:rPr>
          <w:rFonts w:hint="eastAsia" w:eastAsia="仿宋_GB2312" w:cs="Times New Roman"/>
          <w:sz w:val="32"/>
          <w:szCs w:val="32"/>
          <w:highlight w:val="none"/>
          <w:lang w:val="en-US" w:eastAsia="zh-CN"/>
        </w:rPr>
        <w:t>提升</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财政人员使用满意度目标值&gt;=95%，实际完成值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105.3</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，年初设置目标较低，无法进行精确估算，实际值与年初目标有偏差 措施：提升绩效科学管理水平，制定更加合理精确的绩效指标，严格按照项目实施的相关要求进行项目的实施。</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Style w:val="19"/>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pPr>
        <w:keepNext w:val="0"/>
        <w:keepLines w:val="0"/>
        <w:pageBreakBefore w:val="0"/>
        <w:kinsoku/>
        <w:wordWrap/>
        <w:overflowPunct/>
        <w:topLinePunct w:val="0"/>
        <w:autoSpaceDE/>
        <w:autoSpaceDN/>
        <w:bidi w:val="0"/>
        <w:adjustRightInd/>
        <w:snapToGrid/>
        <w:spacing w:line="560" w:lineRule="exact"/>
        <w:ind w:firstLine="627" w:firstLineChars="200"/>
        <w:jc w:val="both"/>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keepNext w:val="0"/>
        <w:keepLines w:val="0"/>
        <w:pageBreakBefore w:val="0"/>
        <w:kinsoku/>
        <w:wordWrap/>
        <w:overflowPunct/>
        <w:topLinePunct w:val="0"/>
        <w:autoSpaceDE/>
        <w:autoSpaceDN/>
        <w:bidi w:val="0"/>
        <w:spacing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1"/>
        <w:keepNext w:val="0"/>
        <w:keepLines w:val="0"/>
        <w:pageBreakBefore w:val="0"/>
        <w:kinsoku/>
        <w:wordWrap/>
        <w:overflowPunct/>
        <w:topLinePunct w:val="0"/>
        <w:autoSpaceDE/>
        <w:autoSpaceDN/>
        <w:bidi w:val="0"/>
        <w:spacing w:before="0" w:after="0" w:line="560" w:lineRule="exact"/>
        <w:ind w:firstLine="640" w:firstLineChars="200"/>
        <w:jc w:val="both"/>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3" w:firstLineChars="200"/>
        <w:jc w:val="both"/>
        <w:textAlignment w:val="baseline"/>
        <w:outlineLvl w:val="9"/>
        <w:rPr>
          <w:rFonts w:hint="default" w:ascii="Times New Roman" w:hAnsi="Times New Roman" w:eastAsia="楷体" w:cs="Times New Roman"/>
          <w:b/>
          <w:bCs/>
          <w:color w:val="auto"/>
          <w:sz w:val="32"/>
          <w:szCs w:val="32"/>
          <w:u w:val="none" w:color="auto"/>
          <w:lang w:val="en-US" w:eastAsia="zh-CN"/>
        </w:rPr>
      </w:pPr>
      <w:r>
        <w:rPr>
          <w:rFonts w:hint="default" w:ascii="Times New Roman" w:hAnsi="Times New Roman" w:eastAsia="楷体" w:cs="Times New Roman"/>
          <w:b/>
          <w:bCs/>
          <w:color w:val="auto"/>
          <w:sz w:val="32"/>
          <w:szCs w:val="32"/>
          <w:u w:val="none" w:color="auto"/>
          <w:lang w:val="en-US" w:eastAsia="zh-CN"/>
        </w:rPr>
        <w:t>（二）存在的问题及原因分析</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eastAsia" w:ascii="黑体" w:hAnsi="黑体" w:eastAsia="黑体" w:cs="黑体"/>
          <w:b/>
          <w:bCs/>
          <w:sz w:val="32"/>
          <w:szCs w:val="32"/>
          <w:highlight w:val="none"/>
          <w:lang w:val="en-US" w:eastAsia="zh-CN"/>
        </w:rPr>
      </w:pPr>
      <w:r>
        <w:rPr>
          <w:rFonts w:hint="eastAsia" w:ascii="黑体" w:hAnsi="黑体" w:eastAsia="黑体" w:cs="黑体"/>
          <w:sz w:val="32"/>
          <w:szCs w:val="32"/>
          <w:lang w:val="en-US" w:eastAsia="zh-CN"/>
        </w:rPr>
        <w:t>六</w:t>
      </w:r>
      <w:r>
        <w:rPr>
          <w:rFonts w:hint="eastAsia" w:ascii="黑体" w:hAnsi="黑体" w:eastAsia="黑体" w:cs="黑体"/>
          <w:b w:val="0"/>
          <w:bCs w:val="0"/>
          <w:color w:val="auto"/>
          <w:sz w:val="32"/>
          <w:szCs w:val="32"/>
          <w:u w:val="none" w:color="auto"/>
          <w:lang w:val="en-US" w:eastAsia="zh-CN"/>
        </w:rPr>
        <w:t>、</w:t>
      </w:r>
      <w:r>
        <w:rPr>
          <w:rFonts w:hint="eastAsia" w:ascii="黑体" w:hAnsi="黑体" w:eastAsia="黑体" w:cs="黑体"/>
          <w:b/>
          <w:bCs/>
          <w:sz w:val="32"/>
          <w:szCs w:val="32"/>
          <w:highlight w:val="none"/>
          <w:lang w:val="en-US" w:eastAsia="zh-CN"/>
        </w:rPr>
        <w:t>有关建议</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eastAsia" w:ascii="Times New Roman" w:hAnsi="Times New Roman" w:eastAsia="仿宋_GB2312" w:cs="Times New Roman"/>
          <w:b w:val="0"/>
          <w:bCs w:val="0"/>
          <w:color w:val="auto"/>
          <w:sz w:val="32"/>
          <w:szCs w:val="32"/>
          <w:u w:val="none" w:color="auto"/>
          <w:lang w:val="en-US" w:eastAsia="zh-CN"/>
        </w:rPr>
        <w:t>规范项目资金财务核算，强化项目实施过程监管力度，定期对项目资金预算绩效目标完成情况进行检查，确保专项资金用在“刀刃上”实时催促项目资金支付进度，提高资金执行度。</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七</w:t>
      </w:r>
      <w:r>
        <w:rPr>
          <w:rFonts w:hint="default" w:ascii="黑体" w:hAnsi="黑体" w:eastAsia="黑体" w:cs="黑体"/>
          <w:sz w:val="32"/>
          <w:szCs w:val="32"/>
          <w:lang w:val="en-US" w:eastAsia="zh-Hans"/>
        </w:rPr>
        <w:t>、</w:t>
      </w:r>
      <w:r>
        <w:rPr>
          <w:rFonts w:hint="default" w:ascii="黑体" w:hAnsi="黑体" w:eastAsia="黑体" w:cs="黑体"/>
          <w:sz w:val="32"/>
          <w:szCs w:val="32"/>
          <w:lang w:val="en-US" w:eastAsia="zh-CN"/>
        </w:rPr>
        <w:t>其他需</w:t>
      </w:r>
      <w:bookmarkStart w:id="2" w:name="page8"/>
      <w:bookmarkEnd w:id="2"/>
      <w:r>
        <w:rPr>
          <w:rFonts w:hint="default" w:ascii="黑体" w:hAnsi="黑体" w:eastAsia="黑体" w:cs="黑体"/>
          <w:sz w:val="32"/>
          <w:szCs w:val="32"/>
          <w:lang w:val="en-US" w:eastAsia="zh-CN"/>
        </w:rPr>
        <w:t>要说明的问题</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1、该项目在财政的指导和帮助下，项目在资金申请前置条件的落实上，发挥了积极的“花钱必问效，无效必问责”的项目绩效管理和实施的理念引导；</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2、项目实施的过程中进行了绩效的全过程管理，资金使用流程严谨合规，确保资金用途显效、高效；</w:t>
      </w:r>
    </w:p>
    <w:p>
      <w:pPr>
        <w:pStyle w:val="2"/>
        <w:rPr>
          <w:rFonts w:hint="default" w:ascii="Times New Roman" w:hAnsi="Times New Roman" w:cs="Times New Roman"/>
          <w:lang w:val="en-US" w:eastAsia="zh-CN"/>
        </w:rPr>
        <w:sectPr>
          <w:pgSz w:w="11906" w:h="16838"/>
          <w:pgMar w:top="1440" w:right="1558" w:bottom="1440" w:left="1800" w:header="851" w:footer="992" w:gutter="0"/>
          <w:cols w:space="425" w:num="1"/>
          <w:docGrid w:type="lines" w:linePitch="312" w:charSpace="0"/>
        </w:sectPr>
      </w:pPr>
    </w:p>
    <w:p>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pPr>
        <w:pStyle w:val="20"/>
        <w:ind w:firstLine="562"/>
        <w:jc w:val="center"/>
        <w:rPr>
          <w:rFonts w:hint="default" w:ascii="Times New Roman" w:hAnsi="Times New Roman" w:eastAsia="仿宋_GB2312" w:cs="Times New Roman"/>
          <w:b w:val="0"/>
          <w:bCs w:val="0"/>
          <w:sz w:val="32"/>
          <w:szCs w:val="32"/>
        </w:rPr>
      </w:pPr>
      <w:bookmarkStart w:id="3" w:name="_Toc30064_WPSOffice_Level1"/>
      <w:bookmarkStart w:id="4" w:name="_Toc26499_WPSOffice_Level2"/>
      <w:r>
        <w:rPr>
          <w:rFonts w:hint="eastAsia" w:eastAsia="仿宋_GB2312" w:cs="Times New Roman"/>
          <w:b/>
          <w:bCs/>
          <w:color w:val="auto"/>
          <w:sz w:val="32"/>
          <w:szCs w:val="32"/>
          <w:lang w:val="en-US" w:eastAsia="zh-CN"/>
        </w:rPr>
        <w:t>机房等级保护升级及测评项目</w:t>
      </w:r>
      <w:r>
        <w:rPr>
          <w:rFonts w:hint="default" w:ascii="Times New Roman" w:hAnsi="Times New Roman" w:eastAsia="仿宋_GB2312" w:cs="Times New Roman"/>
          <w:b/>
          <w:bCs/>
          <w:color w:val="auto"/>
          <w:sz w:val="32"/>
          <w:szCs w:val="32"/>
        </w:rPr>
        <w:t>绩效评价指标体系及综合评分表</w:t>
      </w:r>
      <w:bookmarkEnd w:id="3"/>
      <w:bookmarkEnd w:id="4"/>
    </w:p>
    <w:tbl>
      <w:tblPr>
        <w:tblStyle w:val="15"/>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①项目立项是否符合国家法律法规、国民经济和社会发展规划</w:t>
            </w:r>
            <w:r>
              <w:rPr>
                <w:rFonts w:hint="default" w:ascii="Times New Roman" w:hAnsi="Times New Roman" w:eastAsia="仿宋_GB2312" w:cs="Times New Roman"/>
                <w:color w:val="000000"/>
                <w:kern w:val="0"/>
                <w:sz w:val="22"/>
                <w:szCs w:val="22"/>
              </w:rPr>
              <w:t>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w:t>
            </w:r>
            <w:bookmarkStart w:id="5" w:name="_GoBack"/>
            <w:bookmarkEnd w:id="5"/>
            <w:r>
              <w:rPr>
                <w:rFonts w:hint="default" w:ascii="Times New Roman" w:hAnsi="Times New Roman" w:eastAsia="仿宋_GB2312" w:cs="Times New Roman"/>
                <w:color w:val="000000"/>
                <w:kern w:val="0"/>
                <w:sz w:val="22"/>
                <w:szCs w:val="22"/>
              </w:rPr>
              <w:t>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w:t>
            </w:r>
            <w:r>
              <w:rPr>
                <w:rFonts w:hint="eastAsia" w:ascii="Times New Roman" w:hAnsi="Times New Roman" w:eastAsia="仿宋_GB2312" w:cs="Times New Roman"/>
                <w:color w:val="000000"/>
                <w:kern w:val="0"/>
                <w:sz w:val="22"/>
                <w:szCs w:val="22"/>
                <w:lang w:eastAsia="zh-CN"/>
              </w:rPr>
              <w:t>数量</w:t>
            </w:r>
            <w:r>
              <w:rPr>
                <w:rFonts w:hint="default" w:ascii="Times New Roman" w:hAnsi="Times New Roman" w:eastAsia="仿宋_GB2312" w:cs="Times New Roman"/>
                <w:color w:val="000000"/>
                <w:kern w:val="0"/>
                <w:sz w:val="22"/>
                <w:szCs w:val="22"/>
              </w:rPr>
              <w:t>：项目绩效目标确定的在一定时期（本年度或项目期）内计划产出的产品或提供的服务数量。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4C7A9BA-C603-444F-9F59-FC6AC1B71F9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B1B7A47D-5724-4B09-9386-605E266F2FAA}"/>
  </w:font>
  <w:font w:name="仿宋_GB2312">
    <w:panose1 w:val="02010609030101010101"/>
    <w:charset w:val="86"/>
    <w:family w:val="modern"/>
    <w:pitch w:val="default"/>
    <w:sig w:usb0="00000001" w:usb1="080E0000" w:usb2="00000000" w:usb3="00000000" w:csb0="00040000" w:csb1="00000000"/>
    <w:embedRegular r:id="rId3" w:fontKey="{FF54AD19-D484-4BAD-B4CA-9126ECEA330C}"/>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000" w:usb1="00000000" w:usb2="00000000" w:usb3="00000000" w:csb0="00000000" w:csb1="00000000"/>
    <w:embedRegular r:id="rId4" w:fontKey="{7D8E7D88-6388-4FC6-89AB-3ECE27246E1B}"/>
  </w:font>
  <w:font w:name="方正小标宋_GBK">
    <w:panose1 w:val="02000000000000000000"/>
    <w:charset w:val="86"/>
    <w:family w:val="script"/>
    <w:pitch w:val="default"/>
    <w:sig w:usb0="00000000" w:usb1="00000000" w:usb2="00000000" w:usb3="00000000" w:csb0="00000000" w:csb1="00000000"/>
    <w:embedRegular r:id="rId5" w:fontKey="{2B2D2D0A-7BE8-4320-9F54-43B63B9B37E0}"/>
  </w:font>
  <w:font w:name="楷体">
    <w:panose1 w:val="02010609060101010101"/>
    <w:charset w:val="86"/>
    <w:family w:val="modern"/>
    <w:pitch w:val="default"/>
    <w:sig w:usb0="800002BF" w:usb1="38CF7CFA" w:usb2="00000016" w:usb3="00000000" w:csb0="00040001" w:csb1="00000000"/>
    <w:embedRegular r:id="rId6" w:fontKey="{C6BD26B3-F80D-468A-9C20-F3D15B125D40}"/>
  </w:font>
  <w:font w:name="方正仿宋_GBK">
    <w:panose1 w:val="02000000000000000000"/>
    <w:charset w:val="86"/>
    <w:family w:val="auto"/>
    <w:pitch w:val="default"/>
    <w:sig w:usb0="00000000" w:usb1="00000000" w:usb2="00000000" w:usb3="00000000" w:csb0="00000000" w:csb1="00000000"/>
    <w:embedRegular r:id="rId7" w:fontKey="{444ADE0F-4730-4888-B851-698C05ACEEFC}"/>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EE7EB7"/>
    <w:multiLevelType w:val="singleLevel"/>
    <w:tmpl w:val="9FEE7EB7"/>
    <w:lvl w:ilvl="0" w:tentative="0">
      <w:start w:val="1"/>
      <w:numFmt w:val="decimal"/>
      <w:lvlText w:val="%1."/>
      <w:lvlJc w:val="left"/>
      <w:pPr>
        <w:tabs>
          <w:tab w:val="left" w:pos="312"/>
        </w:tabs>
      </w:p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FF6C4049"/>
    <w:rsid w:val="006F7242"/>
    <w:rsid w:val="007B168A"/>
    <w:rsid w:val="008B2CFE"/>
    <w:rsid w:val="00F26FF6"/>
    <w:rsid w:val="0176587A"/>
    <w:rsid w:val="048C0C43"/>
    <w:rsid w:val="06C212FF"/>
    <w:rsid w:val="07397B77"/>
    <w:rsid w:val="0A7B6C32"/>
    <w:rsid w:val="0C6F14A1"/>
    <w:rsid w:val="0C8968D9"/>
    <w:rsid w:val="10997D22"/>
    <w:rsid w:val="13471461"/>
    <w:rsid w:val="13B90F01"/>
    <w:rsid w:val="1450743D"/>
    <w:rsid w:val="1546307F"/>
    <w:rsid w:val="181066D2"/>
    <w:rsid w:val="1C671E73"/>
    <w:rsid w:val="1F66297E"/>
    <w:rsid w:val="21422358"/>
    <w:rsid w:val="2274173F"/>
    <w:rsid w:val="25DF3B13"/>
    <w:rsid w:val="269A1C04"/>
    <w:rsid w:val="274F0D9D"/>
    <w:rsid w:val="2A0B4834"/>
    <w:rsid w:val="2CF9477E"/>
    <w:rsid w:val="301478FA"/>
    <w:rsid w:val="310837FB"/>
    <w:rsid w:val="332F3CD0"/>
    <w:rsid w:val="365D722B"/>
    <w:rsid w:val="37825C5A"/>
    <w:rsid w:val="37DB0F72"/>
    <w:rsid w:val="38CA40DD"/>
    <w:rsid w:val="395F2B56"/>
    <w:rsid w:val="3BECE841"/>
    <w:rsid w:val="3DE77067"/>
    <w:rsid w:val="3E5C7AC8"/>
    <w:rsid w:val="3EC752B4"/>
    <w:rsid w:val="3F3C7A12"/>
    <w:rsid w:val="3FF7797D"/>
    <w:rsid w:val="447B120C"/>
    <w:rsid w:val="47485D81"/>
    <w:rsid w:val="478B255C"/>
    <w:rsid w:val="47CF127F"/>
    <w:rsid w:val="4A141ED8"/>
    <w:rsid w:val="4A185268"/>
    <w:rsid w:val="4C6E5E8B"/>
    <w:rsid w:val="4D992423"/>
    <w:rsid w:val="4E8041AC"/>
    <w:rsid w:val="50210A3F"/>
    <w:rsid w:val="50E45199"/>
    <w:rsid w:val="556F3A89"/>
    <w:rsid w:val="56F13969"/>
    <w:rsid w:val="57EB4295"/>
    <w:rsid w:val="589F1C86"/>
    <w:rsid w:val="5BFF6039"/>
    <w:rsid w:val="5C644823"/>
    <w:rsid w:val="5CEC7901"/>
    <w:rsid w:val="5D435C2E"/>
    <w:rsid w:val="5D537587"/>
    <w:rsid w:val="5D76A616"/>
    <w:rsid w:val="5D7F20B9"/>
    <w:rsid w:val="5DAC7D0E"/>
    <w:rsid w:val="5F98B5AF"/>
    <w:rsid w:val="5FF563E2"/>
    <w:rsid w:val="5FFE8511"/>
    <w:rsid w:val="5FFEACE2"/>
    <w:rsid w:val="61C77A0F"/>
    <w:rsid w:val="61D752DB"/>
    <w:rsid w:val="63AC0865"/>
    <w:rsid w:val="63EF4DCC"/>
    <w:rsid w:val="643EE26D"/>
    <w:rsid w:val="6463264D"/>
    <w:rsid w:val="64D64DCF"/>
    <w:rsid w:val="651B5F9F"/>
    <w:rsid w:val="654F1AD9"/>
    <w:rsid w:val="69927701"/>
    <w:rsid w:val="6D1A2060"/>
    <w:rsid w:val="6F5C41AC"/>
    <w:rsid w:val="6FAF6C78"/>
    <w:rsid w:val="70931E85"/>
    <w:rsid w:val="710A6EC7"/>
    <w:rsid w:val="71A61D10"/>
    <w:rsid w:val="7317C656"/>
    <w:rsid w:val="734ED73F"/>
    <w:rsid w:val="74640609"/>
    <w:rsid w:val="752F6306"/>
    <w:rsid w:val="772B5869"/>
    <w:rsid w:val="77FD8BE9"/>
    <w:rsid w:val="79A9BD3F"/>
    <w:rsid w:val="7AF621BE"/>
    <w:rsid w:val="7B3A2948"/>
    <w:rsid w:val="7BFFFDD0"/>
    <w:rsid w:val="7C336E5F"/>
    <w:rsid w:val="7C7E2229"/>
    <w:rsid w:val="7D7A5F86"/>
    <w:rsid w:val="7E64767A"/>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outlineLvl w:val="0"/>
    </w:pPr>
    <w:rPr>
      <w:rFonts w:ascii="仿宋_GB2312" w:hAnsi="仿宋_GB2312" w:eastAsia="黑体" w:cs="黑体"/>
      <w:kern w:val="44"/>
      <w:szCs w:val="32"/>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5">
    <w:name w:val="annotation text"/>
    <w:basedOn w:val="1"/>
    <w:link w:val="23"/>
    <w:qFormat/>
    <w:uiPriority w:val="0"/>
    <w:pPr>
      <w:jc w:val="left"/>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qFormat/>
    <w:uiPriority w:val="11"/>
    <w:pPr>
      <w:spacing w:before="240" w:after="60" w:line="312" w:lineRule="auto"/>
      <w:jc w:val="center"/>
      <w:outlineLvl w:val="1"/>
    </w:pPr>
    <w:rPr>
      <w:b/>
      <w:bCs/>
      <w:kern w:val="28"/>
      <w:sz w:val="32"/>
      <w:szCs w:val="32"/>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5"/>
    <w:next w:val="5"/>
    <w:link w:val="24"/>
    <w:qFormat/>
    <w:uiPriority w:val="0"/>
    <w:rPr>
      <w:b/>
      <w:bCs/>
    </w:rPr>
  </w:style>
  <w:style w:type="paragraph" w:styleId="13">
    <w:name w:val="Body Text First Indent"/>
    <w:basedOn w:val="2"/>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9522</Words>
  <Characters>9893</Characters>
  <Lines>58</Lines>
  <Paragraphs>16</Paragraphs>
  <TotalTime>16</TotalTime>
  <ScaleCrop>false</ScaleCrop>
  <LinksUpToDate>false</LinksUpToDate>
  <CharactersWithSpaces>9919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2024-09-25T10:54:03Z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66FF0395377F4040AC679B57473C612E_13</vt:lpwstr>
  </property>
</Properties>
</file>