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0FA9DE">
      <w:pPr>
        <w:spacing w:line="540" w:lineRule="exact"/>
        <w:jc w:val="center"/>
        <w:rPr>
          <w:rFonts w:hint="default" w:ascii="Times New Roman" w:hAnsi="Times New Roman" w:eastAsia="华文中宋" w:cs="Times New Roman"/>
          <w:b/>
          <w:kern w:val="0"/>
          <w:sz w:val="52"/>
          <w:szCs w:val="52"/>
        </w:rPr>
      </w:pPr>
    </w:p>
    <w:p w14:paraId="0362978E">
      <w:pPr>
        <w:spacing w:line="540" w:lineRule="exact"/>
        <w:rPr>
          <w:rFonts w:hint="default" w:ascii="Times New Roman" w:hAnsi="Times New Roman" w:eastAsia="华文中宋" w:cs="Times New Roman"/>
          <w:b/>
          <w:kern w:val="0"/>
          <w:sz w:val="52"/>
          <w:szCs w:val="52"/>
        </w:rPr>
      </w:pPr>
    </w:p>
    <w:p w14:paraId="4562B98F">
      <w:pPr>
        <w:spacing w:line="540" w:lineRule="exact"/>
        <w:jc w:val="center"/>
        <w:rPr>
          <w:rFonts w:hint="default" w:ascii="Times New Roman" w:hAnsi="Times New Roman" w:eastAsia="华文中宋" w:cs="Times New Roman"/>
          <w:b/>
          <w:kern w:val="0"/>
          <w:sz w:val="52"/>
          <w:szCs w:val="52"/>
        </w:rPr>
      </w:pPr>
    </w:p>
    <w:p w14:paraId="5B9FE47A">
      <w:pPr>
        <w:spacing w:line="540" w:lineRule="exact"/>
        <w:jc w:val="center"/>
        <w:rPr>
          <w:rFonts w:hint="default" w:ascii="Times New Roman" w:hAnsi="Times New Roman" w:eastAsia="华文中宋" w:cs="Times New Roman"/>
          <w:b/>
          <w:kern w:val="0"/>
          <w:sz w:val="52"/>
          <w:szCs w:val="52"/>
        </w:rPr>
      </w:pPr>
    </w:p>
    <w:p w14:paraId="652FADE5">
      <w:pPr>
        <w:spacing w:line="540" w:lineRule="exact"/>
        <w:jc w:val="center"/>
        <w:rPr>
          <w:rFonts w:hint="default" w:ascii="Times New Roman" w:hAnsi="Times New Roman" w:eastAsia="方正小标宋_GBK" w:cs="Times New Roman"/>
          <w:kern w:val="0"/>
          <w:sz w:val="48"/>
          <w:szCs w:val="48"/>
        </w:rPr>
      </w:pPr>
      <w:r>
        <w:rPr>
          <w:rFonts w:hint="eastAsia" w:eastAsia="黑体" w:cs="Times New Roman"/>
          <w:kern w:val="0"/>
          <w:sz w:val="48"/>
          <w:szCs w:val="48"/>
          <w:lang w:val="en-US" w:eastAsia="zh-CN"/>
        </w:rPr>
        <w:t>场地租赁费</w:t>
      </w:r>
      <w:r>
        <w:rPr>
          <w:rFonts w:hint="default" w:ascii="Times New Roman" w:hAnsi="Times New Roman" w:eastAsia="黑体" w:cs="Times New Roman"/>
          <w:kern w:val="0"/>
          <w:sz w:val="48"/>
          <w:szCs w:val="48"/>
        </w:rPr>
        <w:t>项目支出绩效评价报告</w:t>
      </w:r>
    </w:p>
    <w:p w14:paraId="1D99AC20">
      <w:pPr>
        <w:spacing w:line="540" w:lineRule="exact"/>
        <w:jc w:val="center"/>
        <w:rPr>
          <w:rFonts w:hint="default" w:ascii="Times New Roman" w:hAnsi="Times New Roman" w:eastAsia="华文中宋" w:cs="Times New Roman"/>
          <w:b/>
          <w:kern w:val="0"/>
          <w:sz w:val="52"/>
          <w:szCs w:val="52"/>
        </w:rPr>
      </w:pPr>
    </w:p>
    <w:p w14:paraId="6944108D">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2FE3BBE1">
      <w:pPr>
        <w:spacing w:line="540" w:lineRule="exact"/>
        <w:jc w:val="center"/>
        <w:rPr>
          <w:rFonts w:hint="default" w:ascii="Times New Roman" w:hAnsi="Times New Roman" w:eastAsia="仿宋_GB2312" w:cs="Times New Roman"/>
          <w:kern w:val="0"/>
          <w:sz w:val="30"/>
          <w:szCs w:val="30"/>
        </w:rPr>
      </w:pPr>
    </w:p>
    <w:p w14:paraId="0E3079CA">
      <w:pPr>
        <w:spacing w:line="540" w:lineRule="exact"/>
        <w:jc w:val="center"/>
        <w:rPr>
          <w:rFonts w:hint="default" w:ascii="Times New Roman" w:hAnsi="Times New Roman" w:eastAsia="仿宋_GB2312" w:cs="Times New Roman"/>
          <w:kern w:val="0"/>
          <w:sz w:val="30"/>
          <w:szCs w:val="30"/>
        </w:rPr>
      </w:pPr>
    </w:p>
    <w:p w14:paraId="41D778B8">
      <w:pPr>
        <w:spacing w:line="540" w:lineRule="exact"/>
        <w:jc w:val="center"/>
        <w:rPr>
          <w:rFonts w:hint="default" w:ascii="Times New Roman" w:hAnsi="Times New Roman" w:eastAsia="仿宋_GB2312" w:cs="Times New Roman"/>
          <w:kern w:val="0"/>
          <w:sz w:val="30"/>
          <w:szCs w:val="30"/>
        </w:rPr>
      </w:pPr>
    </w:p>
    <w:p w14:paraId="0AACBF4E">
      <w:pPr>
        <w:pStyle w:val="10"/>
        <w:rPr>
          <w:rFonts w:hint="default" w:ascii="Times New Roman" w:hAnsi="Times New Roman" w:cs="Times New Roman"/>
        </w:rPr>
      </w:pPr>
    </w:p>
    <w:p w14:paraId="0B0ED615">
      <w:pPr>
        <w:spacing w:line="540" w:lineRule="exact"/>
        <w:jc w:val="center"/>
        <w:rPr>
          <w:rFonts w:hint="default" w:ascii="Times New Roman" w:hAnsi="Times New Roman" w:eastAsia="仿宋_GB2312" w:cs="Times New Roman"/>
          <w:kern w:val="0"/>
          <w:sz w:val="30"/>
          <w:szCs w:val="30"/>
        </w:rPr>
      </w:pPr>
    </w:p>
    <w:p w14:paraId="4F361443">
      <w:pPr>
        <w:spacing w:line="540" w:lineRule="exact"/>
        <w:rPr>
          <w:rFonts w:hint="default" w:ascii="Times New Roman" w:hAnsi="Times New Roman" w:eastAsia="仿宋_GB2312" w:cs="Times New Roman"/>
          <w:kern w:val="0"/>
          <w:sz w:val="30"/>
          <w:szCs w:val="30"/>
        </w:rPr>
      </w:pPr>
    </w:p>
    <w:p w14:paraId="194C4DEF">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val="en-US" w:eastAsia="zh-CN"/>
        </w:rPr>
        <w:t>场地租赁费</w:t>
      </w:r>
    </w:p>
    <w:p w14:paraId="1C4D7AF7">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哈密市机关事务管理局</w:t>
      </w:r>
    </w:p>
    <w:p w14:paraId="65B6F6E1">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哈密市机关事务管理局</w:t>
      </w:r>
    </w:p>
    <w:p w14:paraId="576A1350">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eastAsia="zh-CN"/>
        </w:rPr>
        <w:t>袁冰</w:t>
      </w:r>
    </w:p>
    <w:p w14:paraId="3BDC4FCD">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7</w:t>
      </w:r>
      <w:r>
        <w:rPr>
          <w:rFonts w:hint="default" w:ascii="Times New Roman" w:hAnsi="Times New Roman" w:eastAsia="仿宋_GB2312" w:cs="Times New Roman"/>
          <w:kern w:val="0"/>
          <w:sz w:val="36"/>
          <w:szCs w:val="36"/>
        </w:rPr>
        <w:t>日</w:t>
      </w:r>
    </w:p>
    <w:p w14:paraId="2C7E5385">
      <w:pPr>
        <w:spacing w:line="540" w:lineRule="exact"/>
        <w:jc w:val="center"/>
        <w:rPr>
          <w:rFonts w:hint="default" w:ascii="Times New Roman" w:hAnsi="Times New Roman" w:eastAsia="仿宋_GB2312" w:cs="Times New Roman"/>
          <w:kern w:val="0"/>
          <w:sz w:val="30"/>
          <w:szCs w:val="30"/>
        </w:rPr>
      </w:pPr>
    </w:p>
    <w:p w14:paraId="0617A452">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500B9BC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3279371E">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（一）项目概况</w:t>
      </w:r>
    </w:p>
    <w:p w14:paraId="2B176DDE">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0A716E6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2022年根据市</w:t>
      </w:r>
      <w:r>
        <w:rPr>
          <w:rFonts w:hint="eastAsia" w:eastAsia="仿宋_GB2312" w:cs="Times New Roman"/>
          <w:sz w:val="32"/>
          <w:szCs w:val="32"/>
          <w:lang w:eastAsia="zh-CN"/>
        </w:rPr>
        <w:t>传染病</w:t>
      </w:r>
      <w:r>
        <w:rPr>
          <w:rFonts w:hint="default" w:ascii="Times New Roman" w:hAnsi="Times New Roman" w:eastAsia="仿宋_GB2312" w:cs="Times New Roman"/>
          <w:sz w:val="32"/>
          <w:szCs w:val="32"/>
        </w:rPr>
        <w:t>防控工作需要，经市委研究决定，以整租方式租用哈密宾馆2号楼四楼作为市</w:t>
      </w:r>
      <w:r>
        <w:rPr>
          <w:rFonts w:hint="eastAsia" w:eastAsia="仿宋_GB2312" w:cs="Times New Roman"/>
          <w:sz w:val="32"/>
          <w:szCs w:val="32"/>
          <w:lang w:eastAsia="zh-CN"/>
        </w:rPr>
        <w:t>传染病</w:t>
      </w:r>
      <w:r>
        <w:rPr>
          <w:rFonts w:hint="default" w:ascii="Times New Roman" w:hAnsi="Times New Roman" w:eastAsia="仿宋_GB2312" w:cs="Times New Roman"/>
          <w:sz w:val="32"/>
          <w:szCs w:val="32"/>
        </w:rPr>
        <w:t>防控指挥部办公室使用，租期自2022年9月13日至2023年9月12日，租赁费500万元，2022年12月已支付167万元。期间，市防控工作调整，</w:t>
      </w:r>
      <w:r>
        <w:rPr>
          <w:rFonts w:hint="eastAsia" w:eastAsia="仿宋_GB2312" w:cs="Times New Roman"/>
          <w:sz w:val="32"/>
          <w:szCs w:val="32"/>
          <w:lang w:eastAsia="zh-CN"/>
        </w:rPr>
        <w:t>传染病</w:t>
      </w:r>
      <w:r>
        <w:rPr>
          <w:rFonts w:hint="default" w:ascii="Times New Roman" w:hAnsi="Times New Roman" w:eastAsia="仿宋_GB2312" w:cs="Times New Roman"/>
          <w:sz w:val="32"/>
          <w:szCs w:val="32"/>
        </w:rPr>
        <w:t>防控指挥部将部分用房陆续退出后，哈密瓜产业专班于2月15日进驻使用，自治区</w:t>
      </w:r>
      <w:r>
        <w:rPr>
          <w:rFonts w:hint="eastAsia" w:eastAsia="仿宋_GB2312" w:cs="Times New Roman"/>
          <w:sz w:val="32"/>
          <w:szCs w:val="32"/>
          <w:lang w:eastAsia="zh-CN"/>
        </w:rPr>
        <w:t>专项</w:t>
      </w:r>
      <w:r>
        <w:rPr>
          <w:rFonts w:hint="default" w:ascii="Times New Roman" w:hAnsi="Times New Roman" w:eastAsia="仿宋_GB2312" w:cs="Times New Roman"/>
          <w:sz w:val="32"/>
          <w:szCs w:val="32"/>
        </w:rPr>
        <w:t>工作组于8月20日进驻使用。因哈密瓜产业链平台服务中心尚未竣工，工作专班办公场地延期2个月，自治区</w:t>
      </w:r>
      <w:r>
        <w:rPr>
          <w:rFonts w:hint="eastAsia" w:eastAsia="仿宋_GB2312" w:cs="Times New Roman"/>
          <w:sz w:val="32"/>
          <w:szCs w:val="32"/>
          <w:lang w:eastAsia="zh-CN"/>
        </w:rPr>
        <w:t>专项</w:t>
      </w:r>
      <w:r>
        <w:rPr>
          <w:rFonts w:hint="default" w:ascii="Times New Roman" w:hAnsi="Times New Roman" w:eastAsia="仿宋_GB2312" w:cs="Times New Roman"/>
          <w:sz w:val="32"/>
          <w:szCs w:val="32"/>
        </w:rPr>
        <w:t>工作</w:t>
      </w:r>
      <w:r>
        <w:rPr>
          <w:rFonts w:hint="eastAsia" w:eastAsia="仿宋_GB2312" w:cs="Times New Roman"/>
          <w:sz w:val="32"/>
          <w:szCs w:val="32"/>
          <w:lang w:eastAsia="zh-CN"/>
        </w:rPr>
        <w:t>组</w:t>
      </w:r>
      <w:r>
        <w:rPr>
          <w:rFonts w:hint="default" w:ascii="Times New Roman" w:hAnsi="Times New Roman" w:eastAsia="仿宋_GB2312" w:cs="Times New Roman"/>
          <w:sz w:val="32"/>
          <w:szCs w:val="32"/>
        </w:rPr>
        <w:t>延迟撤点，也需延期使用。根据市委安排，我局与哈密宾馆签订的场地租赁期顺延至11月12日。</w:t>
      </w:r>
    </w:p>
    <w:p w14:paraId="4515815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项目主要内容</w:t>
      </w:r>
    </w:p>
    <w:p w14:paraId="16964A3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场地租赁费项目516.34万元,用于支付租赁哈密宾馆2号楼、5号楼租赁费用，租赁场地主要用于市</w:t>
      </w:r>
      <w:r>
        <w:rPr>
          <w:rFonts w:hint="eastAsia" w:eastAsia="仿宋_GB2312" w:cs="Times New Roman"/>
          <w:sz w:val="32"/>
          <w:szCs w:val="32"/>
          <w:lang w:eastAsia="zh-CN"/>
        </w:rPr>
        <w:t>传染病</w:t>
      </w:r>
      <w:r>
        <w:rPr>
          <w:rFonts w:hint="eastAsia" w:ascii="Times New Roman" w:hAnsi="Times New Roman" w:eastAsia="仿宋_GB2312" w:cs="Times New Roman"/>
          <w:sz w:val="32"/>
          <w:szCs w:val="32"/>
        </w:rPr>
        <w:t>防控指挥部、自治区</w:t>
      </w:r>
      <w:r>
        <w:rPr>
          <w:rFonts w:hint="eastAsia" w:eastAsia="仿宋_GB2312" w:cs="Times New Roman"/>
          <w:sz w:val="32"/>
          <w:szCs w:val="32"/>
          <w:lang w:eastAsia="zh-CN"/>
        </w:rPr>
        <w:t>专项工作</w:t>
      </w:r>
      <w:r>
        <w:rPr>
          <w:rFonts w:hint="eastAsia" w:ascii="Times New Roman" w:hAnsi="Times New Roman" w:eastAsia="仿宋_GB2312" w:cs="Times New Roman"/>
          <w:sz w:val="32"/>
          <w:szCs w:val="32"/>
        </w:rPr>
        <w:t>组、哈密瓜产业专班和市直机关一号办公区2号办公楼内各单位临时办公使用。场地租赁有效保障办公区内各单位业务正常开展，保障机关正常运转和工作顺利进展。</w:t>
      </w:r>
    </w:p>
    <w:p w14:paraId="25EEF960">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3.资金投入和使用情况</w:t>
      </w:r>
    </w:p>
    <w:p w14:paraId="7E493C6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（1）资金投入情况</w:t>
      </w:r>
    </w:p>
    <w:p w14:paraId="1ADD439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r>
        <w:rPr>
          <w:rFonts w:hint="eastAsia" w:eastAsia="仿宋_GB2312" w:cs="Times New Roman"/>
          <w:sz w:val="32"/>
          <w:szCs w:val="32"/>
          <w:lang w:val="en-US" w:eastAsia="zh-CN"/>
        </w:rPr>
        <w:t>场地租赁费</w:t>
      </w:r>
      <w:r>
        <w:rPr>
          <w:rFonts w:hint="default" w:ascii="Times New Roman" w:hAnsi="Times New Roman" w:eastAsia="仿宋_GB2312" w:cs="Times New Roman"/>
          <w:sz w:val="32"/>
          <w:szCs w:val="32"/>
          <w:lang w:val="en-US" w:eastAsia="zh-CN"/>
        </w:rPr>
        <w:t>项目总2023年总预算资金</w:t>
      </w:r>
      <w:r>
        <w:rPr>
          <w:rFonts w:hint="eastAsia" w:eastAsia="仿宋_GB2312" w:cs="Times New Roman"/>
          <w:sz w:val="32"/>
          <w:szCs w:val="32"/>
          <w:lang w:val="en-US" w:eastAsia="zh-CN"/>
        </w:rPr>
        <w:t>516.34</w:t>
      </w:r>
      <w:r>
        <w:rPr>
          <w:rFonts w:hint="default" w:ascii="Times New Roman" w:hAnsi="Times New Roman" w:eastAsia="仿宋_GB2312" w:cs="Times New Roman"/>
          <w:sz w:val="32"/>
          <w:szCs w:val="32"/>
          <w:lang w:val="en-US" w:eastAsia="zh-CN"/>
        </w:rPr>
        <w:t>万元，项目资金为</w:t>
      </w:r>
      <w:r>
        <w:rPr>
          <w:rFonts w:hint="eastAsia" w:eastAsia="仿宋_GB2312" w:cs="Times New Roman"/>
          <w:sz w:val="32"/>
          <w:szCs w:val="32"/>
          <w:lang w:val="en-US" w:eastAsia="zh-CN"/>
        </w:rPr>
        <w:t>本级</w:t>
      </w:r>
      <w:r>
        <w:rPr>
          <w:rFonts w:hint="default" w:ascii="Times New Roman" w:hAnsi="Times New Roman" w:eastAsia="仿宋_GB2312" w:cs="Times New Roman"/>
          <w:sz w:val="32"/>
          <w:szCs w:val="32"/>
          <w:lang w:val="en-US" w:eastAsia="zh-CN"/>
        </w:rPr>
        <w:t>财政资金，</w:t>
      </w:r>
      <w:r>
        <w:rPr>
          <w:rFonts w:hint="eastAsia" w:eastAsia="仿宋_GB2312" w:cs="Times New Roman"/>
          <w:sz w:val="32"/>
          <w:szCs w:val="32"/>
          <w:lang w:val="en-US" w:eastAsia="zh-CN"/>
        </w:rPr>
        <w:t>全年拨款516.34万元</w:t>
      </w:r>
      <w:r>
        <w:rPr>
          <w:rFonts w:hint="default" w:ascii="Times New Roman" w:hAnsi="Times New Roman" w:eastAsia="仿宋_GB2312" w:cs="Times New Roman"/>
          <w:sz w:val="32"/>
          <w:szCs w:val="32"/>
          <w:lang w:val="en-US" w:eastAsia="zh-CN"/>
        </w:rPr>
        <w:t>，资金到位率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0A3E643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（2）资金使用情况</w:t>
      </w:r>
    </w:p>
    <w:p w14:paraId="0F3DE35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场地租赁费</w:t>
      </w:r>
      <w:r>
        <w:rPr>
          <w:rFonts w:hint="default" w:ascii="Times New Roman" w:hAnsi="Times New Roman" w:eastAsia="仿宋_GB2312" w:cs="Times New Roman"/>
          <w:sz w:val="32"/>
          <w:szCs w:val="32"/>
          <w:lang w:val="en-US" w:eastAsia="zh-CN"/>
        </w:rPr>
        <w:t>项目年初预算数</w:t>
      </w:r>
      <w:r>
        <w:rPr>
          <w:rFonts w:hint="eastAsia" w:eastAsia="仿宋_GB2312" w:cs="Times New Roman"/>
          <w:sz w:val="32"/>
          <w:szCs w:val="32"/>
          <w:lang w:val="en-US" w:eastAsia="zh-CN"/>
        </w:rPr>
        <w:t>516.34</w:t>
      </w:r>
      <w:r>
        <w:rPr>
          <w:rFonts w:hint="default" w:ascii="Times New Roman" w:hAnsi="Times New Roman" w:eastAsia="仿宋_GB2312" w:cs="Times New Roman"/>
          <w:sz w:val="32"/>
          <w:szCs w:val="32"/>
          <w:lang w:val="en-US" w:eastAsia="zh-CN"/>
        </w:rPr>
        <w:t>万元，全年预算数为</w:t>
      </w:r>
      <w:r>
        <w:rPr>
          <w:rFonts w:hint="eastAsia" w:eastAsia="仿宋_GB2312" w:cs="Times New Roman"/>
          <w:sz w:val="32"/>
          <w:szCs w:val="32"/>
          <w:lang w:val="en-US" w:eastAsia="zh-CN"/>
        </w:rPr>
        <w:t>516.34</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截至2023年</w:t>
      </w:r>
      <w:r>
        <w:rPr>
          <w:rFonts w:hint="default" w:ascii="Times New Roman" w:hAnsi="Times New Roman" w:eastAsia="仿宋_GB2312" w:cs="Times New Roman"/>
          <w:sz w:val="32"/>
          <w:szCs w:val="32"/>
          <w:lang w:val="en-US" w:eastAsia="zh-CN"/>
        </w:rPr>
        <w:t>12月31日全年执行数</w:t>
      </w:r>
      <w:r>
        <w:rPr>
          <w:rFonts w:hint="eastAsia" w:eastAsia="仿宋_GB2312" w:cs="Times New Roman"/>
          <w:sz w:val="32"/>
          <w:szCs w:val="32"/>
          <w:lang w:val="en-US" w:eastAsia="zh-CN"/>
        </w:rPr>
        <w:t>516.34</w:t>
      </w:r>
      <w:r>
        <w:rPr>
          <w:rFonts w:hint="default" w:ascii="Times New Roman" w:hAnsi="Times New Roman" w:eastAsia="仿宋_GB2312" w:cs="Times New Roman"/>
          <w:sz w:val="32"/>
          <w:szCs w:val="32"/>
          <w:lang w:val="en-US" w:eastAsia="zh-CN"/>
        </w:rPr>
        <w:t>万元，预算执行率为</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%，项目资金主要用于支付</w:t>
      </w:r>
      <w:r>
        <w:rPr>
          <w:rFonts w:hint="eastAsia" w:eastAsia="仿宋_GB2312" w:cs="Times New Roman"/>
          <w:sz w:val="32"/>
          <w:szCs w:val="32"/>
          <w:lang w:eastAsia="zh-CN"/>
        </w:rPr>
        <w:t>政府办、发改委、审计局等单位使用</w:t>
      </w:r>
      <w:r>
        <w:rPr>
          <w:rFonts w:hint="eastAsia" w:eastAsia="仿宋_GB2312" w:cs="Times New Roman"/>
          <w:sz w:val="32"/>
          <w:szCs w:val="32"/>
          <w:lang w:val="en-US" w:eastAsia="zh-CN"/>
        </w:rPr>
        <w:t>哈密宾馆5号楼租赁费100万元，传染病防控指挥部、自治区专项工作组、哈密瓜产业专班等单位使用2号楼租赁费416.34万元</w:t>
      </w:r>
      <w:r>
        <w:rPr>
          <w:rFonts w:hint="default" w:ascii="Times New Roman" w:hAnsi="Times New Roman" w:eastAsia="仿宋_GB2312" w:cs="Times New Roman"/>
          <w:sz w:val="32"/>
          <w:szCs w:val="32"/>
          <w:lang w:val="en-US" w:eastAsia="zh-CN"/>
        </w:rPr>
        <w:t>。</w:t>
      </w:r>
    </w:p>
    <w:p w14:paraId="75EFEF19">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6458D72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sz w:val="32"/>
          <w:szCs w:val="32"/>
          <w:lang w:eastAsia="zh-CN"/>
        </w:rPr>
      </w:pPr>
      <w:r>
        <w:rPr>
          <w:rFonts w:hint="eastAsia" w:eastAsia="仿宋_GB2312" w:cs="Times New Roman"/>
          <w:sz w:val="32"/>
          <w:szCs w:val="32"/>
          <w:lang w:eastAsia="zh-CN"/>
        </w:rPr>
        <w:t>场地租赁费项目于12月已实施完毕，项目按照合同约定分两次支付完毕，第一笔租金支付于2023年11月支付，第二笔资金于2023年12月支付完毕。已经完成实际设立的目标，项目在实施过程中严格按照目标设立的各阶段任务进行开展工作，在前期立项过程中严格把关。</w:t>
      </w:r>
    </w:p>
    <w:p w14:paraId="74C818A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eastAsia="仿宋_GB2312" w:cs="Times New Roman"/>
          <w:sz w:val="32"/>
          <w:szCs w:val="32"/>
          <w:lang w:eastAsia="zh-CN"/>
        </w:rPr>
      </w:pPr>
    </w:p>
    <w:p w14:paraId="328D2239">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（二）项目绩效目标</w:t>
      </w:r>
    </w:p>
    <w:p w14:paraId="00EFE15D">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1.总体目标</w:t>
      </w:r>
    </w:p>
    <w:p w14:paraId="58DB19F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i w:val="0"/>
          <w:caps w:val="0"/>
          <w:color w:val="333333"/>
          <w:spacing w:val="0"/>
          <w:sz w:val="32"/>
          <w:szCs w:val="32"/>
          <w:shd w:val="clear" w:fill="FFFFFF"/>
        </w:rPr>
        <w:t>场地租赁费项目516.34万元,主要用于租赁哈密宾馆2号楼、5号楼租赁费用，租赁场地主要用于市</w:t>
      </w:r>
      <w:r>
        <w:rPr>
          <w:rFonts w:hint="eastAsia" w:ascii="仿宋_GB2312" w:hAnsi="仿宋_GB2312" w:eastAsia="仿宋_GB2312" w:cs="仿宋_GB2312"/>
          <w:i w:val="0"/>
          <w:caps w:val="0"/>
          <w:color w:val="333333"/>
          <w:spacing w:val="0"/>
          <w:sz w:val="32"/>
          <w:szCs w:val="32"/>
          <w:shd w:val="clear" w:fill="FFFFFF"/>
          <w:lang w:eastAsia="zh-CN"/>
        </w:rPr>
        <w:t>传染病</w:t>
      </w:r>
      <w:r>
        <w:rPr>
          <w:rFonts w:hint="eastAsia" w:ascii="仿宋_GB2312" w:hAnsi="仿宋_GB2312" w:eastAsia="仿宋_GB2312" w:cs="仿宋_GB2312"/>
          <w:i w:val="0"/>
          <w:caps w:val="0"/>
          <w:color w:val="333333"/>
          <w:spacing w:val="0"/>
          <w:sz w:val="32"/>
          <w:szCs w:val="32"/>
          <w:shd w:val="clear" w:fill="FFFFFF"/>
        </w:rPr>
        <w:t>防控指挥部办公以及市直机关一号办公区2号办公楼内各单位临时办公使用。项目的实施有效保障办公区内各单位业务正常开展。</w:t>
      </w:r>
    </w:p>
    <w:p w14:paraId="7D970B17">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2.阶段性目标</w:t>
      </w:r>
    </w:p>
    <w:p w14:paraId="757951C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仿宋_GB2312" w:cs="Times New Roman"/>
          <w:sz w:val="32"/>
          <w:szCs w:val="32"/>
          <w:lang w:val="en-US" w:eastAsia="zh-CN"/>
        </w:rPr>
      </w:pPr>
      <w:r>
        <w:rPr>
          <w:rFonts w:hint="eastAsia" w:eastAsia="仿宋_GB2312" w:cs="Times New Roman"/>
          <w:sz w:val="32"/>
          <w:szCs w:val="32"/>
          <w:lang w:eastAsia="zh-CN"/>
        </w:rPr>
        <w:t>根据一号办公区</w:t>
      </w:r>
      <w:r>
        <w:rPr>
          <w:rFonts w:hint="eastAsia" w:eastAsia="仿宋_GB2312" w:cs="Times New Roman"/>
          <w:sz w:val="32"/>
          <w:szCs w:val="32"/>
          <w:lang w:val="en-US" w:eastAsia="zh-CN"/>
        </w:rPr>
        <w:t>2号楼节能改造项目开工计划，于2023年5月1日前与哈密宾馆签订5号楼租赁协议，保障2号楼办公单位可以正常迁入办公，节能改造工作正常开展。于2023年8月20日之前与哈密宾馆签订2号楼续租协议，保障自治区专项工作组在哈期间工作场地使用。</w:t>
      </w:r>
    </w:p>
    <w:p w14:paraId="29A77D8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74265B9E">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（一）绩效评价目的、对象和范围</w:t>
      </w:r>
    </w:p>
    <w:p w14:paraId="36BF509C">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0E1B9D2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806BA8A">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562CC3A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ascii="Times New Roman" w:hAnsi="Times New Roman"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922D243">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7520A21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eastAsia" w:eastAsia="仿宋_GB2312" w:cs="Times New Roman"/>
          <w:kern w:val="0"/>
          <w:sz w:val="32"/>
          <w:szCs w:val="32"/>
          <w:lang w:val="en-US" w:eastAsia="zh-CN" w:bidi="ar-SA"/>
        </w:rPr>
        <w:t>场地租赁费</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p>
    <w:p w14:paraId="2F187E09">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5DF1E69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eastAsia" w:eastAsia="仿宋_GB2312" w:cs="Times New Roman"/>
          <w:sz w:val="32"/>
          <w:szCs w:val="32"/>
          <w:lang w:val="en-US" w:eastAsia="zh-CN"/>
        </w:rPr>
        <w:t>场地租赁费</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14:paraId="0A25D227">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b/>
          <w:bCs/>
          <w:sz w:val="32"/>
          <w:szCs w:val="32"/>
        </w:rPr>
        <w:t>（二）绩效评价原则、评价指标体系（详情见表1）、评价方法、评价标准。</w:t>
      </w:r>
    </w:p>
    <w:p w14:paraId="5E5004BE">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7339E18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501CB1E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ascii="Times New Roman" w:hAnsi="Times New Roman" w:eastAsia="仿宋_GB2312" w:cs="Times New Roman"/>
          <w:sz w:val="32"/>
          <w:szCs w:val="32"/>
          <w:lang w:eastAsia="zh-CN"/>
        </w:rPr>
        <w:t>地</w:t>
      </w:r>
      <w:r>
        <w:rPr>
          <w:rFonts w:hint="default" w:ascii="Times New Roman" w:hAnsi="Times New Roman" w:eastAsia="仿宋_GB2312" w:cs="Times New Roman"/>
          <w:sz w:val="32"/>
          <w:szCs w:val="32"/>
        </w:rPr>
        <w:t>反映。</w:t>
      </w:r>
    </w:p>
    <w:p w14:paraId="6431CEC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54A95A0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6D3300F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0BE38DAD">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7328206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36099FA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4C904CD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FFA793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71826FB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default" w:ascii="Times New Roman" w:hAnsi="Times New Roman" w:eastAsia="仿宋_GB2312" w:cs="Times New Roman"/>
          <w:sz w:val="32"/>
          <w:szCs w:val="32"/>
          <w:lang w:val="en-US" w:eastAsia="zh-CN"/>
        </w:rPr>
        <w:t>项目成本权重10分，</w:t>
      </w:r>
      <w:r>
        <w:rPr>
          <w:rFonts w:hint="default" w:ascii="Times New Roman" w:hAnsi="Times New Roman" w:eastAsia="仿宋_GB2312" w:cs="Times New Roman"/>
          <w:sz w:val="32"/>
          <w:szCs w:val="32"/>
        </w:rPr>
        <w:t>项目效益权重为20分。</w:t>
      </w:r>
    </w:p>
    <w:p w14:paraId="17A3F0C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652CF6B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4A9EEE2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457683C5">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43D59EC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0DAB33A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1FB5497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成本效益分析法：</w:t>
      </w:r>
      <w:r>
        <w:rPr>
          <w:rFonts w:hint="default" w:ascii="Times New Roman" w:hAnsi="Times New Roman" w:eastAsia="仿宋_GB2312" w:cs="Times New Roman"/>
          <w:color w:val="auto"/>
          <w:sz w:val="32"/>
          <w:szCs w:val="32"/>
          <w:lang w:val="en-US" w:eastAsia="zh-CN"/>
        </w:rPr>
        <w:t>将项目的预算支出安排与预期效益进行对比分析，以评价绩效目标的预期实现程度。</w:t>
      </w:r>
    </w:p>
    <w:p w14:paraId="6A0174E5">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7938C94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0BEDD016">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bookmarkStart w:id="0" w:name="_Toc31464"/>
      <w:bookmarkStart w:id="1" w:name="_Toc17882"/>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1B4578BD">
      <w:pPr>
        <w:pStyle w:val="10"/>
        <w:keepNext w:val="0"/>
        <w:keepLines w:val="0"/>
        <w:pageBreakBefore w:val="0"/>
        <w:numPr>
          <w:ilvl w:val="0"/>
          <w:numId w:val="2"/>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7B1FD8E2">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5CE8E873">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1996644C">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5A5B1AD5">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02CE808F">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一</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评价情况</w:t>
      </w:r>
    </w:p>
    <w:p w14:paraId="4910EC4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ascii="Times New Roman" w:hAnsi="Times New Roman"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ascii="Times New Roman" w:hAnsi="Times New Roman"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发挥，保障项目如期按要求完成。规范项目档案资料的整理。项目的实施达到项目预期效果。</w:t>
      </w:r>
    </w:p>
    <w:p w14:paraId="30C81829">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二</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评价结论</w:t>
      </w:r>
    </w:p>
    <w:p w14:paraId="41EA5299">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优秀</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w:t>
      </w: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val="en-US" w:eastAsia="zh-CN"/>
        </w:rPr>
        <w:t>项目成本类指标权重10分</w:t>
      </w:r>
      <w:r>
        <w:rPr>
          <w:rFonts w:hint="default" w:ascii="Times New Roman" w:hAnsi="Times New Roman" w:eastAsia="仿宋_GB2312" w:cs="Times New Roman"/>
          <w:b w:val="0"/>
          <w:bCs w:val="0"/>
          <w:highlight w:val="none"/>
        </w:rPr>
        <w:t>，得分为</w:t>
      </w:r>
      <w:r>
        <w:rPr>
          <w:rFonts w:hint="eastAsia" w:ascii="Times New Roman" w:hAnsi="Times New Roman" w:eastAsia="仿宋_GB2312" w:cs="Times New Roman"/>
          <w:b w:val="0"/>
          <w:bCs w:val="0"/>
          <w:highlight w:val="none"/>
          <w:lang w:val="en-US" w:eastAsia="zh-CN"/>
        </w:rPr>
        <w:t>10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796D9D68">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1EF6E528">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A32FFB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431192C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9EE652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2FD8C45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A3461F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43C5DFE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21B519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2F00A95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424A74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69E2BF5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11D317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7F2B5E3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BAFAB6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4C1EA3F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14:paraId="234F86C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14:paraId="1301105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927562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6E0A6CB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default" w:ascii="Times New Roman" w:hAnsi="Times New Roman"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3608543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10</w:t>
            </w:r>
          </w:p>
        </w:tc>
      </w:tr>
      <w:tr w14:paraId="012F14F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51984A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01D39F6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43A85D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1BFB2EE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367E87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2B3B72E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B1CA70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100</w:t>
            </w:r>
          </w:p>
        </w:tc>
      </w:tr>
    </w:tbl>
    <w:p w14:paraId="3FD10A2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1C478B95">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（一）项目决策情况</w:t>
      </w:r>
    </w:p>
    <w:p w14:paraId="1EA2D5C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35A8D7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16D9E1FB">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24DFA9D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D2DAF92">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65945B5D">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2ECAFE91">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527BA89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2E1CECA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14:paraId="4A7F1C95">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2B3DF514">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5C64F331">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60F312D8">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2A50B67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5E300661">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751F835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2105D256">
      <w:pPr>
        <w:pStyle w:val="10"/>
        <w:keepNext w:val="0"/>
        <w:keepLines w:val="0"/>
        <w:pageBreakBefore w:val="0"/>
        <w:numPr>
          <w:ilvl w:val="0"/>
          <w:numId w:val="4"/>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39761E4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5C60FA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0F47663D">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449C7D35">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656F77E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516.34</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51F04EE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7FB14EED">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516.34</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1FED2E06">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6B96AB8B">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财务</w:t>
      </w:r>
      <w:r>
        <w:rPr>
          <w:rFonts w:hint="default" w:ascii="Times New Roman" w:hAnsi="Times New Roman" w:eastAsia="仿宋_GB2312" w:cs="Times New Roman"/>
          <w:b w:val="0"/>
          <w:bCs w:val="0"/>
          <w:kern w:val="2"/>
          <w:sz w:val="32"/>
          <w:szCs w:val="32"/>
          <w:lang w:val="en-US" w:eastAsia="zh-CN" w:bidi="ar-SA"/>
        </w:rPr>
        <w:t>管理制度》支出项目资金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8772D61">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7D15926D">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70B2FA68">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5F80A273">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62674AD3">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515AB488">
      <w:pPr>
        <w:pStyle w:val="12"/>
        <w:keepNext w:val="0"/>
        <w:keepLines w:val="0"/>
        <w:pageBreakBefore w:val="0"/>
        <w:numPr>
          <w:ilvl w:val="0"/>
          <w:numId w:val="4"/>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项目产出</w:t>
      </w:r>
      <w:r>
        <w:rPr>
          <w:rFonts w:hint="default" w:ascii="Times New Roman" w:hAnsi="Times New Roman" w:eastAsia="楷体" w:cs="Times New Roman"/>
          <w:b/>
          <w:bCs/>
          <w:sz w:val="32"/>
          <w:szCs w:val="32"/>
          <w:lang w:val="en-US" w:eastAsia="zh-CN"/>
        </w:rPr>
        <w:t>情况</w:t>
      </w:r>
    </w:p>
    <w:p w14:paraId="1CB87F2B">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项目产出类指标包括产出数量、产出质量、产出时效三方面的内容，</w:t>
      </w:r>
      <w:r>
        <w:rPr>
          <w:rFonts w:hint="default" w:ascii="Times New Roman" w:hAnsi="Times New Roman" w:eastAsia="仿宋_GB2312" w:cs="Times New Roman"/>
          <w:sz w:val="32"/>
          <w:szCs w:val="32"/>
          <w:highlight w:val="none"/>
          <w:lang w:val="en-US" w:eastAsia="zh-CN"/>
        </w:rPr>
        <w:t>由3个三级指标构成，权重分为30分，实际得分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0B4E44AB">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2B1F3085">
      <w:pPr>
        <w:ind w:firstLine="640" w:firstLineChars="20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val="en-US" w:eastAsia="zh-CN"/>
        </w:rPr>
        <w:t>场地租赁数目标值&gt;=2个，实际完成值2个，完成率100%</w:t>
      </w:r>
    </w:p>
    <w:p w14:paraId="10CB7FD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6947410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指标1：资金使用合规率目标值=100%，实际完成值</w:t>
      </w:r>
      <w:r>
        <w:rPr>
          <w:rFonts w:hint="eastAsia" w:eastAsia="仿宋_GB2312" w:cs="Times New Roman"/>
          <w:sz w:val="32"/>
          <w:szCs w:val="32"/>
          <w:highlight w:val="none"/>
          <w:lang w:val="en-US" w:eastAsia="zh-CN"/>
        </w:rPr>
        <w:t>10</w:t>
      </w:r>
      <w:r>
        <w:rPr>
          <w:rFonts w:hint="eastAsia" w:ascii="Times New Roman" w:hAnsi="Times New Roman" w:eastAsia="仿宋_GB2312" w:cs="Times New Roman"/>
          <w:sz w:val="32"/>
          <w:szCs w:val="32"/>
          <w:highlight w:val="none"/>
          <w:lang w:val="en-US" w:eastAsia="zh-CN"/>
        </w:rPr>
        <w:t>0%，完成率100%</w:t>
      </w:r>
    </w:p>
    <w:p w14:paraId="6CF2E87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039F5C3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指标1：资金支付及时率目标值&gt;=90%，实际完成值</w:t>
      </w:r>
      <w:r>
        <w:rPr>
          <w:rFonts w:hint="eastAsia" w:eastAsia="仿宋_GB2312" w:cs="Times New Roman"/>
          <w:sz w:val="32"/>
          <w:szCs w:val="32"/>
          <w:highlight w:val="none"/>
          <w:lang w:val="en-US" w:eastAsia="zh-CN"/>
        </w:rPr>
        <w:t>9</w:t>
      </w:r>
      <w:r>
        <w:rPr>
          <w:rFonts w:hint="eastAsia" w:ascii="Times New Roman" w:hAnsi="Times New Roman" w:eastAsia="仿宋_GB2312" w:cs="Times New Roman"/>
          <w:sz w:val="32"/>
          <w:szCs w:val="32"/>
          <w:highlight w:val="none"/>
          <w:lang w:val="en-US" w:eastAsia="zh-CN"/>
        </w:rPr>
        <w:t>0%，完成率100%</w:t>
      </w:r>
    </w:p>
    <w:p w14:paraId="0C565D2F">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（四）项目成本情况</w:t>
      </w:r>
    </w:p>
    <w:p w14:paraId="074D048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lang w:val="en-US" w:eastAsia="zh-CN"/>
        </w:rPr>
        <w:t>项目成本类指标包括经济成本</w:t>
      </w:r>
      <w:r>
        <w:rPr>
          <w:rFonts w:hint="eastAsia" w:eastAsia="仿宋_GB2312" w:cs="Times New Roman"/>
          <w:sz w:val="32"/>
          <w:szCs w:val="32"/>
          <w:lang w:val="en-US" w:eastAsia="zh-CN"/>
        </w:rPr>
        <w:t>一个</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058A226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指标1：2号楼租赁费&lt;=41.75万元，实际完成值41.75万元，完成率100%</w:t>
      </w:r>
    </w:p>
    <w:p w14:paraId="6E2146F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指标2：5号楼租赁费&lt;=474.59万元，实际完成值474.59万元，完成率100%</w:t>
      </w:r>
    </w:p>
    <w:p w14:paraId="729750F1">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（五）项目效益情况</w:t>
      </w:r>
    </w:p>
    <w:p w14:paraId="238921EB">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5CF4AF0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4A289992">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社会效益指标：</w:t>
      </w:r>
    </w:p>
    <w:p w14:paraId="70779E7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保障保障办公区域单位工作目标值</w:t>
      </w:r>
      <w:r>
        <w:rPr>
          <w:rFonts w:hint="eastAsia" w:eastAsia="仿宋_GB2312" w:cs="Times New Roman"/>
          <w:sz w:val="32"/>
          <w:szCs w:val="32"/>
          <w:highlight w:val="none"/>
          <w:lang w:val="en-US" w:eastAsia="zh-CN"/>
        </w:rPr>
        <w:t>正常开展</w:t>
      </w:r>
      <w:r>
        <w:rPr>
          <w:rFonts w:hint="default" w:ascii="Times New Roman" w:hAnsi="Times New Roman" w:eastAsia="仿宋_GB2312" w:cs="Times New Roman"/>
          <w:sz w:val="32"/>
          <w:szCs w:val="32"/>
          <w:highlight w:val="none"/>
          <w:lang w:val="en-US" w:eastAsia="zh-CN"/>
        </w:rPr>
        <w:t>，实际完成值正常开展，完成率100%。</w:t>
      </w:r>
    </w:p>
    <w:p w14:paraId="6A670C36">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7364B13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333A6D9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办公人员满意度</w:t>
      </w:r>
      <w:r>
        <w:rPr>
          <w:rFonts w:hint="default" w:ascii="Times New Roman" w:hAnsi="Times New Roman" w:eastAsia="仿宋_GB2312" w:cs="Times New Roman"/>
          <w:sz w:val="32"/>
          <w:szCs w:val="32"/>
          <w:highlight w:val="none"/>
          <w:lang w:val="en-US" w:eastAsia="zh-CN"/>
        </w:rPr>
        <w:t>目标值</w:t>
      </w:r>
      <w:r>
        <w:rPr>
          <w:rFonts w:hint="eastAsia" w:eastAsia="仿宋_GB2312" w:cs="Times New Roman"/>
          <w:sz w:val="32"/>
          <w:szCs w:val="32"/>
          <w:highlight w:val="none"/>
          <w:lang w:val="en-US" w:eastAsia="zh-CN"/>
        </w:rPr>
        <w:t>&gt;=90%</w:t>
      </w:r>
      <w:r>
        <w:rPr>
          <w:rFonts w:hint="default"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=96%</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106</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原因：满意度指标在设置时沿用历年历史数据进行设置，因该指标不确定因素太多无法准确估算，故该指标存在差异。改进措施：后期在绩效目标编制过程中加强目标编制水平，强化对绩效的跟踪，及时发现问题，及时采取补救措施，确保项目资金发挥最大效益。</w:t>
      </w:r>
    </w:p>
    <w:p w14:paraId="1F6011E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6A337944">
      <w:pPr>
        <w:keepNext w:val="0"/>
        <w:keepLines w:val="0"/>
        <w:pageBreakBefore w:val="0"/>
        <w:kinsoku/>
        <w:wordWrap/>
        <w:overflowPunct/>
        <w:topLinePunct w:val="0"/>
        <w:autoSpaceDE/>
        <w:autoSpaceDN/>
        <w:bidi w:val="0"/>
        <w:adjustRightInd/>
        <w:snapToGrid/>
        <w:spacing w:line="560" w:lineRule="exact"/>
        <w:ind w:firstLine="627" w:firstLineChars="200"/>
        <w:jc w:val="both"/>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705D934F">
      <w:pPr>
        <w:keepNext w:val="0"/>
        <w:keepLines w:val="0"/>
        <w:pageBreakBefore w:val="0"/>
        <w:kinsoku/>
        <w:wordWrap/>
        <w:overflowPunct/>
        <w:topLinePunct w:val="0"/>
        <w:autoSpaceDE/>
        <w:autoSpaceDN/>
        <w:bidi w:val="0"/>
        <w:spacing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A2C2878">
      <w:pPr>
        <w:pStyle w:val="10"/>
        <w:keepNext w:val="0"/>
        <w:keepLines w:val="0"/>
        <w:pageBreakBefore w:val="0"/>
        <w:kinsoku/>
        <w:wordWrap/>
        <w:overflowPunct/>
        <w:topLinePunct w:val="0"/>
        <w:autoSpaceDE/>
        <w:autoSpaceDN/>
        <w:bidi w:val="0"/>
        <w:spacing w:before="0" w:after="0" w:line="560" w:lineRule="exact"/>
        <w:ind w:firstLine="640" w:firstLineChars="200"/>
        <w:jc w:val="both"/>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66257BD">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项目资金管理：制定项目资金使用制度；财政安排项目资金到位后，须制定资金使用计划，报学校会议研究，作为今后使用资金的依据；项目资金做到专款专用、专人负责，不占</w:t>
      </w:r>
      <w:r>
        <w:rPr>
          <w:rFonts w:hint="default" w:ascii="Times New Roman" w:hAnsi="Times New Roman" w:eastAsia="仿宋_GB2312" w:cs="Times New Roman"/>
          <w:sz w:val="32"/>
          <w:szCs w:val="32"/>
          <w:highlight w:val="none"/>
          <w:lang w:val="en-US" w:eastAsia="zh-CN"/>
        </w:rPr>
        <w:t>用、挪用项目资金；项目资金使用落实责任人，压实工作，使用必须按要</w:t>
      </w:r>
      <w:r>
        <w:rPr>
          <w:rFonts w:hint="default" w:ascii="Times New Roman" w:hAnsi="Times New Roman" w:eastAsia="仿宋_GB2312" w:cs="Times New Roman"/>
          <w:b w:val="0"/>
          <w:bCs w:val="0"/>
          <w:color w:val="auto"/>
          <w:sz w:val="32"/>
          <w:szCs w:val="32"/>
          <w:u w:val="none" w:color="auto"/>
          <w:lang w:val="en-US" w:eastAsia="zh-CN"/>
        </w:rPr>
        <w:t>求和规范进行。</w:t>
      </w:r>
    </w:p>
    <w:p w14:paraId="77AE2AAC">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3" w:firstLineChars="200"/>
        <w:jc w:val="both"/>
        <w:textAlignment w:val="baseline"/>
        <w:outlineLvl w:val="9"/>
        <w:rPr>
          <w:rFonts w:hint="default" w:ascii="Times New Roman" w:hAnsi="Times New Roman" w:eastAsia="楷体" w:cs="Times New Roman"/>
          <w:b/>
          <w:bCs/>
          <w:color w:val="auto"/>
          <w:sz w:val="32"/>
          <w:szCs w:val="32"/>
          <w:u w:val="none" w:color="auto"/>
          <w:lang w:val="en-US" w:eastAsia="zh-CN"/>
        </w:rPr>
      </w:pPr>
      <w:r>
        <w:rPr>
          <w:rFonts w:hint="default" w:ascii="Times New Roman" w:hAnsi="Times New Roman" w:eastAsia="楷体" w:cs="Times New Roman"/>
          <w:b/>
          <w:bCs/>
          <w:color w:val="auto"/>
          <w:sz w:val="32"/>
          <w:szCs w:val="32"/>
          <w:u w:val="none" w:color="auto"/>
          <w:lang w:val="en-US" w:eastAsia="zh-CN"/>
        </w:rPr>
        <w:t>（二）存在的问题及原因分析</w:t>
      </w:r>
    </w:p>
    <w:p w14:paraId="2E2839DE">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进一步加强对绩效管理工作的组织领导，提高对预算绩效管理工作重要性的认识，总结经验查找问题，完善的绩效评价管理办法。对绩效管理工作认识</w:t>
      </w:r>
      <w:r>
        <w:rPr>
          <w:rFonts w:hint="eastAsia" w:eastAsia="仿宋_GB2312" w:cs="Times New Roman"/>
          <w:b w:val="0"/>
          <w:bCs w:val="0"/>
          <w:color w:val="auto"/>
          <w:sz w:val="32"/>
          <w:szCs w:val="32"/>
          <w:u w:val="none" w:color="auto"/>
          <w:lang w:val="en-US" w:eastAsia="zh-CN"/>
        </w:rPr>
        <w:t>有待加强</w:t>
      </w:r>
      <w:r>
        <w:rPr>
          <w:rFonts w:hint="default" w:ascii="Times New Roman" w:hAnsi="Times New Roman" w:eastAsia="仿宋_GB2312" w:cs="Times New Roman"/>
          <w:b w:val="0"/>
          <w:bCs w:val="0"/>
          <w:color w:val="auto"/>
          <w:sz w:val="32"/>
          <w:szCs w:val="32"/>
          <w:u w:val="none" w:color="auto"/>
          <w:lang w:val="en-US" w:eastAsia="zh-CN"/>
        </w:rPr>
        <w:t>，认为只要资金使用合规合法就可以，</w:t>
      </w:r>
      <w:r>
        <w:rPr>
          <w:rFonts w:hint="eastAsia" w:eastAsia="仿宋_GB2312" w:cs="Times New Roman"/>
          <w:b w:val="0"/>
          <w:bCs w:val="0"/>
          <w:color w:val="auto"/>
          <w:sz w:val="32"/>
          <w:szCs w:val="32"/>
          <w:u w:val="none" w:color="auto"/>
          <w:lang w:val="en-US" w:eastAsia="zh-CN"/>
        </w:rPr>
        <w:t>绩效管理</w:t>
      </w:r>
      <w:r>
        <w:rPr>
          <w:rFonts w:hint="default" w:ascii="Times New Roman" w:hAnsi="Times New Roman" w:eastAsia="仿宋_GB2312" w:cs="Times New Roman"/>
          <w:b w:val="0"/>
          <w:bCs w:val="0"/>
          <w:color w:val="auto"/>
          <w:sz w:val="32"/>
          <w:szCs w:val="32"/>
          <w:u w:val="none" w:color="auto"/>
          <w:lang w:val="en-US" w:eastAsia="zh-CN"/>
        </w:rPr>
        <w:t>工作</w:t>
      </w:r>
      <w:r>
        <w:rPr>
          <w:rFonts w:hint="eastAsia" w:eastAsia="仿宋_GB2312" w:cs="Times New Roman"/>
          <w:b w:val="0"/>
          <w:bCs w:val="0"/>
          <w:color w:val="auto"/>
          <w:sz w:val="32"/>
          <w:szCs w:val="32"/>
          <w:u w:val="none" w:color="auto"/>
          <w:lang w:val="en-US" w:eastAsia="zh-CN"/>
        </w:rPr>
        <w:t>有待进一步提升</w:t>
      </w:r>
      <w:r>
        <w:rPr>
          <w:rFonts w:hint="default" w:ascii="Times New Roman" w:hAnsi="Times New Roman" w:eastAsia="仿宋_GB2312" w:cs="Times New Roman"/>
          <w:b w:val="0"/>
          <w:bCs w:val="0"/>
          <w:color w:val="auto"/>
          <w:sz w:val="32"/>
          <w:szCs w:val="32"/>
          <w:u w:val="none" w:color="auto"/>
          <w:lang w:val="en-US" w:eastAsia="zh-CN"/>
        </w:rPr>
        <w:t>。</w:t>
      </w:r>
    </w:p>
    <w:p w14:paraId="4873B229">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val="0"/>
          <w:bCs w:val="0"/>
          <w:color w:val="auto"/>
          <w:sz w:val="32"/>
          <w:szCs w:val="32"/>
          <w:u w:val="none" w:color="auto"/>
          <w:lang w:val="en-US" w:eastAsia="zh-CN"/>
        </w:rPr>
        <w:t>结合实际建立绩效工作考核制度，加大全局对全面实施预算绩效管理</w:t>
      </w:r>
      <w:r>
        <w:rPr>
          <w:rFonts w:hint="eastAsia" w:ascii="Times New Roman" w:hAnsi="Times New Roman" w:eastAsia="仿宋_GB2312" w:cs="Times New Roman"/>
          <w:b w:val="0"/>
          <w:bCs w:val="0"/>
          <w:color w:val="auto"/>
          <w:sz w:val="32"/>
          <w:szCs w:val="32"/>
          <w:u w:val="none" w:color="auto"/>
          <w:lang w:val="en-US" w:eastAsia="zh-CN"/>
        </w:rPr>
        <w:t>和</w:t>
      </w: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w:t>
      </w:r>
      <w:r>
        <w:rPr>
          <w:rFonts w:hint="default" w:ascii="Times New Roman" w:hAnsi="Times New Roman" w:eastAsia="仿宋_GB2312" w:cs="Times New Roman"/>
          <w:sz w:val="32"/>
          <w:szCs w:val="32"/>
          <w:highlight w:val="none"/>
          <w:lang w:val="en-US" w:eastAsia="zh-CN"/>
        </w:rPr>
        <w:t>的绩效评价管理办法。对绩效管理工作认识不到位，认为只要资金使用合规合法就可以，对绩效工作认识不够，工作缺乏主动性。</w:t>
      </w:r>
    </w:p>
    <w:p w14:paraId="241BB2F0">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jc w:val="both"/>
        <w:textAlignment w:val="baseline"/>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有关建议</w:t>
      </w:r>
    </w:p>
    <w:p w14:paraId="1EBE4601">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highlight w:val="none"/>
          <w:lang w:eastAsia="zh-CN"/>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1.绩效管理工作培训，进一步夯实业务基础，提高我单位绩效人员水多进行有关绩效管理工作方面的培训</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积极组织第三方</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开展</w:t>
      </w:r>
      <w:r>
        <w:rPr>
          <w:rFonts w:hint="default" w:ascii="Times New Roman" w:hAnsi="Times New Roman" w:eastAsia="黑体" w:cs="Times New Roman"/>
          <w:sz w:val="32"/>
          <w:szCs w:val="32"/>
          <w:highlight w:val="none"/>
          <w:lang w:eastAsia="zh-CN"/>
        </w:rPr>
        <w:t>。</w:t>
      </w:r>
    </w:p>
    <w:p w14:paraId="40B1F979">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14:paraId="75D255F3">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3" w:firstLineChars="200"/>
        <w:jc w:val="both"/>
        <w:textAlignment w:val="baseline"/>
        <w:outlineLvl w:val="9"/>
        <w:rPr>
          <w:rFonts w:hint="default" w:ascii="Times New Roman" w:hAnsi="Times New Roman" w:eastAsia="楷体" w:cs="Times New Roman"/>
          <w:b/>
          <w:bCs/>
          <w:sz w:val="32"/>
          <w:szCs w:val="32"/>
          <w:highlight w:val="none"/>
          <w:lang w:val="en-US" w:eastAsia="zh-CN"/>
        </w:rPr>
      </w:pPr>
      <w:r>
        <w:rPr>
          <w:rFonts w:hint="default" w:ascii="Times New Roman" w:hAnsi="Times New Roman" w:eastAsia="楷体" w:cs="Times New Roman"/>
          <w:b/>
          <w:bCs/>
          <w:sz w:val="32"/>
          <w:szCs w:val="32"/>
          <w:highlight w:val="none"/>
          <w:lang w:val="en-US" w:eastAsia="zh-CN"/>
        </w:rPr>
        <w:t>七</w:t>
      </w:r>
      <w:r>
        <w:rPr>
          <w:rFonts w:hint="default" w:ascii="Times New Roman" w:hAnsi="Times New Roman" w:eastAsia="楷体" w:cs="Times New Roman"/>
          <w:b/>
          <w:bCs/>
          <w:sz w:val="32"/>
          <w:szCs w:val="32"/>
          <w:highlight w:val="none"/>
          <w:lang w:val="en-US" w:eastAsia="zh-Hans"/>
        </w:rPr>
        <w:t>、</w:t>
      </w:r>
      <w:r>
        <w:rPr>
          <w:rFonts w:hint="default" w:ascii="Times New Roman" w:hAnsi="Times New Roman" w:eastAsia="楷体" w:cs="Times New Roman"/>
          <w:b/>
          <w:bCs/>
          <w:sz w:val="32"/>
          <w:szCs w:val="32"/>
          <w:highlight w:val="none"/>
          <w:lang w:val="en-US" w:eastAsia="zh-CN"/>
        </w:rPr>
        <w:t>其他需</w:t>
      </w:r>
      <w:bookmarkStart w:id="2" w:name="page8"/>
      <w:bookmarkEnd w:id="2"/>
      <w:r>
        <w:rPr>
          <w:rFonts w:hint="default" w:ascii="Times New Roman" w:hAnsi="Times New Roman" w:eastAsia="楷体" w:cs="Times New Roman"/>
          <w:b/>
          <w:bCs/>
          <w:sz w:val="32"/>
          <w:szCs w:val="32"/>
          <w:highlight w:val="none"/>
          <w:lang w:val="en-US" w:eastAsia="zh-CN"/>
        </w:rPr>
        <w:t>要说明的问题</w:t>
      </w:r>
    </w:p>
    <w:p w14:paraId="78D54266">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1、该项目在财政的指导和帮助下，项目在资金申请前置条件的落实上，发挥了积极的“花钱必问效，无效必问责”的项目绩效管理和实施的理念引导；</w:t>
      </w:r>
    </w:p>
    <w:p w14:paraId="7B7162F3">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2、项目在实施的过程中进行了绩效的全过程管理，资金使用流程严谨合规，确保资金用途显效、高效；</w:t>
      </w:r>
    </w:p>
    <w:p w14:paraId="553D55C1">
      <w:pPr>
        <w:pStyle w:val="2"/>
        <w:rPr>
          <w:rFonts w:hint="default" w:ascii="Times New Roman" w:hAnsi="Times New Roman" w:cs="Times New Roman"/>
          <w:lang w:val="en-US" w:eastAsia="zh-CN"/>
        </w:rPr>
        <w:sectPr>
          <w:pgSz w:w="11906" w:h="16838"/>
          <w:pgMar w:top="1440" w:right="1558" w:bottom="1440" w:left="1800" w:header="851" w:footer="992" w:gutter="0"/>
          <w:cols w:space="425" w:num="1"/>
          <w:docGrid w:type="lines" w:linePitch="312" w:charSpace="0"/>
        </w:sectPr>
      </w:pPr>
    </w:p>
    <w:p w14:paraId="6383D387">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bookmarkStart w:id="5" w:name="_GoBack"/>
      <w:bookmarkEnd w:id="5"/>
    </w:p>
    <w:p w14:paraId="195F50E0">
      <w:pPr>
        <w:pStyle w:val="19"/>
        <w:ind w:firstLine="562"/>
        <w:jc w:val="center"/>
        <w:rPr>
          <w:rFonts w:hint="default" w:ascii="Times New Roman" w:hAnsi="Times New Roman" w:eastAsia="仿宋_GB2312" w:cs="Times New Roman"/>
          <w:b w:val="0"/>
          <w:bCs w:val="0"/>
          <w:sz w:val="32"/>
          <w:szCs w:val="32"/>
        </w:rPr>
      </w:pPr>
      <w:bookmarkStart w:id="3" w:name="_Toc26499_WPSOffice_Level2"/>
      <w:bookmarkStart w:id="4" w:name="_Toc30064_WPSOffice_Level1"/>
      <w:r>
        <w:rPr>
          <w:rFonts w:hint="eastAsia" w:eastAsia="仿宋_GB2312" w:cs="Times New Roman"/>
          <w:b/>
          <w:bCs/>
          <w:color w:val="auto"/>
          <w:sz w:val="32"/>
          <w:szCs w:val="32"/>
          <w:lang w:val="en-US" w:eastAsia="zh-CN"/>
        </w:rPr>
        <w:t>场地租赁费</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14:paraId="701900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14:paraId="5AEE4E9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auto"/>
            <w:vAlign w:val="center"/>
          </w:tcPr>
          <w:p w14:paraId="1BCF56F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14:paraId="425B11E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auto"/>
            <w:vAlign w:val="center"/>
          </w:tcPr>
          <w:p w14:paraId="10B4929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auto"/>
            <w:vAlign w:val="center"/>
          </w:tcPr>
          <w:p w14:paraId="0BD9546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auto"/>
            <w:vAlign w:val="center"/>
          </w:tcPr>
          <w:p w14:paraId="4E33034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auto"/>
            <w:vAlign w:val="center"/>
          </w:tcPr>
          <w:p w14:paraId="0F469CC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7DB6EA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14:paraId="437EB936">
            <w:pPr>
              <w:widowControl/>
              <w:spacing w:line="0" w:lineRule="atLeast"/>
              <w:jc w:val="center"/>
              <w:rPr>
                <w:rFonts w:hint="default" w:ascii="Times New Roman" w:hAnsi="Times New Roman" w:eastAsia="仿宋_GB2312" w:cs="Times New Roman"/>
                <w:color w:val="000000"/>
                <w:kern w:val="0"/>
                <w:sz w:val="22"/>
                <w:szCs w:val="22"/>
              </w:rPr>
            </w:pPr>
          </w:p>
          <w:p w14:paraId="30D298E5">
            <w:pPr>
              <w:widowControl/>
              <w:spacing w:line="0" w:lineRule="atLeast"/>
              <w:jc w:val="center"/>
              <w:rPr>
                <w:rFonts w:hint="default" w:ascii="Times New Roman" w:hAnsi="Times New Roman" w:eastAsia="仿宋_GB2312" w:cs="Times New Roman"/>
                <w:color w:val="000000"/>
                <w:kern w:val="0"/>
                <w:sz w:val="22"/>
                <w:szCs w:val="22"/>
              </w:rPr>
            </w:pPr>
          </w:p>
          <w:p w14:paraId="20DAD325">
            <w:pPr>
              <w:widowControl/>
              <w:spacing w:line="0" w:lineRule="atLeast"/>
              <w:jc w:val="center"/>
              <w:rPr>
                <w:rFonts w:hint="default" w:ascii="Times New Roman" w:hAnsi="Times New Roman" w:eastAsia="仿宋_GB2312" w:cs="Times New Roman"/>
                <w:color w:val="000000"/>
                <w:kern w:val="0"/>
                <w:sz w:val="22"/>
                <w:szCs w:val="22"/>
              </w:rPr>
            </w:pPr>
          </w:p>
          <w:p w14:paraId="4498359A">
            <w:pPr>
              <w:widowControl/>
              <w:spacing w:line="0" w:lineRule="atLeast"/>
              <w:jc w:val="center"/>
              <w:rPr>
                <w:rFonts w:hint="default" w:ascii="Times New Roman" w:hAnsi="Times New Roman" w:eastAsia="仿宋_GB2312" w:cs="Times New Roman"/>
                <w:color w:val="000000"/>
                <w:kern w:val="0"/>
                <w:sz w:val="22"/>
                <w:szCs w:val="22"/>
              </w:rPr>
            </w:pPr>
          </w:p>
          <w:p w14:paraId="3C6C2ABB">
            <w:pPr>
              <w:widowControl/>
              <w:spacing w:line="0" w:lineRule="atLeast"/>
              <w:jc w:val="center"/>
              <w:rPr>
                <w:rFonts w:hint="default" w:ascii="Times New Roman" w:hAnsi="Times New Roman" w:eastAsia="仿宋_GB2312" w:cs="Times New Roman"/>
                <w:color w:val="000000"/>
                <w:kern w:val="0"/>
                <w:sz w:val="22"/>
                <w:szCs w:val="22"/>
              </w:rPr>
            </w:pPr>
          </w:p>
          <w:p w14:paraId="7C53F9C0">
            <w:pPr>
              <w:widowControl/>
              <w:spacing w:line="0" w:lineRule="atLeast"/>
              <w:jc w:val="center"/>
              <w:rPr>
                <w:rFonts w:hint="default" w:ascii="Times New Roman" w:hAnsi="Times New Roman" w:eastAsia="仿宋_GB2312" w:cs="Times New Roman"/>
                <w:color w:val="000000"/>
                <w:kern w:val="0"/>
                <w:sz w:val="22"/>
                <w:szCs w:val="22"/>
              </w:rPr>
            </w:pPr>
          </w:p>
          <w:p w14:paraId="3626B85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auto"/>
            <w:vAlign w:val="center"/>
          </w:tcPr>
          <w:p w14:paraId="5B3AEAE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14:paraId="6083537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69983EF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auto"/>
            <w:vAlign w:val="center"/>
          </w:tcPr>
          <w:p w14:paraId="6717223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14:paraId="319E9066">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auto"/>
            <w:vAlign w:val="center"/>
          </w:tcPr>
          <w:p w14:paraId="73884C0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264EF7D4">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22DC04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33FC23E1">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1CD0768C">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4AE5ED8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470183A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auto"/>
            <w:vAlign w:val="center"/>
          </w:tcPr>
          <w:p w14:paraId="1DE3F99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auto"/>
            <w:vAlign w:val="center"/>
          </w:tcPr>
          <w:p w14:paraId="0D5B2A91">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auto"/>
            <w:vAlign w:val="center"/>
          </w:tcPr>
          <w:p w14:paraId="0F14685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5491CA7C">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50B7A4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4159CE45">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602617D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14:paraId="4989534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4BE59CC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4CF1B49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14:paraId="1D5CEC2E">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0DB6ED12">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auto" w:fill="auto"/>
            <w:vAlign w:val="center"/>
          </w:tcPr>
          <w:p w14:paraId="73E2ADA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7E12992B">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698842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14:paraId="0CFDD798">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535E7AAD">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7563B28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77F4C43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auto" w:fill="auto"/>
            <w:vAlign w:val="center"/>
          </w:tcPr>
          <w:p w14:paraId="5519D0E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14:paraId="7B3B062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auto" w:fill="auto"/>
            <w:vAlign w:val="center"/>
          </w:tcPr>
          <w:p w14:paraId="359A07C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5C91CF89">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78EA52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14:paraId="05AC1F5B">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6157D8A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5495E9CF">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01CCEB3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489DD5D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auto"/>
            <w:vAlign w:val="center"/>
          </w:tcPr>
          <w:p w14:paraId="49CC93B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14:paraId="7A8B3D4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auto"/>
            <w:vAlign w:val="center"/>
          </w:tcPr>
          <w:p w14:paraId="1E60394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2E6093C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78DB9A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14:paraId="51C3D46C">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4DB96C8A">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5CD5F76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6C573C7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5553C1D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14:paraId="0D1E68C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auto"/>
            <w:vAlign w:val="center"/>
          </w:tcPr>
          <w:p w14:paraId="28FD251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16158935">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70F133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14:paraId="3BAF07DA">
            <w:pPr>
              <w:spacing w:line="0" w:lineRule="atLeast"/>
              <w:jc w:val="center"/>
              <w:rPr>
                <w:rFonts w:hint="default" w:ascii="Times New Roman" w:hAnsi="Times New Roman" w:eastAsia="仿宋_GB2312" w:cs="Times New Roman"/>
                <w:color w:val="000000"/>
                <w:kern w:val="0"/>
                <w:sz w:val="22"/>
                <w:szCs w:val="22"/>
              </w:rPr>
            </w:pPr>
          </w:p>
          <w:p w14:paraId="743F5921">
            <w:pPr>
              <w:spacing w:line="0" w:lineRule="atLeast"/>
              <w:jc w:val="center"/>
              <w:rPr>
                <w:rFonts w:hint="default" w:ascii="Times New Roman" w:hAnsi="Times New Roman" w:eastAsia="仿宋_GB2312" w:cs="Times New Roman"/>
                <w:color w:val="000000"/>
                <w:kern w:val="0"/>
                <w:sz w:val="22"/>
                <w:szCs w:val="22"/>
              </w:rPr>
            </w:pPr>
          </w:p>
          <w:p w14:paraId="68A37A0F">
            <w:pPr>
              <w:spacing w:line="0" w:lineRule="atLeast"/>
              <w:jc w:val="center"/>
              <w:rPr>
                <w:rFonts w:hint="default" w:ascii="Times New Roman" w:hAnsi="Times New Roman" w:eastAsia="仿宋_GB2312" w:cs="Times New Roman"/>
                <w:color w:val="000000"/>
                <w:kern w:val="0"/>
                <w:sz w:val="22"/>
                <w:szCs w:val="22"/>
              </w:rPr>
            </w:pPr>
          </w:p>
          <w:p w14:paraId="173D6DF0">
            <w:pPr>
              <w:spacing w:line="0" w:lineRule="atLeast"/>
              <w:jc w:val="center"/>
              <w:rPr>
                <w:rFonts w:hint="default" w:ascii="Times New Roman" w:hAnsi="Times New Roman" w:eastAsia="仿宋_GB2312" w:cs="Times New Roman"/>
                <w:color w:val="000000"/>
                <w:kern w:val="0"/>
                <w:sz w:val="22"/>
                <w:szCs w:val="22"/>
              </w:rPr>
            </w:pPr>
          </w:p>
          <w:p w14:paraId="259DCEBD">
            <w:pPr>
              <w:spacing w:line="0" w:lineRule="atLeast"/>
              <w:jc w:val="center"/>
              <w:rPr>
                <w:rFonts w:hint="default" w:ascii="Times New Roman" w:hAnsi="Times New Roman" w:eastAsia="仿宋_GB2312" w:cs="Times New Roman"/>
                <w:color w:val="000000"/>
                <w:kern w:val="0"/>
                <w:sz w:val="22"/>
                <w:szCs w:val="22"/>
              </w:rPr>
            </w:pPr>
          </w:p>
          <w:p w14:paraId="5A6F4903">
            <w:pPr>
              <w:spacing w:line="0" w:lineRule="atLeast"/>
              <w:jc w:val="center"/>
              <w:rPr>
                <w:rFonts w:hint="default" w:ascii="Times New Roman" w:hAnsi="Times New Roman" w:eastAsia="仿宋_GB2312" w:cs="Times New Roman"/>
                <w:color w:val="000000"/>
                <w:kern w:val="0"/>
                <w:sz w:val="22"/>
                <w:szCs w:val="22"/>
              </w:rPr>
            </w:pPr>
          </w:p>
          <w:p w14:paraId="4BC4127F">
            <w:pPr>
              <w:spacing w:line="0" w:lineRule="atLeast"/>
              <w:jc w:val="center"/>
              <w:rPr>
                <w:rFonts w:hint="default" w:ascii="Times New Roman" w:hAnsi="Times New Roman" w:eastAsia="仿宋_GB2312" w:cs="Times New Roman"/>
                <w:color w:val="000000"/>
                <w:kern w:val="0"/>
                <w:sz w:val="22"/>
                <w:szCs w:val="22"/>
              </w:rPr>
            </w:pPr>
          </w:p>
          <w:p w14:paraId="59B48AD4">
            <w:pPr>
              <w:spacing w:line="0" w:lineRule="atLeast"/>
              <w:jc w:val="center"/>
              <w:rPr>
                <w:rFonts w:hint="default" w:ascii="Times New Roman" w:hAnsi="Times New Roman" w:eastAsia="仿宋_GB2312" w:cs="Times New Roman"/>
                <w:color w:val="000000"/>
                <w:kern w:val="0"/>
                <w:sz w:val="22"/>
                <w:szCs w:val="22"/>
              </w:rPr>
            </w:pPr>
          </w:p>
          <w:p w14:paraId="5602C70C">
            <w:pPr>
              <w:spacing w:line="0" w:lineRule="atLeast"/>
              <w:jc w:val="center"/>
              <w:rPr>
                <w:rFonts w:hint="default" w:ascii="Times New Roman" w:hAnsi="Times New Roman" w:eastAsia="仿宋_GB2312" w:cs="Times New Roman"/>
                <w:color w:val="000000"/>
                <w:kern w:val="0"/>
                <w:sz w:val="22"/>
                <w:szCs w:val="22"/>
              </w:rPr>
            </w:pPr>
          </w:p>
          <w:p w14:paraId="44A1237C">
            <w:pPr>
              <w:spacing w:line="0" w:lineRule="atLeast"/>
              <w:jc w:val="center"/>
              <w:rPr>
                <w:rFonts w:hint="default" w:ascii="Times New Roman" w:hAnsi="Times New Roman" w:eastAsia="仿宋_GB2312" w:cs="Times New Roman"/>
                <w:color w:val="000000"/>
                <w:kern w:val="0"/>
                <w:sz w:val="22"/>
                <w:szCs w:val="22"/>
              </w:rPr>
            </w:pPr>
          </w:p>
          <w:p w14:paraId="0E85FBFF">
            <w:pPr>
              <w:spacing w:line="0" w:lineRule="atLeast"/>
              <w:jc w:val="center"/>
              <w:rPr>
                <w:rFonts w:hint="default" w:ascii="Times New Roman" w:hAnsi="Times New Roman" w:eastAsia="仿宋_GB2312" w:cs="Times New Roman"/>
                <w:color w:val="000000"/>
                <w:kern w:val="0"/>
                <w:sz w:val="22"/>
                <w:szCs w:val="22"/>
              </w:rPr>
            </w:pPr>
          </w:p>
          <w:p w14:paraId="4F0CADBC">
            <w:pPr>
              <w:spacing w:line="0" w:lineRule="atLeast"/>
              <w:jc w:val="center"/>
              <w:rPr>
                <w:rFonts w:hint="default" w:ascii="Times New Roman" w:hAnsi="Times New Roman" w:eastAsia="仿宋_GB2312" w:cs="Times New Roman"/>
                <w:color w:val="000000"/>
                <w:kern w:val="0"/>
                <w:sz w:val="22"/>
                <w:szCs w:val="22"/>
              </w:rPr>
            </w:pPr>
          </w:p>
          <w:p w14:paraId="3A50B20A">
            <w:pPr>
              <w:spacing w:line="0" w:lineRule="atLeast"/>
              <w:jc w:val="center"/>
              <w:rPr>
                <w:rFonts w:hint="default" w:ascii="Times New Roman" w:hAnsi="Times New Roman" w:eastAsia="仿宋_GB2312" w:cs="Times New Roman"/>
                <w:color w:val="000000"/>
                <w:kern w:val="0"/>
                <w:sz w:val="22"/>
                <w:szCs w:val="22"/>
              </w:rPr>
            </w:pPr>
          </w:p>
          <w:p w14:paraId="533DA453">
            <w:pPr>
              <w:spacing w:line="0" w:lineRule="atLeast"/>
              <w:jc w:val="center"/>
              <w:rPr>
                <w:rFonts w:hint="default" w:ascii="Times New Roman" w:hAnsi="Times New Roman" w:eastAsia="仿宋_GB2312" w:cs="Times New Roman"/>
                <w:color w:val="000000"/>
                <w:kern w:val="0"/>
                <w:sz w:val="22"/>
                <w:szCs w:val="22"/>
              </w:rPr>
            </w:pPr>
          </w:p>
          <w:p w14:paraId="06DE29DB">
            <w:pPr>
              <w:spacing w:line="0" w:lineRule="atLeast"/>
              <w:jc w:val="center"/>
              <w:rPr>
                <w:rFonts w:hint="default" w:ascii="Times New Roman" w:hAnsi="Times New Roman" w:eastAsia="仿宋_GB2312" w:cs="Times New Roman"/>
                <w:color w:val="000000"/>
                <w:kern w:val="0"/>
                <w:sz w:val="22"/>
                <w:szCs w:val="22"/>
              </w:rPr>
            </w:pPr>
          </w:p>
          <w:p w14:paraId="676EB053">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3E9DE22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auto"/>
            <w:vAlign w:val="center"/>
          </w:tcPr>
          <w:p w14:paraId="2DBD4EC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0EF2FFD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auto" w:fill="auto"/>
            <w:vAlign w:val="center"/>
          </w:tcPr>
          <w:p w14:paraId="540D329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14:paraId="1098FD4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1F45226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60E7B86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auto" w:fill="auto"/>
            <w:vAlign w:val="center"/>
          </w:tcPr>
          <w:p w14:paraId="3FD3BFD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7399FB20">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92261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14:paraId="4E252CE6">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7DDDAAB5">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5228B4E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auto"/>
            <w:vAlign w:val="center"/>
          </w:tcPr>
          <w:p w14:paraId="6E6EE5A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auto"/>
            <w:vAlign w:val="center"/>
          </w:tcPr>
          <w:p w14:paraId="122DF51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auto"/>
            <w:vAlign w:val="center"/>
          </w:tcPr>
          <w:p w14:paraId="4E0E7C52">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auto"/>
            <w:vAlign w:val="center"/>
          </w:tcPr>
          <w:p w14:paraId="332F51B4">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4</w:t>
            </w:r>
          </w:p>
        </w:tc>
      </w:tr>
      <w:tr w14:paraId="3AECBF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05A08036">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364A67C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0937DBF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3629A52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auto" w:fill="auto"/>
            <w:vAlign w:val="center"/>
          </w:tcPr>
          <w:p w14:paraId="560D457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14:paraId="4DA6D11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auto" w:fill="auto"/>
            <w:vAlign w:val="center"/>
          </w:tcPr>
          <w:p w14:paraId="77BA54A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59A65393">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421FDF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14:paraId="6D993112">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4E94907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78156E62">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5D293CC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1EEE8D6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auto" w:fill="auto"/>
            <w:vAlign w:val="center"/>
          </w:tcPr>
          <w:p w14:paraId="1AF659C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14:paraId="77EEBC2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auto" w:fill="auto"/>
            <w:vAlign w:val="center"/>
          </w:tcPr>
          <w:p w14:paraId="53559E0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67337DAC">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08F8E8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14:paraId="584C15B8">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27AFAED9">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179D85D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732FF39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auto" w:fill="auto"/>
            <w:vAlign w:val="center"/>
          </w:tcPr>
          <w:p w14:paraId="1E0DD26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auto" w:fill="auto"/>
            <w:vAlign w:val="center"/>
          </w:tcPr>
          <w:p w14:paraId="55DE8A7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auto" w:fill="auto"/>
            <w:vAlign w:val="center"/>
          </w:tcPr>
          <w:p w14:paraId="5121362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4441095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DD253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14:paraId="5DE87CF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auto"/>
            <w:vAlign w:val="center"/>
          </w:tcPr>
          <w:p w14:paraId="6A476CD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14:paraId="187728C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auto" w:fill="auto"/>
            <w:vAlign w:val="center"/>
          </w:tcPr>
          <w:p w14:paraId="11DD7E0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14:paraId="5535034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ascii="Times New Roman" w:hAnsi="Times New Roman"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1300" w:type="dxa"/>
            <w:shd w:val="clear" w:color="auto" w:fill="auto"/>
            <w:vAlign w:val="center"/>
          </w:tcPr>
          <w:p w14:paraId="5ACCCF2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3E326ACD">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1D31A4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14:paraId="36673422">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548E295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14:paraId="3A2FE7D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auto" w:fill="auto"/>
            <w:vAlign w:val="center"/>
          </w:tcPr>
          <w:p w14:paraId="58571D0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14:paraId="53BE778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6646E5F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14:paraId="23ADE6D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36CD7C4A">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4F3418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14:paraId="772B5223">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41C99649">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14:paraId="71D300F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auto" w:fill="auto"/>
            <w:vAlign w:val="center"/>
          </w:tcPr>
          <w:p w14:paraId="2AAC8EB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14:paraId="4232FBD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auto" w:fill="auto"/>
            <w:vAlign w:val="center"/>
          </w:tcPr>
          <w:p w14:paraId="1F0054C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047E01BD">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0C7922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318861B0">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4B55E09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14:paraId="337EBFA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auto" w:fill="auto"/>
            <w:vAlign w:val="center"/>
          </w:tcPr>
          <w:p w14:paraId="1A2FAF1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14:paraId="76674A2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auto" w:fill="auto"/>
            <w:vAlign w:val="center"/>
          </w:tcPr>
          <w:p w14:paraId="3D1408C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7F1E3147">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7EABDC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14:paraId="4C0457D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auto"/>
            <w:vAlign w:val="center"/>
          </w:tcPr>
          <w:p w14:paraId="22BADB0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14:paraId="495BC39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auto"/>
            <w:vAlign w:val="center"/>
          </w:tcPr>
          <w:p w14:paraId="7E517235">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auto"/>
            <w:vAlign w:val="center"/>
          </w:tcPr>
          <w:p w14:paraId="047A05B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14:paraId="5DA55AB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42455D52">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40F18C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14:paraId="70B3B4D3">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2493A468">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16A250F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auto" w:fill="auto"/>
            <w:vAlign w:val="center"/>
          </w:tcPr>
          <w:p w14:paraId="2062F35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auto" w:fill="auto"/>
            <w:vAlign w:val="center"/>
          </w:tcPr>
          <w:p w14:paraId="42E57BB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14:paraId="5815633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440A1852">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14:paraId="530914CB">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2248F84-D029-4E8C-81EA-48873DFBA8A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C0582C2C-14D5-404B-A5DC-2B18F372A57B}"/>
  </w:font>
  <w:font w:name="华文中宋">
    <w:panose1 w:val="02010600040101010101"/>
    <w:charset w:val="86"/>
    <w:family w:val="auto"/>
    <w:pitch w:val="default"/>
    <w:sig w:usb0="00000287" w:usb1="080F0000" w:usb2="00000000" w:usb3="00000000" w:csb0="0004009F" w:csb1="DFD70000"/>
    <w:embedRegular r:id="rId3" w:fontKey="{FF0ABB86-BD08-40BA-9DCD-2CB49E6E3771}"/>
  </w:font>
  <w:font w:name="方正小标宋_GBK">
    <w:panose1 w:val="02000000000000000000"/>
    <w:charset w:val="86"/>
    <w:family w:val="script"/>
    <w:pitch w:val="default"/>
    <w:sig w:usb0="A00002BF" w:usb1="38CF7CFA" w:usb2="00082016" w:usb3="00000000" w:csb0="00040001" w:csb1="00000000"/>
    <w:embedRegular r:id="rId4" w:fontKey="{4B4EBDA0-30FF-47AA-B166-47D71750EB7C}"/>
  </w:font>
  <w:font w:name="楷体">
    <w:panose1 w:val="02010609060101010101"/>
    <w:charset w:val="86"/>
    <w:family w:val="modern"/>
    <w:pitch w:val="default"/>
    <w:sig w:usb0="800002BF" w:usb1="38CF7CFA" w:usb2="00000016" w:usb3="00000000" w:csb0="00040001" w:csb1="00000000"/>
    <w:embedRegular r:id="rId5" w:fontKey="{DDC8318A-0877-40ED-83BD-BB7547D3A1C2}"/>
  </w:font>
  <w:font w:name="方正仿宋_GBK">
    <w:panose1 w:val="03000509000000000000"/>
    <w:charset w:val="86"/>
    <w:family w:val="auto"/>
    <w:pitch w:val="default"/>
    <w:sig w:usb0="00000001" w:usb1="080E0000" w:usb2="00000000" w:usb3="00000000" w:csb0="00040000" w:csb1="00000000"/>
    <w:embedRegular r:id="rId6" w:fontKey="{1F9A2919-B240-4719-8FD0-79FF4B717AC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FF9D40F">
        <w:pPr>
          <w:pStyle w:val="7"/>
          <w:jc w:val="center"/>
        </w:pPr>
        <w:r>
          <w:fldChar w:fldCharType="begin"/>
        </w:r>
        <w:r>
          <w:instrText xml:space="preserve">PAGE   \* MERGEFORMAT</w:instrText>
        </w:r>
        <w:r>
          <w:fldChar w:fldCharType="separate"/>
        </w:r>
        <w:r>
          <w:rPr>
            <w:lang w:val="zh-CN"/>
          </w:rPr>
          <w:t>13</w:t>
        </w:r>
        <w:r>
          <w:fldChar w:fldCharType="end"/>
        </w:r>
      </w:p>
    </w:sdtContent>
  </w:sdt>
  <w:p w14:paraId="08675D26">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FF6C4049"/>
    <w:rsid w:val="000B1A2A"/>
    <w:rsid w:val="006F7242"/>
    <w:rsid w:val="007B168A"/>
    <w:rsid w:val="008B2CFE"/>
    <w:rsid w:val="00F26FF6"/>
    <w:rsid w:val="0176587A"/>
    <w:rsid w:val="026A2EB1"/>
    <w:rsid w:val="048C0C43"/>
    <w:rsid w:val="07397B77"/>
    <w:rsid w:val="083D02AA"/>
    <w:rsid w:val="0E4D3AE6"/>
    <w:rsid w:val="12772E5A"/>
    <w:rsid w:val="13471461"/>
    <w:rsid w:val="13B90F01"/>
    <w:rsid w:val="15CD7BED"/>
    <w:rsid w:val="181066D2"/>
    <w:rsid w:val="19EE3844"/>
    <w:rsid w:val="1B12301B"/>
    <w:rsid w:val="1C671E73"/>
    <w:rsid w:val="24B31B42"/>
    <w:rsid w:val="274F0D9D"/>
    <w:rsid w:val="28C77264"/>
    <w:rsid w:val="2FE11AB2"/>
    <w:rsid w:val="31D44805"/>
    <w:rsid w:val="36BD1418"/>
    <w:rsid w:val="38CA40DD"/>
    <w:rsid w:val="395F2B56"/>
    <w:rsid w:val="3BECE841"/>
    <w:rsid w:val="3DE77067"/>
    <w:rsid w:val="3F3C7A12"/>
    <w:rsid w:val="3FF7797D"/>
    <w:rsid w:val="447B120C"/>
    <w:rsid w:val="448C5BDA"/>
    <w:rsid w:val="4A185268"/>
    <w:rsid w:val="50CF6B46"/>
    <w:rsid w:val="530743A2"/>
    <w:rsid w:val="53B726C6"/>
    <w:rsid w:val="541C522A"/>
    <w:rsid w:val="5BFF6039"/>
    <w:rsid w:val="5CEC7901"/>
    <w:rsid w:val="5D435C2E"/>
    <w:rsid w:val="5D76A616"/>
    <w:rsid w:val="5D7F20B9"/>
    <w:rsid w:val="5DAC7D0E"/>
    <w:rsid w:val="5F470282"/>
    <w:rsid w:val="5F98B5AF"/>
    <w:rsid w:val="5FFE8511"/>
    <w:rsid w:val="5FFEACE2"/>
    <w:rsid w:val="643EE26D"/>
    <w:rsid w:val="651B5F9F"/>
    <w:rsid w:val="654F1AD9"/>
    <w:rsid w:val="68A4768A"/>
    <w:rsid w:val="6E415DA5"/>
    <w:rsid w:val="6EDC50CA"/>
    <w:rsid w:val="6F5C41AC"/>
    <w:rsid w:val="6FAF6C78"/>
    <w:rsid w:val="710A6EC7"/>
    <w:rsid w:val="7317C656"/>
    <w:rsid w:val="734ED73F"/>
    <w:rsid w:val="752F6306"/>
    <w:rsid w:val="772B5869"/>
    <w:rsid w:val="77FD8BE9"/>
    <w:rsid w:val="79A9BD3F"/>
    <w:rsid w:val="7BFFFDD0"/>
    <w:rsid w:val="7C336E5F"/>
    <w:rsid w:val="7D7A5F86"/>
    <w:rsid w:val="7E61605D"/>
    <w:rsid w:val="7F37BB4E"/>
    <w:rsid w:val="7F4039EF"/>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7560</Words>
  <Characters>7868</Characters>
  <Lines>58</Lines>
  <Paragraphs>16</Paragraphs>
  <TotalTime>18</TotalTime>
  <ScaleCrop>false</ScaleCrop>
  <LinksUpToDate>false</LinksUpToDate>
  <CharactersWithSpaces>7880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WPS_1591167138</cp:lastModifiedBy>
  <dcterms:modified xsi:type="dcterms:W3CDTF">2024-10-18T05:30:04Z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D12B7DCCCEE142368DBA18136534DD5B_13</vt:lpwstr>
  </property>
</Properties>
</file>