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43873">
      <w:pPr>
        <w:spacing w:line="540" w:lineRule="exact"/>
        <w:jc w:val="center"/>
        <w:rPr>
          <w:rFonts w:hint="default" w:ascii="Times New Roman" w:hAnsi="Times New Roman" w:eastAsia="华文中宋" w:cs="Times New Roman"/>
          <w:b/>
          <w:kern w:val="0"/>
          <w:sz w:val="52"/>
          <w:szCs w:val="52"/>
        </w:rPr>
      </w:pPr>
    </w:p>
    <w:p w14:paraId="32DEFDE9">
      <w:pPr>
        <w:spacing w:line="540" w:lineRule="exact"/>
        <w:rPr>
          <w:rFonts w:hint="default" w:ascii="Times New Roman" w:hAnsi="Times New Roman" w:eastAsia="华文中宋" w:cs="Times New Roman"/>
          <w:b/>
          <w:kern w:val="0"/>
          <w:sz w:val="52"/>
          <w:szCs w:val="52"/>
        </w:rPr>
      </w:pPr>
    </w:p>
    <w:p w14:paraId="354B6D0D">
      <w:pPr>
        <w:spacing w:line="540" w:lineRule="exact"/>
        <w:jc w:val="center"/>
        <w:rPr>
          <w:rFonts w:hint="default" w:ascii="Times New Roman" w:hAnsi="Times New Roman" w:eastAsia="华文中宋" w:cs="Times New Roman"/>
          <w:b/>
          <w:kern w:val="0"/>
          <w:sz w:val="52"/>
          <w:szCs w:val="52"/>
        </w:rPr>
      </w:pPr>
    </w:p>
    <w:p w14:paraId="18361F92">
      <w:pPr>
        <w:spacing w:line="540" w:lineRule="exact"/>
        <w:jc w:val="center"/>
        <w:rPr>
          <w:rFonts w:hint="default" w:ascii="Times New Roman" w:hAnsi="Times New Roman" w:eastAsia="华文中宋" w:cs="Times New Roman"/>
          <w:b/>
          <w:kern w:val="0"/>
          <w:sz w:val="52"/>
          <w:szCs w:val="52"/>
        </w:rPr>
      </w:pPr>
    </w:p>
    <w:p w14:paraId="7B8CD11C">
      <w:pPr>
        <w:spacing w:line="540" w:lineRule="exact"/>
        <w:jc w:val="center"/>
        <w:rPr>
          <w:rFonts w:hint="default" w:ascii="Times New Roman" w:hAnsi="Times New Roman" w:eastAsia="方正小标宋_GBK" w:cs="Times New Roman"/>
          <w:kern w:val="0"/>
          <w:sz w:val="48"/>
          <w:szCs w:val="48"/>
        </w:rPr>
      </w:pPr>
      <w:r>
        <w:rPr>
          <w:rFonts w:hint="eastAsia" w:eastAsia="方正小标宋_GBK" w:cs="Times New Roman"/>
          <w:kern w:val="0"/>
          <w:sz w:val="48"/>
          <w:szCs w:val="48"/>
          <w:lang w:val="en-US" w:eastAsia="zh-CN"/>
        </w:rPr>
        <w:t>基层综合党委党建工作经费</w:t>
      </w:r>
      <w:r>
        <w:rPr>
          <w:rFonts w:hint="default" w:ascii="Times New Roman" w:hAnsi="Times New Roman" w:eastAsia="方正小标宋_GBK" w:cs="Times New Roman"/>
          <w:kern w:val="0"/>
          <w:sz w:val="48"/>
          <w:szCs w:val="48"/>
        </w:rPr>
        <w:t>项目支出</w:t>
      </w:r>
    </w:p>
    <w:p w14:paraId="39EE511A">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14:paraId="146B2934">
      <w:pPr>
        <w:spacing w:line="540" w:lineRule="exact"/>
        <w:jc w:val="center"/>
        <w:rPr>
          <w:rFonts w:hint="default" w:ascii="Times New Roman" w:hAnsi="Times New Roman" w:eastAsia="华文中宋" w:cs="Times New Roman"/>
          <w:b/>
          <w:kern w:val="0"/>
          <w:sz w:val="52"/>
          <w:szCs w:val="52"/>
        </w:rPr>
      </w:pPr>
    </w:p>
    <w:p w14:paraId="49F68748">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0BF27488">
      <w:pPr>
        <w:spacing w:line="540" w:lineRule="exact"/>
        <w:jc w:val="center"/>
        <w:rPr>
          <w:rFonts w:hint="default" w:ascii="Times New Roman" w:hAnsi="Times New Roman" w:eastAsia="仿宋_GB2312" w:cs="Times New Roman"/>
          <w:kern w:val="0"/>
          <w:sz w:val="30"/>
          <w:szCs w:val="30"/>
        </w:rPr>
      </w:pPr>
    </w:p>
    <w:p w14:paraId="4A615D63">
      <w:pPr>
        <w:spacing w:line="540" w:lineRule="exact"/>
        <w:jc w:val="center"/>
        <w:rPr>
          <w:rFonts w:hint="default" w:ascii="Times New Roman" w:hAnsi="Times New Roman" w:eastAsia="仿宋_GB2312" w:cs="Times New Roman"/>
          <w:kern w:val="0"/>
          <w:sz w:val="30"/>
          <w:szCs w:val="30"/>
        </w:rPr>
      </w:pPr>
    </w:p>
    <w:p w14:paraId="4C25B046">
      <w:pPr>
        <w:spacing w:line="540" w:lineRule="exact"/>
        <w:jc w:val="center"/>
        <w:rPr>
          <w:rFonts w:hint="default" w:ascii="Times New Roman" w:hAnsi="Times New Roman" w:eastAsia="仿宋_GB2312" w:cs="Times New Roman"/>
          <w:kern w:val="0"/>
          <w:sz w:val="30"/>
          <w:szCs w:val="30"/>
        </w:rPr>
      </w:pPr>
    </w:p>
    <w:p w14:paraId="3E131848">
      <w:pPr>
        <w:pStyle w:val="10"/>
        <w:rPr>
          <w:rFonts w:hint="default" w:ascii="Times New Roman" w:hAnsi="Times New Roman" w:cs="Times New Roman"/>
        </w:rPr>
      </w:pPr>
    </w:p>
    <w:p w14:paraId="1D768661">
      <w:pPr>
        <w:spacing w:line="540" w:lineRule="exact"/>
        <w:jc w:val="center"/>
        <w:rPr>
          <w:rFonts w:hint="default" w:ascii="Times New Roman" w:hAnsi="Times New Roman" w:eastAsia="仿宋_GB2312" w:cs="Times New Roman"/>
          <w:kern w:val="0"/>
          <w:sz w:val="30"/>
          <w:szCs w:val="30"/>
        </w:rPr>
      </w:pPr>
    </w:p>
    <w:p w14:paraId="2CB97C85">
      <w:pPr>
        <w:spacing w:line="540" w:lineRule="exact"/>
        <w:rPr>
          <w:rFonts w:hint="default" w:ascii="Times New Roman" w:hAnsi="Times New Roman" w:eastAsia="仿宋_GB2312" w:cs="Times New Roman"/>
          <w:kern w:val="0"/>
          <w:sz w:val="30"/>
          <w:szCs w:val="30"/>
        </w:rPr>
      </w:pPr>
    </w:p>
    <w:p w14:paraId="763AF818">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基层综合党委党建工作经费</w:t>
      </w:r>
    </w:p>
    <w:p w14:paraId="4E552CF8">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哈密市工商业联合会</w:t>
      </w:r>
    </w:p>
    <w:p w14:paraId="45B0F3E2">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哈密市工商业联合会</w:t>
      </w:r>
    </w:p>
    <w:p w14:paraId="11CA69CE">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沈俊熙</w:t>
      </w:r>
    </w:p>
    <w:p w14:paraId="3F608FD8">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21</w:t>
      </w:r>
      <w:r>
        <w:rPr>
          <w:rFonts w:hint="default" w:ascii="Times New Roman" w:hAnsi="Times New Roman" w:eastAsia="仿宋_GB2312" w:cs="Times New Roman"/>
          <w:kern w:val="0"/>
          <w:sz w:val="36"/>
          <w:szCs w:val="36"/>
        </w:rPr>
        <w:t>日</w:t>
      </w:r>
    </w:p>
    <w:p w14:paraId="0DB28B97">
      <w:pPr>
        <w:spacing w:line="540" w:lineRule="exact"/>
        <w:jc w:val="center"/>
        <w:rPr>
          <w:rFonts w:hint="default" w:ascii="Times New Roman" w:hAnsi="Times New Roman" w:eastAsia="仿宋_GB2312" w:cs="Times New Roman"/>
          <w:kern w:val="0"/>
          <w:sz w:val="30"/>
          <w:szCs w:val="30"/>
        </w:rPr>
      </w:pPr>
    </w:p>
    <w:p w14:paraId="76B6FFA5">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360E735C">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A68F79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74458F7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B6879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Times New Roman" w:eastAsia="仿宋_GB2312" w:cs="Times New Roman"/>
          <w:b/>
          <w:bCs/>
          <w:sz w:val="32"/>
          <w:szCs w:val="32"/>
        </w:rPr>
      </w:pPr>
      <w:r>
        <w:rPr>
          <w:rFonts w:hint="eastAsia" w:ascii="仿宋_GB2312" w:hAnsi="仿宋_GB2312" w:eastAsia="仿宋_GB2312"/>
          <w:color w:val="auto"/>
          <w:sz w:val="32"/>
          <w:szCs w:val="32"/>
        </w:rPr>
        <w:t>非公有制</w:t>
      </w:r>
      <w:r>
        <w:rPr>
          <w:rFonts w:hint="eastAsia" w:ascii="仿宋_GB2312" w:hAnsi="仿宋_GB2312" w:eastAsia="仿宋_GB2312"/>
          <w:color w:val="auto"/>
          <w:sz w:val="32"/>
          <w:szCs w:val="32"/>
          <w:lang w:eastAsia="zh-CN"/>
        </w:rPr>
        <w:t>经济</w:t>
      </w:r>
      <w:r>
        <w:rPr>
          <w:rFonts w:hint="eastAsia" w:ascii="仿宋_GB2312" w:hAnsi="仿宋_GB2312" w:eastAsia="仿宋_GB2312"/>
          <w:color w:val="auto"/>
          <w:sz w:val="32"/>
          <w:szCs w:val="32"/>
        </w:rPr>
        <w:t>在国民经济中的地位和作用日益</w:t>
      </w:r>
      <w:r>
        <w:rPr>
          <w:rFonts w:hint="eastAsia" w:ascii="仿宋_GB2312" w:hAnsi="仿宋_GB2312" w:eastAsia="仿宋_GB2312"/>
          <w:color w:val="auto"/>
          <w:sz w:val="32"/>
          <w:szCs w:val="32"/>
          <w:lang w:eastAsia="zh-CN"/>
        </w:rPr>
        <w:t>凸显</w:t>
      </w:r>
      <w:r>
        <w:rPr>
          <w:rFonts w:hint="eastAsia" w:ascii="仿宋_GB2312" w:hAnsi="仿宋_GB2312" w:eastAsia="仿宋_GB2312"/>
          <w:color w:val="auto"/>
          <w:sz w:val="32"/>
          <w:szCs w:val="32"/>
        </w:rPr>
        <w:t>，非公有制</w:t>
      </w:r>
      <w:r>
        <w:rPr>
          <w:rFonts w:hint="eastAsia" w:ascii="仿宋_GB2312" w:hAnsi="仿宋_GB2312" w:eastAsia="仿宋_GB2312"/>
          <w:color w:val="auto"/>
          <w:sz w:val="32"/>
          <w:szCs w:val="32"/>
          <w:lang w:eastAsia="zh-CN"/>
        </w:rPr>
        <w:t>经济</w:t>
      </w:r>
      <w:r>
        <w:rPr>
          <w:rFonts w:hint="eastAsia" w:ascii="仿宋_GB2312" w:hAnsi="仿宋_GB2312" w:eastAsia="仿宋_GB2312"/>
          <w:color w:val="auto"/>
          <w:sz w:val="32"/>
          <w:szCs w:val="32"/>
        </w:rPr>
        <w:t>党建工作已成为新形势下党的建设工作的重要领域。加强非公有制</w:t>
      </w:r>
      <w:r>
        <w:rPr>
          <w:rFonts w:hint="eastAsia" w:ascii="仿宋_GB2312" w:hAnsi="仿宋_GB2312" w:eastAsia="仿宋_GB2312"/>
          <w:color w:val="auto"/>
          <w:sz w:val="32"/>
          <w:szCs w:val="32"/>
          <w:lang w:eastAsia="zh-CN"/>
        </w:rPr>
        <w:t>经济</w:t>
      </w:r>
      <w:r>
        <w:rPr>
          <w:rFonts w:hint="eastAsia" w:ascii="仿宋_GB2312" w:hAnsi="仿宋_GB2312" w:eastAsia="仿宋_GB2312"/>
          <w:color w:val="auto"/>
          <w:sz w:val="32"/>
          <w:szCs w:val="32"/>
        </w:rPr>
        <w:t>党建工作，事关党的执政基础的巩固，事关社会转型和社会管理的加强与创新，事关非公有制</w:t>
      </w:r>
      <w:r>
        <w:rPr>
          <w:rFonts w:hint="eastAsia" w:ascii="仿宋_GB2312" w:hAnsi="仿宋_GB2312" w:eastAsia="仿宋_GB2312"/>
          <w:color w:val="auto"/>
          <w:sz w:val="32"/>
          <w:szCs w:val="32"/>
          <w:lang w:eastAsia="zh-CN"/>
        </w:rPr>
        <w:t>经济</w:t>
      </w:r>
      <w:r>
        <w:rPr>
          <w:rFonts w:hint="eastAsia" w:ascii="仿宋_GB2312" w:hAnsi="仿宋_GB2312" w:eastAsia="仿宋_GB2312"/>
          <w:color w:val="auto"/>
          <w:sz w:val="32"/>
          <w:szCs w:val="32"/>
        </w:rPr>
        <w:t>自身的健康发展。</w:t>
      </w:r>
      <w:r>
        <w:rPr>
          <w:rFonts w:hint="eastAsia" w:ascii="仿宋_GB2312" w:hAnsi="Times New Roman" w:eastAsia="仿宋_GB2312" w:cs="Times New Roman"/>
          <w:color w:val="auto"/>
          <w:sz w:val="32"/>
          <w:szCs w:val="32"/>
          <w:lang w:eastAsia="zh-CN"/>
        </w:rPr>
        <w:t>通过开展非公有制经济党建工作，进一步加强党对非公有制经济组织的领导，进一步增强非公有制经济组织坚定</w:t>
      </w:r>
      <w:r>
        <w:rPr>
          <w:rFonts w:hint="eastAsia" w:ascii="仿宋_GB2312" w:eastAsia="仿宋_GB2312" w:cs="Times New Roman"/>
          <w:color w:val="auto"/>
          <w:sz w:val="32"/>
          <w:szCs w:val="32"/>
          <w:lang w:eastAsia="zh-CN"/>
        </w:rPr>
        <w:t>听党话、感党恩、跟党走</w:t>
      </w:r>
      <w:r>
        <w:rPr>
          <w:rFonts w:hint="eastAsia" w:ascii="仿宋_GB2312" w:hAnsi="Times New Roman" w:eastAsia="仿宋_GB2312" w:cs="Times New Roman"/>
          <w:color w:val="auto"/>
          <w:sz w:val="32"/>
          <w:szCs w:val="32"/>
          <w:lang w:eastAsia="zh-CN"/>
        </w:rPr>
        <w:t>的理想信念。</w:t>
      </w:r>
    </w:p>
    <w:p w14:paraId="3CDF971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599F914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sz w:val="32"/>
          <w:szCs w:val="32"/>
        </w:rPr>
      </w:pPr>
      <w:r>
        <w:rPr>
          <w:rFonts w:hint="eastAsia" w:ascii="仿宋_GB2312" w:hAnsi="Times New Roman" w:eastAsia="仿宋_GB2312" w:cs="Times New Roman"/>
          <w:color w:val="auto"/>
          <w:kern w:val="2"/>
          <w:sz w:val="32"/>
          <w:szCs w:val="32"/>
          <w:lang w:val="en-US" w:eastAsia="zh-CN" w:bidi="ar-SA"/>
        </w:rPr>
        <w:t>基层综合党委党建工作经费5</w:t>
      </w:r>
      <w:r>
        <w:rPr>
          <w:rFonts w:hint="eastAsia" w:ascii="仿宋_GB2312" w:eastAsia="仿宋_GB2312" w:cs="Times New Roman"/>
          <w:color w:val="auto"/>
          <w:kern w:val="2"/>
          <w:sz w:val="32"/>
          <w:szCs w:val="32"/>
          <w:lang w:val="en-US" w:eastAsia="zh-CN" w:bidi="ar-SA"/>
        </w:rPr>
        <w:t>.00</w:t>
      </w:r>
      <w:r>
        <w:rPr>
          <w:rFonts w:hint="eastAsia" w:ascii="仿宋_GB2312" w:hAnsi="Times New Roman" w:eastAsia="仿宋_GB2312" w:cs="Times New Roman"/>
          <w:color w:val="auto"/>
          <w:kern w:val="2"/>
          <w:sz w:val="32"/>
          <w:szCs w:val="32"/>
          <w:lang w:val="en-US" w:eastAsia="zh-CN" w:bidi="ar-SA"/>
        </w:rPr>
        <w:t>万元，主要用于一是支持所属商（协）会党支部、两县一区非公有制经济组织综合党委组织区域内非公经济组织开展教育培训、主题实践活动、阵地建设等党建工作；二是加强哈密市非公经济组织党建工作阵地建设，组织非公经济组织开展思想政治教育培训、理想信念教育实践活动，开展“主题党日”、扶贫帮困、党员志愿服务等党建活动。</w:t>
      </w:r>
    </w:p>
    <w:p w14:paraId="58CAC9C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14:paraId="4FA19F1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0B89EAB4">
      <w:pPr>
        <w:pStyle w:val="10"/>
        <w:jc w:val="left"/>
        <w:rPr>
          <w:rFonts w:hint="default" w:ascii="仿宋_GB2312" w:hAnsi="仿宋_GB2312" w:eastAsia="仿宋_GB2312" w:cs="仿宋_GB2312"/>
          <w:lang w:val="en-US" w:eastAsia="zh-CN"/>
        </w:rPr>
      </w:pPr>
      <w:r>
        <w:rPr>
          <w:rFonts w:hint="eastAsia"/>
          <w:lang w:val="en-US" w:eastAsia="zh-CN"/>
        </w:rPr>
        <w:t xml:space="preserve">    </w:t>
      </w:r>
      <w:r>
        <w:rPr>
          <w:rFonts w:hint="eastAsia" w:ascii="仿宋_GB2312" w:hAnsi="仿宋_GB2312" w:eastAsia="仿宋_GB2312" w:cs="仿宋_GB2312"/>
          <w:b w:val="0"/>
          <w:bCs w:val="0"/>
          <w:lang w:val="en-US" w:eastAsia="zh-CN"/>
        </w:rPr>
        <w:t>基层综合党委党建工作经费项目总2023年总预算资金5.00万元，项目资金</w:t>
      </w:r>
      <w:r>
        <w:rPr>
          <w:rFonts w:hint="eastAsia" w:ascii="仿宋_GB2312" w:hAnsi="仿宋_GB2312" w:eastAsia="仿宋_GB2312" w:cs="仿宋_GB2312"/>
          <w:b w:val="0"/>
          <w:bCs w:val="0"/>
          <w:highlight w:val="none"/>
          <w:lang w:val="en-US" w:eastAsia="zh-CN"/>
        </w:rPr>
        <w:t>为市本级财政</w:t>
      </w:r>
      <w:r>
        <w:rPr>
          <w:rFonts w:hint="eastAsia" w:ascii="仿宋_GB2312" w:hAnsi="仿宋_GB2312" w:eastAsia="仿宋_GB2312" w:cs="仿宋_GB2312"/>
          <w:b w:val="0"/>
          <w:bCs w:val="0"/>
          <w:lang w:val="en-US" w:eastAsia="zh-CN"/>
        </w:rPr>
        <w:t>资金，项目资金到位数5.00万元，资金到位率100%。</w:t>
      </w:r>
    </w:p>
    <w:p w14:paraId="0CDA98B4">
      <w:pPr>
        <w:pStyle w:val="10"/>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731704C1">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kern w:val="28"/>
          <w:sz w:val="32"/>
          <w:szCs w:val="32"/>
          <w:lang w:val="en-US" w:eastAsia="zh-CN" w:bidi="ar-SA"/>
        </w:rPr>
        <w:t xml:space="preserve"> 基层综合党委党建工作经费</w:t>
      </w:r>
      <w:r>
        <w:rPr>
          <w:rFonts w:hint="eastAsia" w:ascii="仿宋_GB2312" w:hAnsi="仿宋_GB2312" w:eastAsia="仿宋_GB2312" w:cs="仿宋_GB2312"/>
          <w:sz w:val="32"/>
          <w:szCs w:val="32"/>
          <w:lang w:val="en-US" w:eastAsia="zh-CN"/>
        </w:rPr>
        <w:t>项目年初预算数5.00万元，全年预算数为5.00万元，截至2023年12月31日全年执行数4.72万元，预算执行率为94.4%，项目资金主要用于支付党建学习用书和党刊2.50万元，党建工作印刷费0.80万元，党建活动费用1.42万元。</w:t>
      </w:r>
    </w:p>
    <w:p w14:paraId="71AB5B0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rPr>
        <w:t>实施情况</w:t>
      </w:r>
    </w:p>
    <w:p w14:paraId="682CA8EC">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2023年度我单位持续</w:t>
      </w:r>
      <w:r>
        <w:rPr>
          <w:rFonts w:hint="eastAsia" w:ascii="仿宋_GB2312" w:hAnsi="仿宋_GB2312" w:eastAsia="仿宋_GB2312" w:cs="仿宋_GB2312"/>
          <w:sz w:val="32"/>
          <w:szCs w:val="32"/>
          <w:lang w:val="en-US" w:eastAsia="zh-CN"/>
        </w:rPr>
        <w:t>加大</w:t>
      </w:r>
      <w:r>
        <w:rPr>
          <w:rFonts w:hint="default" w:ascii="仿宋_GB2312" w:hAnsi="仿宋_GB2312" w:eastAsia="仿宋_GB2312" w:cs="仿宋_GB2312"/>
          <w:sz w:val="32"/>
          <w:szCs w:val="32"/>
          <w:lang w:val="en-US" w:eastAsia="zh-CN"/>
        </w:rPr>
        <w:t>该项目实施力度，按照年初既定目标开展工作。年中接收16家商</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协</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会党支部由市民政局社会组织综合党委转入，并指导成立商会党支部1家。加强对非公经济组织党组织建设的指导力度，对所属17家商协会党支部开展党建工作指导调研全覆盖；加强“五个好”标准化规范化党支部创建工作，评选4家商会党支部为“五个好”党支部，并推荐1家商会党支部为哈密市示范点；在新疆贵龙建设集团公司和伊吾县烈士陵园挂牌设立哈密市民营经济理想信念教育基地；按照学习贯彻习近平新时代中国特色社会主义思想主题教育要求，引导非公经济组织开展学习教育，为民营经济人士购买主题教育和党建学习用书374套；为商</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协</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会党支部订阅党刊《中办通讯》17份。通过工作的开展，进一步加强党对非公经济组织的领导，调动了非公经济组织参加党建活动的主动性和积极性，进一步提高了非公经济组织对党建工作的重视程度。</w:t>
      </w:r>
    </w:p>
    <w:p w14:paraId="7FC8C59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5AB05DC5">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5CD493E6">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层党委党建工作经费5.00万元，目的是扎实推进非公有制经济组织党的建设。工作经费主要用于为基层党组织购买党建学习用书、订购党报党刊、印制党建学习培训资料、营造良好党建氛围等。通过该项目的实施加强基层党组织理论武装，不断深化基层党组织习近平新时代中国特色社会主义思想和党的二十大精神的学习贯彻。深化理想信念教育，推进党史学习教育常态化制度化，引导党员自觉加强党性修养和党性锻炼，筑牢信仰之基、补足精神之钙。加强党章、《中国共产党党组工作条例》《中国共产党基层组织选举工作条例》等党规党纪的学习，不断提高党组织和党员遵规守纪的自觉性。</w:t>
      </w:r>
    </w:p>
    <w:p w14:paraId="30AD7E70">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0E568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color w:val="auto"/>
          <w:sz w:val="32"/>
          <w:szCs w:val="32"/>
          <w:highlight w:val="none"/>
          <w:lang w:eastAsia="zh-CN"/>
        </w:rPr>
      </w:pPr>
      <w:r>
        <w:rPr>
          <w:rFonts w:hint="eastAsia" w:ascii="仿宋_GB2312" w:eastAsia="仿宋_GB2312" w:cs="Times New Roman"/>
          <w:color w:val="auto"/>
          <w:sz w:val="32"/>
          <w:szCs w:val="32"/>
          <w:highlight w:val="none"/>
          <w:lang w:eastAsia="zh-CN"/>
        </w:rPr>
        <w:t>第一，</w:t>
      </w:r>
      <w:r>
        <w:rPr>
          <w:rFonts w:hint="eastAsia" w:ascii="仿宋_GB2312" w:hAnsi="Times New Roman" w:eastAsia="仿宋_GB2312" w:cs="Times New Roman"/>
          <w:color w:val="auto"/>
          <w:sz w:val="32"/>
          <w:szCs w:val="32"/>
          <w:highlight w:val="none"/>
          <w:lang w:eastAsia="zh-CN"/>
        </w:rPr>
        <w:t>二季度在思想上加强对非公有制经济人士的教育引导，进一步提高其</w:t>
      </w:r>
      <w:r>
        <w:rPr>
          <w:rFonts w:hint="eastAsia" w:ascii="仿宋_GB2312" w:eastAsia="仿宋_GB2312" w:cs="Times New Roman"/>
          <w:color w:val="auto"/>
          <w:sz w:val="32"/>
          <w:szCs w:val="32"/>
          <w:highlight w:val="none"/>
          <w:lang w:eastAsia="zh-CN"/>
        </w:rPr>
        <w:t>听党话、感党恩、跟党走</w:t>
      </w:r>
      <w:r>
        <w:rPr>
          <w:rFonts w:hint="eastAsia" w:ascii="仿宋_GB2312" w:hAnsi="Times New Roman" w:eastAsia="仿宋_GB2312" w:cs="Times New Roman"/>
          <w:color w:val="auto"/>
          <w:sz w:val="32"/>
          <w:szCs w:val="32"/>
          <w:highlight w:val="none"/>
          <w:lang w:eastAsia="zh-CN"/>
        </w:rPr>
        <w:t>的理想信念。</w:t>
      </w:r>
    </w:p>
    <w:p w14:paraId="021BC92D">
      <w:pPr>
        <w:pStyle w:val="2"/>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eastAsia" w:ascii="仿宋_GB2312" w:hAnsi="Times New Roman" w:eastAsia="仿宋_GB2312" w:cs="Times New Roman"/>
          <w:color w:val="auto"/>
          <w:sz w:val="32"/>
          <w:szCs w:val="32"/>
          <w:highlight w:val="none"/>
          <w:lang w:eastAsia="zh-CN"/>
        </w:rPr>
      </w:pPr>
      <w:r>
        <w:rPr>
          <w:rFonts w:hint="eastAsia" w:ascii="仿宋_GB2312" w:hAnsi="Times New Roman" w:eastAsia="仿宋_GB2312" w:cs="Times New Roman"/>
          <w:color w:val="auto"/>
          <w:sz w:val="32"/>
          <w:szCs w:val="32"/>
          <w:highlight w:val="none"/>
          <w:lang w:eastAsia="zh-CN"/>
        </w:rPr>
        <w:t>第三季度做好所属商（协）会党支部的接收，</w:t>
      </w:r>
      <w:r>
        <w:rPr>
          <w:rFonts w:hint="eastAsia" w:ascii="仿宋_GB2312" w:eastAsia="仿宋_GB2312" w:cs="Times New Roman"/>
          <w:color w:val="auto"/>
          <w:sz w:val="32"/>
          <w:szCs w:val="32"/>
          <w:highlight w:val="none"/>
          <w:lang w:eastAsia="zh-CN"/>
        </w:rPr>
        <w:t>对商（协）会党支部进行全覆盖调研，</w:t>
      </w:r>
      <w:r>
        <w:rPr>
          <w:rFonts w:hint="eastAsia" w:ascii="仿宋_GB2312" w:hAnsi="Times New Roman" w:eastAsia="仿宋_GB2312" w:cs="Times New Roman"/>
          <w:color w:val="auto"/>
          <w:sz w:val="32"/>
          <w:szCs w:val="32"/>
          <w:highlight w:val="none"/>
          <w:lang w:eastAsia="zh-CN"/>
        </w:rPr>
        <w:t>在党支部发展党员、党建</w:t>
      </w:r>
      <w:r>
        <w:rPr>
          <w:rFonts w:hint="eastAsia" w:ascii="仿宋_GB2312" w:eastAsia="仿宋_GB2312" w:cs="Times New Roman"/>
          <w:color w:val="auto"/>
          <w:sz w:val="32"/>
          <w:szCs w:val="32"/>
          <w:highlight w:val="none"/>
          <w:lang w:eastAsia="zh-CN"/>
        </w:rPr>
        <w:t>基础</w:t>
      </w:r>
      <w:r>
        <w:rPr>
          <w:rFonts w:hint="eastAsia" w:ascii="仿宋_GB2312" w:hAnsi="Times New Roman" w:eastAsia="仿宋_GB2312" w:cs="Times New Roman"/>
          <w:color w:val="auto"/>
          <w:sz w:val="32"/>
          <w:szCs w:val="32"/>
          <w:highlight w:val="none"/>
          <w:lang w:eastAsia="zh-CN"/>
        </w:rPr>
        <w:t>工作</w:t>
      </w:r>
      <w:r>
        <w:rPr>
          <w:rFonts w:hint="eastAsia" w:ascii="仿宋_GB2312" w:eastAsia="仿宋_GB2312" w:cs="Times New Roman"/>
          <w:color w:val="auto"/>
          <w:sz w:val="32"/>
          <w:szCs w:val="32"/>
          <w:highlight w:val="none"/>
          <w:lang w:eastAsia="zh-CN"/>
        </w:rPr>
        <w:t>和“五个好”党支部创建</w:t>
      </w:r>
      <w:r>
        <w:rPr>
          <w:rFonts w:hint="eastAsia" w:ascii="仿宋_GB2312" w:hAnsi="Times New Roman" w:eastAsia="仿宋_GB2312" w:cs="Times New Roman"/>
          <w:color w:val="auto"/>
          <w:sz w:val="32"/>
          <w:szCs w:val="32"/>
          <w:highlight w:val="none"/>
          <w:lang w:eastAsia="zh-CN"/>
        </w:rPr>
        <w:t>等方面给予指导。</w:t>
      </w:r>
    </w:p>
    <w:p w14:paraId="2C2D5344">
      <w:pPr>
        <w:pStyle w:val="2"/>
        <w:keepNext w:val="0"/>
        <w:keepLines w:val="0"/>
        <w:pageBreakBefore w:val="0"/>
        <w:widowControl w:val="0"/>
        <w:kinsoku/>
        <w:wordWrap/>
        <w:overflowPunct/>
        <w:topLinePunct w:val="0"/>
        <w:autoSpaceDE/>
        <w:autoSpaceDN/>
        <w:bidi w:val="0"/>
        <w:adjustRightInd/>
        <w:snapToGrid/>
        <w:spacing w:after="0"/>
        <w:ind w:firstLine="640" w:firstLineChars="200"/>
        <w:textAlignment w:val="auto"/>
        <w:rPr>
          <w:rFonts w:hint="eastAsia" w:ascii="仿宋_GB2312" w:hAnsi="Times New Roman" w:eastAsia="仿宋_GB2312" w:cs="Times New Roman"/>
          <w:color w:val="auto"/>
          <w:sz w:val="32"/>
          <w:szCs w:val="32"/>
          <w:highlight w:val="yellow"/>
          <w:lang w:eastAsia="zh-CN"/>
        </w:rPr>
      </w:pPr>
      <w:r>
        <w:rPr>
          <w:rFonts w:hint="eastAsia" w:ascii="仿宋_GB2312" w:hAnsi="Times New Roman" w:eastAsia="仿宋_GB2312" w:cs="Times New Roman"/>
          <w:color w:val="auto"/>
          <w:sz w:val="32"/>
          <w:szCs w:val="32"/>
          <w:highlight w:val="none"/>
          <w:lang w:eastAsia="zh-CN"/>
        </w:rPr>
        <w:t>第四季度持续做好党员思想政治教育、党性教育等</w:t>
      </w:r>
      <w:r>
        <w:rPr>
          <w:rFonts w:hint="eastAsia" w:ascii="仿宋_GB2312" w:eastAsia="仿宋_GB2312" w:cs="Times New Roman"/>
          <w:color w:val="auto"/>
          <w:sz w:val="32"/>
          <w:szCs w:val="32"/>
          <w:highlight w:val="none"/>
          <w:lang w:eastAsia="zh-CN"/>
        </w:rPr>
        <w:t>，开展好主题教育等。</w:t>
      </w:r>
    </w:p>
    <w:p w14:paraId="5DD40D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AB97D7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D7A1BC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32C1691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5BE159B">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62B7DA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29CF65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66895C6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b w:val="0"/>
          <w:bCs w:val="0"/>
          <w:sz w:val="32"/>
          <w:szCs w:val="32"/>
          <w:lang w:val="en-US" w:eastAsia="zh-CN"/>
        </w:rPr>
        <w:t>基层综合党委党建工作经费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37C623B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7F93964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b w:val="0"/>
          <w:bCs w:val="0"/>
          <w:sz w:val="32"/>
          <w:szCs w:val="32"/>
          <w:lang w:val="en-US" w:eastAsia="zh-CN"/>
        </w:rPr>
        <w:t>基层综合党委党建工作经费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5B9AF0C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F08B72A">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173A68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30FFB01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470D3E3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B5F694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78BBE58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09F23AF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3CC75A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4AE67B5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7F0A831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1CA23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7FB87E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确定各个指标相对于项目总体绩效的权重分值。在绩效评价指标体系中，项目决策权重为20分，项目过程权重为20分，项目产出权重为40分，项目效益权重为20分。</w:t>
      </w:r>
    </w:p>
    <w:p w14:paraId="5787222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4EC03D7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3764BBB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14:paraId="65CF45F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5A65A48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38DE682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4C41728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30D45DA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22C7682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28B095F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5125B76C">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E7EACA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34D995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5FA1D9E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68C597F">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328F00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43AA560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6D974A6A">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67708A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98.17</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19.77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98.85</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31A73BF1">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lang w:eastAsia="zh-CN"/>
        </w:rPr>
      </w:pPr>
      <w:r>
        <w:rPr>
          <w:rFonts w:hint="eastAsia" w:ascii="Times New Roman" w:hAnsi="Times New Roman" w:eastAsia="仿宋_GB2312" w:cs="Times New Roman"/>
          <w:b w:val="0"/>
          <w:bCs w:val="0"/>
          <w:highlight w:val="none"/>
          <w:lang w:val="en-US" w:eastAsia="zh-CN"/>
        </w:rPr>
        <w:t>项目成本类指标权重为10分，得分为9.4分，得分率94.4%。</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1F5013E0">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5679E42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7B767E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6CDD1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3AF542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30E77F6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0F01A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147AD3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D807CD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w:t>
            </w:r>
          </w:p>
        </w:tc>
      </w:tr>
      <w:tr w14:paraId="1F88B17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A60D9A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E03C1D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381201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19.77</w:t>
            </w:r>
          </w:p>
        </w:tc>
      </w:tr>
      <w:tr w14:paraId="62101D2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8A8C6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45F96D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2AB88C2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017E9F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0F945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6311FE8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0A29DAF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9.4</w:t>
            </w:r>
          </w:p>
        </w:tc>
      </w:tr>
      <w:tr w14:paraId="3FE86E2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5F2E2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52819F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7B213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15B7EF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F8C60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BD6489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602E8B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98.17</w:t>
            </w:r>
          </w:p>
        </w:tc>
      </w:tr>
    </w:tbl>
    <w:p w14:paraId="09955CA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27E299E">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301675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0458FA8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34672E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A72657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E20EF7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C700BB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46C084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218FD3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59402C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228C96F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D96873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6DA430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06682C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34916D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1425E85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68747E7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91460C5">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3C4A064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19.77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98.85</w:t>
      </w:r>
      <w:r>
        <w:rPr>
          <w:rFonts w:hint="default" w:ascii="Times New Roman" w:hAnsi="Times New Roman" w:eastAsia="仿宋_GB2312" w:cs="Times New Roman"/>
          <w:sz w:val="32"/>
          <w:szCs w:val="32"/>
          <w:highlight w:val="none"/>
          <w:lang w:val="en-US" w:eastAsia="zh-CN"/>
        </w:rPr>
        <w:t>%。</w:t>
      </w:r>
    </w:p>
    <w:p w14:paraId="48E2FD6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6A72DB7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783578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5A2CD8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5.00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3846823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0262BF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4.72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94.4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 xml:space="preserve">偏差原因：2023年年中所属商（协）会党支部由市民政局移交至我单位，根据工作需要我单位召开党员大会成立相应组织机构或进行换届选举，由于年初未对会议进行安排，故无会议费预算，导致会议产生相关费用无法支付。改进措施：一是加强相关科室对预算工作的学习培训，二是加强工作的沟通与协调，编制预算更加细致。  </w:t>
      </w:r>
    </w:p>
    <w:p w14:paraId="2ABDF58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E28BAC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C946D9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921098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D8A106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DCD398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77C1C0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0B6ACD40">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2366B79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69E34ED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89272F8">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sz w:val="32"/>
          <w:szCs w:val="32"/>
          <w:highlight w:val="none"/>
          <w:shd w:val="clear"/>
          <w:lang w:val="en-US" w:eastAsia="zh-CN"/>
        </w:rPr>
      </w:pPr>
      <w:r>
        <w:rPr>
          <w:rFonts w:hint="default" w:ascii="Times New Roman" w:hAnsi="Times New Roman" w:eastAsia="仿宋_GB2312" w:cs="Times New Roman"/>
          <w:sz w:val="32"/>
          <w:szCs w:val="32"/>
          <w:highlight w:val="none"/>
        </w:rPr>
        <w:t>指标1：购买党建学习用书</w:t>
      </w:r>
      <w:r>
        <w:rPr>
          <w:rFonts w:hint="eastAsia" w:ascii="Times New Roman" w:hAnsi="Times New Roman" w:eastAsia="仿宋_GB2312" w:cs="Times New Roman"/>
          <w:sz w:val="32"/>
          <w:szCs w:val="32"/>
          <w:highlight w:val="none"/>
          <w:lang w:val="en-US" w:eastAsia="zh-CN"/>
        </w:rPr>
        <w:t>目标值</w:t>
      </w:r>
      <w:r>
        <w:rPr>
          <w:rFonts w:hint="default" w:ascii="Times New Roman" w:hAnsi="Times New Roman" w:eastAsia="仿宋_GB2312" w:cs="Times New Roman"/>
          <w:sz w:val="32"/>
          <w:szCs w:val="32"/>
          <w:highlight w:val="none"/>
        </w:rPr>
        <w:t>&gt;=50套</w:t>
      </w:r>
      <w:r>
        <w:rPr>
          <w:rFonts w:hint="eastAsia"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rPr>
        <w:t>=34套</w:t>
      </w:r>
      <w:r>
        <w:rPr>
          <w:rFonts w:hint="eastAsia"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lang w:val="en-US" w:eastAsia="zh-CN"/>
        </w:rPr>
        <w:t>%</w:t>
      </w:r>
      <w:r>
        <w:rPr>
          <w:rFonts w:hint="eastAsia"/>
          <w:lang w:eastAsia="zh-CN"/>
        </w:rPr>
        <w:t>。</w:t>
      </w:r>
      <w:r>
        <w:rPr>
          <w:rFonts w:hint="eastAsia" w:eastAsia="仿宋_GB2312" w:cs="Times New Roman"/>
          <w:sz w:val="32"/>
          <w:szCs w:val="32"/>
          <w:highlight w:val="none"/>
          <w:lang w:val="en-US" w:eastAsia="zh-CN"/>
        </w:rPr>
        <w:t>偏差原因：因工作计划制定不细致，致使指标完成率较低，出现偏差较大。改进措施：认真制定工作计划，合理设置指标，加强资金使用管理。</w:t>
      </w:r>
    </w:p>
    <w:p w14:paraId="30F8A70E">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sz w:val="32"/>
          <w:szCs w:val="32"/>
          <w:highlight w:val="yellow"/>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：订购党报党刊</w:t>
      </w:r>
      <w:r>
        <w:rPr>
          <w:rFonts w:hint="eastAsia" w:ascii="Times New Roman" w:hAnsi="Times New Roman" w:eastAsia="仿宋_GB2312" w:cs="Times New Roman"/>
          <w:sz w:val="32"/>
          <w:szCs w:val="32"/>
          <w:highlight w:val="none"/>
          <w:lang w:val="en-US" w:eastAsia="zh-CN"/>
        </w:rPr>
        <w:t>目标值</w:t>
      </w:r>
      <w:r>
        <w:rPr>
          <w:rFonts w:hint="default" w:ascii="Times New Roman" w:hAnsi="Times New Roman" w:eastAsia="仿宋_GB2312" w:cs="Times New Roman"/>
          <w:sz w:val="32"/>
          <w:szCs w:val="32"/>
          <w:highlight w:val="none"/>
        </w:rPr>
        <w:t>&gt;=15份</w:t>
      </w:r>
      <w:r>
        <w:rPr>
          <w:rFonts w:hint="eastAsia"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=1</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份</w:t>
      </w:r>
      <w:r>
        <w:rPr>
          <w:rFonts w:hint="eastAsia" w:ascii="Times New Roman" w:hAnsi="Times New Roman" w:eastAsia="仿宋_GB2312" w:cs="Times New Roman"/>
          <w:sz w:val="32"/>
          <w:szCs w:val="32"/>
          <w:highlight w:val="none"/>
          <w:lang w:val="en-US" w:eastAsia="zh-CN"/>
        </w:rPr>
        <w:t>，完成率1</w:t>
      </w:r>
      <w:r>
        <w:rPr>
          <w:rFonts w:hint="eastAsia" w:eastAsia="仿宋_GB2312" w:cs="Times New Roman"/>
          <w:sz w:val="32"/>
          <w:szCs w:val="32"/>
          <w:highlight w:val="none"/>
          <w:lang w:val="en-US" w:eastAsia="zh-CN"/>
        </w:rPr>
        <w:t>13</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。偏差原因：年中新成立商会党支部1家，转入党支部1家，导致指标出现偏差。改进措施：</w:t>
      </w:r>
      <w:r>
        <w:rPr>
          <w:rFonts w:hint="eastAsia" w:eastAsia="仿宋_GB2312" w:cs="Times New Roman"/>
          <w:sz w:val="32"/>
          <w:szCs w:val="32"/>
          <w:highlight w:val="none"/>
          <w:shd w:val="clear"/>
          <w:lang w:val="en-US" w:eastAsia="zh-CN"/>
        </w:rPr>
        <w:t>提高工作的预见性，</w:t>
      </w:r>
      <w:r>
        <w:rPr>
          <w:rFonts w:hint="eastAsia" w:eastAsia="仿宋_GB2312" w:cs="Times New Roman"/>
          <w:sz w:val="32"/>
          <w:szCs w:val="32"/>
          <w:highlight w:val="none"/>
          <w:lang w:val="en-US" w:eastAsia="zh-CN"/>
        </w:rPr>
        <w:t>认真制定工作计划，合理设置指标，加强资金使用管理。</w:t>
      </w:r>
    </w:p>
    <w:p w14:paraId="1B14AE0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5BEAC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指标1：购买党建学习用书合格率</w:t>
      </w:r>
      <w:r>
        <w:rPr>
          <w:rFonts w:hint="eastAsia" w:ascii="Times New Roman" w:hAnsi="Times New Roman" w:eastAsia="仿宋_GB2312" w:cs="Times New Roman"/>
          <w:sz w:val="32"/>
          <w:szCs w:val="32"/>
          <w:highlight w:val="none"/>
          <w:lang w:val="en-US" w:eastAsia="zh-CN"/>
        </w:rPr>
        <w:t>目标值</w:t>
      </w:r>
      <w:r>
        <w:rPr>
          <w:rFonts w:hint="default" w:ascii="Times New Roman" w:hAnsi="Times New Roman" w:eastAsia="仿宋_GB2312" w:cs="Times New Roman"/>
          <w:sz w:val="32"/>
          <w:szCs w:val="32"/>
          <w:highlight w:val="none"/>
        </w:rPr>
        <w:t>&gt;=95%</w:t>
      </w:r>
      <w:r>
        <w:rPr>
          <w:rFonts w:hint="eastAsia"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=95%</w:t>
      </w:r>
      <w:r>
        <w:rPr>
          <w:rFonts w:hint="eastAsia" w:ascii="Times New Roman" w:hAnsi="Times New Roman" w:eastAsia="仿宋_GB2312" w:cs="Times New Roman"/>
          <w:sz w:val="32"/>
          <w:szCs w:val="32"/>
          <w:highlight w:val="none"/>
          <w:lang w:val="en-US" w:eastAsia="zh-CN"/>
        </w:rPr>
        <w:t>，完成率100%</w:t>
      </w:r>
    </w:p>
    <w:p w14:paraId="66A1A4C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1CEC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指标1：发放党建学习用书及时率</w:t>
      </w:r>
      <w:r>
        <w:rPr>
          <w:rFonts w:hint="eastAsia" w:ascii="Times New Roman" w:hAnsi="Times New Roman" w:eastAsia="仿宋_GB2312" w:cs="Times New Roman"/>
          <w:sz w:val="32"/>
          <w:szCs w:val="32"/>
          <w:highlight w:val="none"/>
          <w:lang w:val="en-US" w:eastAsia="zh-CN"/>
        </w:rPr>
        <w:t>目标值</w:t>
      </w:r>
      <w:r>
        <w:rPr>
          <w:rFonts w:hint="default" w:ascii="Times New Roman" w:hAnsi="Times New Roman" w:eastAsia="仿宋_GB2312" w:cs="Times New Roman"/>
          <w:sz w:val="32"/>
          <w:szCs w:val="32"/>
          <w:highlight w:val="none"/>
        </w:rPr>
        <w:t>&gt;=95%</w:t>
      </w:r>
      <w:r>
        <w:rPr>
          <w:rFonts w:hint="eastAsia"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=95%</w:t>
      </w:r>
      <w:r>
        <w:rPr>
          <w:rFonts w:hint="eastAsia" w:ascii="Times New Roman" w:hAnsi="Times New Roman" w:eastAsia="仿宋_GB2312" w:cs="Times New Roman"/>
          <w:sz w:val="32"/>
          <w:szCs w:val="32"/>
          <w:highlight w:val="none"/>
          <w:lang w:val="en-US" w:eastAsia="zh-CN"/>
        </w:rPr>
        <w:t>，完成率100%</w:t>
      </w:r>
    </w:p>
    <w:p w14:paraId="0DAFF35F">
      <w:pPr>
        <w:keepNext w:val="0"/>
        <w:keepLines w:val="0"/>
        <w:pageBreakBefore w:val="0"/>
        <w:numPr>
          <w:ilvl w:val="0"/>
          <w:numId w:val="5"/>
        </w:numPr>
        <w:shd w:val="clear"/>
        <w:kinsoku/>
        <w:wordWrap/>
        <w:overflowPunct/>
        <w:topLinePunct w:val="0"/>
        <w:autoSpaceDE/>
        <w:autoSpaceDN/>
        <w:bidi w:val="0"/>
        <w:adjustRightInd/>
        <w:snapToGrid/>
        <w:spacing w:line="560" w:lineRule="exact"/>
        <w:ind w:left="0" w:leftChars="0" w:firstLine="643" w:firstLineChars="200"/>
        <w:textAlignment w:val="auto"/>
        <w:outlineLvl w:val="0"/>
        <w:rPr>
          <w:rFonts w:hint="eastAsia" w:eastAsia="仿宋_GB2312" w:cs="Times New Roman"/>
          <w:b/>
          <w:bCs/>
          <w:sz w:val="32"/>
          <w:szCs w:val="32"/>
          <w:highlight w:val="none"/>
          <w:lang w:val="en-US" w:eastAsia="zh-CN"/>
        </w:rPr>
      </w:pPr>
      <w:r>
        <w:rPr>
          <w:rFonts w:hint="eastAsia" w:eastAsia="仿宋_GB2312" w:cs="Times New Roman"/>
          <w:b/>
          <w:bCs/>
          <w:sz w:val="32"/>
          <w:szCs w:val="32"/>
          <w:highlight w:val="none"/>
          <w:lang w:val="en-US" w:eastAsia="zh-CN"/>
        </w:rPr>
        <w:t>项目成本情况</w:t>
      </w:r>
    </w:p>
    <w:p w14:paraId="334455BA">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w:t>
      </w:r>
      <w:r>
        <w:rPr>
          <w:rFonts w:hint="eastAsia" w:eastAsia="仿宋_GB2312" w:cs="Times New Roman"/>
          <w:sz w:val="32"/>
          <w:szCs w:val="32"/>
          <w:highlight w:val="none"/>
          <w:lang w:val="en-US" w:eastAsia="zh-CN"/>
        </w:rPr>
        <w:t>成本</w:t>
      </w:r>
      <w:r>
        <w:rPr>
          <w:rFonts w:hint="default" w:ascii="Times New Roman" w:hAnsi="Times New Roman" w:eastAsia="仿宋_GB2312" w:cs="Times New Roman"/>
          <w:sz w:val="32"/>
          <w:szCs w:val="32"/>
          <w:highlight w:val="none"/>
          <w:lang w:val="en-US" w:eastAsia="zh-CN"/>
        </w:rPr>
        <w:t>类指标包括项目</w:t>
      </w:r>
      <w:r>
        <w:rPr>
          <w:rFonts w:hint="eastAsia" w:eastAsia="仿宋_GB2312" w:cs="Times New Roman"/>
          <w:sz w:val="32"/>
          <w:szCs w:val="32"/>
          <w:highlight w:val="none"/>
          <w:lang w:val="en-US" w:eastAsia="zh-CN"/>
        </w:rPr>
        <w:t>经济成本、社会成本、生态成本，三</w:t>
      </w:r>
      <w:r>
        <w:rPr>
          <w:rFonts w:hint="default" w:ascii="Times New Roman" w:hAnsi="Times New Roman" w:eastAsia="仿宋_GB2312" w:cs="Times New Roman"/>
          <w:sz w:val="32"/>
          <w:szCs w:val="32"/>
          <w:highlight w:val="none"/>
          <w:lang w:val="en-US" w:eastAsia="zh-CN"/>
        </w:rPr>
        <w:t>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9.4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94</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经济成本、社会成本、生态成本</w:t>
      </w:r>
      <w:r>
        <w:rPr>
          <w:rFonts w:hint="default" w:ascii="Times New Roman" w:hAnsi="Times New Roman" w:eastAsia="仿宋_GB2312" w:cs="Times New Roman"/>
          <w:sz w:val="32"/>
          <w:szCs w:val="32"/>
          <w:lang w:val="en-US" w:eastAsia="zh-CN"/>
        </w:rPr>
        <w:t>指标完成情况如下：</w:t>
      </w:r>
    </w:p>
    <w:p w14:paraId="18D454A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78ED49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指标1：购买党建学习用书费用</w:t>
      </w:r>
      <w:r>
        <w:rPr>
          <w:rFonts w:hint="eastAsia"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=0.50万元</w:t>
      </w:r>
      <w:r>
        <w:rPr>
          <w:rFonts w:hint="eastAsia"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rPr>
        <w:t>=2.3948万</w:t>
      </w:r>
      <w:r>
        <w:rPr>
          <w:rFonts w:hint="default" w:ascii="Times New Roman" w:hAnsi="Times New Roman" w:eastAsia="仿宋_GB2312" w:cs="Times New Roman"/>
          <w:sz w:val="32"/>
          <w:szCs w:val="32"/>
          <w:highlight w:val="none"/>
        </w:rPr>
        <w:t>元</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完成率479%。偏差原因：</w:t>
      </w:r>
      <w:r>
        <w:rPr>
          <w:rFonts w:hint="eastAsia" w:eastAsia="仿宋_GB2312" w:cs="Times New Roman"/>
          <w:sz w:val="32"/>
          <w:szCs w:val="32"/>
          <w:highlight w:val="none"/>
          <w:shd w:val="clear"/>
          <w:lang w:val="en-US" w:eastAsia="zh-CN"/>
        </w:rPr>
        <w:t>因主题教育工作需要增加党建学习用书购买数量，支出费用增加，</w:t>
      </w:r>
      <w:r>
        <w:rPr>
          <w:rFonts w:hint="eastAsia" w:eastAsia="仿宋_GB2312" w:cs="Times New Roman"/>
          <w:sz w:val="32"/>
          <w:szCs w:val="32"/>
          <w:highlight w:val="none"/>
          <w:lang w:val="en-US" w:eastAsia="zh-CN"/>
        </w:rPr>
        <w:t>导致指标出现偏差较大。改进措施：认真制定工作计划，合理设置指标，加强资金使用管理。</w:t>
      </w:r>
    </w:p>
    <w:p w14:paraId="64DFDF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：订购党报党刊费用</w:t>
      </w:r>
      <w:r>
        <w:rPr>
          <w:rFonts w:hint="eastAsia"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=1.50万元</w:t>
      </w:r>
      <w:r>
        <w:rPr>
          <w:rFonts w:hint="eastAsia" w:ascii="Times New Roman" w:hAnsi="Times New Roman" w:eastAsia="仿宋_GB2312" w:cs="Times New Roman"/>
          <w:sz w:val="32"/>
          <w:szCs w:val="32"/>
          <w:highlight w:val="none"/>
          <w:lang w:val="en-US" w:eastAsia="zh-CN"/>
        </w:rPr>
        <w:t>，实际完成值=0.102万元，完成率</w:t>
      </w:r>
      <w:r>
        <w:rPr>
          <w:rFonts w:hint="eastAsia"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lang w:val="en-US" w:eastAsia="zh-CN"/>
        </w:rPr>
        <w:t>%</w:t>
      </w:r>
      <w:r>
        <w:rPr>
          <w:rFonts w:hint="eastAsia"/>
          <w:lang w:eastAsia="zh-CN"/>
        </w:rPr>
        <w:t>。</w:t>
      </w:r>
      <w:r>
        <w:rPr>
          <w:rFonts w:hint="eastAsia" w:eastAsia="仿宋_GB2312" w:cs="Times New Roman"/>
          <w:sz w:val="32"/>
          <w:szCs w:val="32"/>
          <w:highlight w:val="none"/>
          <w:lang w:val="en-US" w:eastAsia="zh-CN"/>
        </w:rPr>
        <w:t>偏差原因：年中因开展主题教育，导致工作重点有调整，致使指标完成率较低，出现偏差较大。改进措施：认真制定工作计划，合理设置指标，加强资金使用管理。</w:t>
      </w:r>
    </w:p>
    <w:p w14:paraId="36AE0137">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6774406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0A5C0FA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1EA26DC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4B222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指标1：提高基层党组织凝聚力</w:t>
      </w:r>
      <w:r>
        <w:rPr>
          <w:rFonts w:hint="eastAsia" w:ascii="Times New Roman" w:hAnsi="Times New Roman" w:eastAsia="仿宋_GB2312" w:cs="Times New Roman"/>
          <w:sz w:val="32"/>
          <w:szCs w:val="32"/>
          <w:highlight w:val="none"/>
          <w:lang w:val="en-US" w:eastAsia="zh-CN"/>
        </w:rPr>
        <w:t>目标值提高，实际完成值提高，完成率100%</w:t>
      </w:r>
    </w:p>
    <w:p w14:paraId="311764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C79CE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4870A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指标1：基层党组织党建工作者满意率</w:t>
      </w:r>
      <w:r>
        <w:rPr>
          <w:rFonts w:hint="eastAsia" w:ascii="Times New Roman" w:hAnsi="Times New Roman" w:eastAsia="仿宋_GB2312" w:cs="Times New Roman"/>
          <w:sz w:val="32"/>
          <w:szCs w:val="32"/>
          <w:highlight w:val="none"/>
          <w:lang w:val="en-US" w:eastAsia="zh-CN"/>
        </w:rPr>
        <w:t>目标值</w:t>
      </w:r>
      <w:r>
        <w:rPr>
          <w:rFonts w:hint="default" w:ascii="Times New Roman" w:hAnsi="Times New Roman" w:eastAsia="仿宋_GB2312" w:cs="Times New Roman"/>
          <w:sz w:val="32"/>
          <w:szCs w:val="32"/>
          <w:highlight w:val="none"/>
        </w:rPr>
        <w:t>&gt;=95%</w:t>
      </w:r>
      <w:r>
        <w:rPr>
          <w:rFonts w:hint="eastAsia"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，完成率10</w:t>
      </w:r>
      <w:r>
        <w:rPr>
          <w:rFonts w:hint="eastAsia" w:eastAsia="仿宋_GB2312" w:cs="Times New Roman"/>
          <w:sz w:val="32"/>
          <w:szCs w:val="32"/>
          <w:highlight w:val="none"/>
          <w:lang w:val="en-US" w:eastAsia="zh-CN"/>
        </w:rPr>
        <w:t>5</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。偏差原因：为完成绩效目标值，制定目标值较低。改进措施：加强项目责任科室责任人关于绩效目标管理的学习，合理设置绩效指标目标值。</w:t>
      </w:r>
    </w:p>
    <w:p w14:paraId="5DAB881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909ECC0">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A2C9296">
      <w:pPr>
        <w:spacing w:line="560" w:lineRule="exact"/>
        <w:ind w:firstLine="640" w:firstLineChars="200"/>
        <w:rPr>
          <w:rFonts w:eastAsia="仿宋_GB2312"/>
          <w:sz w:val="32"/>
          <w:szCs w:val="32"/>
          <w:highlight w:val="none"/>
        </w:rPr>
      </w:pPr>
      <w:r>
        <w:rPr>
          <w:rFonts w:eastAsia="仿宋_GB2312"/>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8F6575B">
      <w:pPr>
        <w:pStyle w:val="10"/>
        <w:spacing w:before="0" w:after="0" w:line="560" w:lineRule="exact"/>
        <w:ind w:firstLine="640" w:firstLineChars="200"/>
        <w:jc w:val="left"/>
        <w:rPr>
          <w:rFonts w:ascii="Times New Roman" w:hAnsi="Times New Roman" w:eastAsia="仿宋_GB2312"/>
          <w:b w:val="0"/>
          <w:bCs w:val="0"/>
          <w:kern w:val="2"/>
          <w:highlight w:val="none"/>
        </w:rPr>
      </w:pPr>
      <w:r>
        <w:rPr>
          <w:rFonts w:ascii="Times New Roman" w:hAnsi="Times New Roman" w:eastAsia="仿宋_GB2312"/>
          <w:b w:val="0"/>
          <w:bCs w:val="0"/>
          <w:kern w:val="2"/>
          <w:highlight w:val="none"/>
        </w:rPr>
        <w:t>严格坚持先做事、后验收、再拨付的原则，</w:t>
      </w:r>
      <w:r>
        <w:rPr>
          <w:rFonts w:hint="eastAsia" w:ascii="Times New Roman" w:hAnsi="Times New Roman" w:eastAsia="仿宋_GB2312"/>
          <w:b w:val="0"/>
          <w:bCs w:val="0"/>
          <w:kern w:val="2"/>
          <w:highlight w:val="none"/>
          <w:lang w:eastAsia="zh-CN"/>
        </w:rPr>
        <w:t>杜绝</w:t>
      </w:r>
      <w:r>
        <w:rPr>
          <w:rFonts w:ascii="Times New Roman" w:hAnsi="Times New Roman" w:eastAsia="仿宋_GB2312"/>
          <w:b w:val="0"/>
          <w:bCs w:val="0"/>
          <w:kern w:val="2"/>
          <w:highlight w:val="none"/>
        </w:rPr>
        <w:t>了资金被挤占和挪用现象的发生，跟踪检查到位。财政、纪检</w:t>
      </w:r>
      <w:r>
        <w:rPr>
          <w:rFonts w:hint="eastAsia" w:ascii="Times New Roman" w:hAnsi="Times New Roman" w:eastAsia="仿宋_GB2312"/>
          <w:b w:val="0"/>
          <w:bCs w:val="0"/>
          <w:kern w:val="2"/>
          <w:highlight w:val="none"/>
          <w:lang w:eastAsia="zh-CN"/>
        </w:rPr>
        <w:t>、审计</w:t>
      </w:r>
      <w:r>
        <w:rPr>
          <w:rFonts w:ascii="Times New Roman" w:hAnsi="Times New Roman" w:eastAsia="仿宋_GB2312"/>
          <w:b w:val="0"/>
          <w:bCs w:val="0"/>
          <w:kern w:val="2"/>
          <w:highlight w:val="none"/>
        </w:rPr>
        <w:t>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2ED4F6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highlight w:val="none"/>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46CA81A2">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3EA2A20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仿宋_GB2312"/>
          <w:bCs/>
          <w:color w:val="auto"/>
          <w:sz w:val="32"/>
          <w:szCs w:val="32"/>
          <w:lang w:val="en-US" w:eastAsia="zh-CN"/>
        </w:rPr>
      </w:pPr>
      <w:r>
        <w:rPr>
          <w:rFonts w:hint="eastAsia" w:ascii="Times New Roman" w:hAnsi="Times New Roman" w:eastAsia="仿宋_GB2312"/>
          <w:b w:val="0"/>
          <w:bCs/>
          <w:color w:val="auto"/>
          <w:sz w:val="32"/>
          <w:szCs w:val="32"/>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32"/>
          <w:szCs w:val="32"/>
          <w:lang w:val="en-US" w:eastAsia="zh-CN"/>
        </w:rPr>
        <w:t>绩效评价管理办法。对绩效管理工作认识不到位，认为只要资金使用合规合法就可以，对绩效工作认识不够，工作缺乏主动性。</w:t>
      </w:r>
    </w:p>
    <w:p w14:paraId="3DF5CF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32"/>
          <w:szCs w:val="32"/>
          <w:lang w:val="en-US" w:eastAsia="zh-CN"/>
        </w:rPr>
        <w:t>结合实际建立绩效工作考核制度，加大全局对全面实施预算绩效管理</w:t>
      </w:r>
      <w:r>
        <w:rPr>
          <w:rFonts w:hint="eastAsia" w:eastAsia="仿宋_GB2312"/>
          <w:bCs/>
          <w:color w:val="auto"/>
          <w:sz w:val="32"/>
          <w:szCs w:val="32"/>
          <w:lang w:val="en-US" w:eastAsia="zh-CN"/>
        </w:rPr>
        <w:t>和</w:t>
      </w:r>
      <w:r>
        <w:rPr>
          <w:rFonts w:hint="eastAsia" w:ascii="Times New Roman" w:hAnsi="Times New Roman" w:eastAsia="仿宋_GB2312"/>
          <w:bCs/>
          <w:color w:val="auto"/>
          <w:sz w:val="32"/>
          <w:szCs w:val="32"/>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1D8B998E">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20D7B2C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w:t>
      </w:r>
      <w:r>
        <w:rPr>
          <w:rFonts w:hint="eastAsia" w:eastAsia="黑体" w:cs="Times New Roman"/>
          <w:sz w:val="32"/>
          <w:szCs w:val="32"/>
          <w:highlight w:val="none"/>
          <w:lang w:eastAsia="zh-CN"/>
        </w:rPr>
        <w:t>。</w:t>
      </w:r>
    </w:p>
    <w:p w14:paraId="48A79AE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662A4C2C">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0710EF6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52F0A02E">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1、该项目在财政的指导和帮助下，项目在资金申请前置条件的落实上，发挥了积极的“花钱必问效，无效必问责”的项目绩效管理和实施的理念引导；</w:t>
      </w:r>
    </w:p>
    <w:p w14:paraId="67BA8F3D">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2、项目在实施的过程中进行了绩效的全过程管理，资金使用流程严谨合规，确保资金用途显效、高效；</w:t>
      </w:r>
    </w:p>
    <w:p w14:paraId="241C436C">
      <w:pPr>
        <w:pStyle w:val="2"/>
        <w:rPr>
          <w:rFonts w:hint="default"/>
          <w:sz w:val="32"/>
          <w:szCs w:val="32"/>
          <w:lang w:val="en-US" w:eastAsia="zh-CN"/>
        </w:rPr>
        <w:sectPr>
          <w:pgSz w:w="11906" w:h="16838"/>
          <w:pgMar w:top="1440" w:right="1558" w:bottom="1440" w:left="1800" w:header="851" w:footer="992" w:gutter="0"/>
          <w:cols w:space="425" w:num="1"/>
          <w:docGrid w:type="lines" w:linePitch="312" w:charSpace="0"/>
        </w:sectPr>
      </w:pPr>
    </w:p>
    <w:p w14:paraId="656E8FFB">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17AA5E9C">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ascii="Times New Roman" w:hAnsi="Times New Roman" w:eastAsia="仿宋_GB2312" w:cs="Times New Roman"/>
          <w:b/>
          <w:bCs/>
          <w:color w:val="auto"/>
          <w:sz w:val="32"/>
          <w:szCs w:val="32"/>
          <w:lang w:val="en-US" w:eastAsia="zh-CN"/>
        </w:rPr>
        <w:t>基层综合党委党建工作经费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7F25C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50698643">
            <w:pPr>
              <w:widowControl/>
              <w:spacing w:line="0" w:lineRule="atLeast"/>
              <w:jc w:val="center"/>
              <w:rPr>
                <w:rFonts w:hint="default" w:ascii="Times New Roman" w:hAnsi="Times New Roman" w:eastAsia="仿宋_GB2312" w:cs="Times New Roman"/>
                <w:b/>
                <w:bCs/>
                <w:color w:val="000000"/>
                <w:kern w:val="0"/>
                <w:sz w:val="22"/>
                <w:szCs w:val="22"/>
              </w:rPr>
            </w:pPr>
            <w:bookmarkStart w:id="5" w:name="_GoBack"/>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3C10197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6D04CDD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526C732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4DE1EF1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6F9F5DF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3201E70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739BC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5DC51C04">
            <w:pPr>
              <w:widowControl/>
              <w:spacing w:line="0" w:lineRule="atLeast"/>
              <w:jc w:val="center"/>
              <w:rPr>
                <w:rFonts w:hint="default" w:ascii="Times New Roman" w:hAnsi="Times New Roman" w:eastAsia="仿宋_GB2312" w:cs="Times New Roman"/>
                <w:color w:val="000000"/>
                <w:kern w:val="0"/>
                <w:sz w:val="22"/>
                <w:szCs w:val="22"/>
              </w:rPr>
            </w:pPr>
          </w:p>
          <w:p w14:paraId="44F39A08">
            <w:pPr>
              <w:widowControl/>
              <w:spacing w:line="0" w:lineRule="atLeast"/>
              <w:jc w:val="center"/>
              <w:rPr>
                <w:rFonts w:hint="default" w:ascii="Times New Roman" w:hAnsi="Times New Roman" w:eastAsia="仿宋_GB2312" w:cs="Times New Roman"/>
                <w:color w:val="000000"/>
                <w:kern w:val="0"/>
                <w:sz w:val="22"/>
                <w:szCs w:val="22"/>
              </w:rPr>
            </w:pPr>
          </w:p>
          <w:p w14:paraId="2DA7343F">
            <w:pPr>
              <w:widowControl/>
              <w:spacing w:line="0" w:lineRule="atLeast"/>
              <w:jc w:val="center"/>
              <w:rPr>
                <w:rFonts w:hint="default" w:ascii="Times New Roman" w:hAnsi="Times New Roman" w:eastAsia="仿宋_GB2312" w:cs="Times New Roman"/>
                <w:color w:val="000000"/>
                <w:kern w:val="0"/>
                <w:sz w:val="22"/>
                <w:szCs w:val="22"/>
              </w:rPr>
            </w:pPr>
          </w:p>
          <w:p w14:paraId="2219D3E8">
            <w:pPr>
              <w:widowControl/>
              <w:spacing w:line="0" w:lineRule="atLeast"/>
              <w:jc w:val="center"/>
              <w:rPr>
                <w:rFonts w:hint="default" w:ascii="Times New Roman" w:hAnsi="Times New Roman" w:eastAsia="仿宋_GB2312" w:cs="Times New Roman"/>
                <w:color w:val="000000"/>
                <w:kern w:val="0"/>
                <w:sz w:val="22"/>
                <w:szCs w:val="22"/>
              </w:rPr>
            </w:pPr>
          </w:p>
          <w:p w14:paraId="79ACC6BF">
            <w:pPr>
              <w:widowControl/>
              <w:spacing w:line="0" w:lineRule="atLeast"/>
              <w:jc w:val="center"/>
              <w:rPr>
                <w:rFonts w:hint="default" w:ascii="Times New Roman" w:hAnsi="Times New Roman" w:eastAsia="仿宋_GB2312" w:cs="Times New Roman"/>
                <w:color w:val="000000"/>
                <w:kern w:val="0"/>
                <w:sz w:val="22"/>
                <w:szCs w:val="22"/>
              </w:rPr>
            </w:pPr>
          </w:p>
          <w:p w14:paraId="1E17241B">
            <w:pPr>
              <w:widowControl/>
              <w:spacing w:line="0" w:lineRule="atLeast"/>
              <w:jc w:val="center"/>
              <w:rPr>
                <w:rFonts w:hint="default" w:ascii="Times New Roman" w:hAnsi="Times New Roman" w:eastAsia="仿宋_GB2312" w:cs="Times New Roman"/>
                <w:color w:val="000000"/>
                <w:kern w:val="0"/>
                <w:sz w:val="22"/>
                <w:szCs w:val="22"/>
              </w:rPr>
            </w:pPr>
          </w:p>
          <w:p w14:paraId="6F1D43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69927FE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699D1C7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0FD76CC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40FBE57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2488749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0489B83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46B3AA8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33246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5AF02BA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D4F469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EA785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1C6C61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1A00D62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55669261">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59138D0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64E522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28AD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2325144E">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2F66288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6CB840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4DD998E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62989A4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78D4662B">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1215024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6033A7E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5656C0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5CF3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5127501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D9A431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B033EB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1E64C2C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5FF6079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1748A0D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40C50AC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4240BBD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4DB3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72ADB6C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F351D1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0C2DFC8A">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5D57B0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317C3CB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79E13D7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2F4688A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3AF34FE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B5040C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C5FA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712B9775">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0D916D5">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FA3B08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4FAFD80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63F5C1C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0E5878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6211387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5E491E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84B4F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0C0D5213">
            <w:pPr>
              <w:spacing w:line="0" w:lineRule="atLeast"/>
              <w:jc w:val="center"/>
              <w:rPr>
                <w:rFonts w:hint="default" w:ascii="Times New Roman" w:hAnsi="Times New Roman" w:eastAsia="仿宋_GB2312" w:cs="Times New Roman"/>
                <w:color w:val="000000"/>
                <w:kern w:val="0"/>
                <w:sz w:val="22"/>
                <w:szCs w:val="22"/>
              </w:rPr>
            </w:pPr>
          </w:p>
          <w:p w14:paraId="5A80E945">
            <w:pPr>
              <w:spacing w:line="0" w:lineRule="atLeast"/>
              <w:jc w:val="center"/>
              <w:rPr>
                <w:rFonts w:hint="default" w:ascii="Times New Roman" w:hAnsi="Times New Roman" w:eastAsia="仿宋_GB2312" w:cs="Times New Roman"/>
                <w:color w:val="000000"/>
                <w:kern w:val="0"/>
                <w:sz w:val="22"/>
                <w:szCs w:val="22"/>
              </w:rPr>
            </w:pPr>
          </w:p>
          <w:p w14:paraId="6BB482A3">
            <w:pPr>
              <w:spacing w:line="0" w:lineRule="atLeast"/>
              <w:jc w:val="center"/>
              <w:rPr>
                <w:rFonts w:hint="default" w:ascii="Times New Roman" w:hAnsi="Times New Roman" w:eastAsia="仿宋_GB2312" w:cs="Times New Roman"/>
                <w:color w:val="000000"/>
                <w:kern w:val="0"/>
                <w:sz w:val="22"/>
                <w:szCs w:val="22"/>
              </w:rPr>
            </w:pPr>
          </w:p>
          <w:p w14:paraId="436256B7">
            <w:pPr>
              <w:spacing w:line="0" w:lineRule="atLeast"/>
              <w:jc w:val="center"/>
              <w:rPr>
                <w:rFonts w:hint="default" w:ascii="Times New Roman" w:hAnsi="Times New Roman" w:eastAsia="仿宋_GB2312" w:cs="Times New Roman"/>
                <w:color w:val="000000"/>
                <w:kern w:val="0"/>
                <w:sz w:val="22"/>
                <w:szCs w:val="22"/>
              </w:rPr>
            </w:pPr>
          </w:p>
          <w:p w14:paraId="1C58AE54">
            <w:pPr>
              <w:spacing w:line="0" w:lineRule="atLeast"/>
              <w:jc w:val="center"/>
              <w:rPr>
                <w:rFonts w:hint="default" w:ascii="Times New Roman" w:hAnsi="Times New Roman" w:eastAsia="仿宋_GB2312" w:cs="Times New Roman"/>
                <w:color w:val="000000"/>
                <w:kern w:val="0"/>
                <w:sz w:val="22"/>
                <w:szCs w:val="22"/>
              </w:rPr>
            </w:pPr>
          </w:p>
          <w:p w14:paraId="7963264B">
            <w:pPr>
              <w:spacing w:line="0" w:lineRule="atLeast"/>
              <w:jc w:val="center"/>
              <w:rPr>
                <w:rFonts w:hint="default" w:ascii="Times New Roman" w:hAnsi="Times New Roman" w:eastAsia="仿宋_GB2312" w:cs="Times New Roman"/>
                <w:color w:val="000000"/>
                <w:kern w:val="0"/>
                <w:sz w:val="22"/>
                <w:szCs w:val="22"/>
              </w:rPr>
            </w:pPr>
          </w:p>
          <w:p w14:paraId="5FF287F2">
            <w:pPr>
              <w:spacing w:line="0" w:lineRule="atLeast"/>
              <w:jc w:val="center"/>
              <w:rPr>
                <w:rFonts w:hint="default" w:ascii="Times New Roman" w:hAnsi="Times New Roman" w:eastAsia="仿宋_GB2312" w:cs="Times New Roman"/>
                <w:color w:val="000000"/>
                <w:kern w:val="0"/>
                <w:sz w:val="22"/>
                <w:szCs w:val="22"/>
              </w:rPr>
            </w:pPr>
          </w:p>
          <w:p w14:paraId="535B5285">
            <w:pPr>
              <w:spacing w:line="0" w:lineRule="atLeast"/>
              <w:jc w:val="center"/>
              <w:rPr>
                <w:rFonts w:hint="default" w:ascii="Times New Roman" w:hAnsi="Times New Roman" w:eastAsia="仿宋_GB2312" w:cs="Times New Roman"/>
                <w:color w:val="000000"/>
                <w:kern w:val="0"/>
                <w:sz w:val="22"/>
                <w:szCs w:val="22"/>
              </w:rPr>
            </w:pPr>
          </w:p>
          <w:p w14:paraId="5EF09CE5">
            <w:pPr>
              <w:spacing w:line="0" w:lineRule="atLeast"/>
              <w:jc w:val="center"/>
              <w:rPr>
                <w:rFonts w:hint="default" w:ascii="Times New Roman" w:hAnsi="Times New Roman" w:eastAsia="仿宋_GB2312" w:cs="Times New Roman"/>
                <w:color w:val="000000"/>
                <w:kern w:val="0"/>
                <w:sz w:val="22"/>
                <w:szCs w:val="22"/>
              </w:rPr>
            </w:pPr>
          </w:p>
          <w:p w14:paraId="1BB0C3AD">
            <w:pPr>
              <w:spacing w:line="0" w:lineRule="atLeast"/>
              <w:jc w:val="center"/>
              <w:rPr>
                <w:rFonts w:hint="default" w:ascii="Times New Roman" w:hAnsi="Times New Roman" w:eastAsia="仿宋_GB2312" w:cs="Times New Roman"/>
                <w:color w:val="000000"/>
                <w:kern w:val="0"/>
                <w:sz w:val="22"/>
                <w:szCs w:val="22"/>
              </w:rPr>
            </w:pPr>
          </w:p>
          <w:p w14:paraId="128669FE">
            <w:pPr>
              <w:spacing w:line="0" w:lineRule="atLeast"/>
              <w:jc w:val="center"/>
              <w:rPr>
                <w:rFonts w:hint="default" w:ascii="Times New Roman" w:hAnsi="Times New Roman" w:eastAsia="仿宋_GB2312" w:cs="Times New Roman"/>
                <w:color w:val="000000"/>
                <w:kern w:val="0"/>
                <w:sz w:val="22"/>
                <w:szCs w:val="22"/>
              </w:rPr>
            </w:pPr>
          </w:p>
          <w:p w14:paraId="173E921C">
            <w:pPr>
              <w:spacing w:line="0" w:lineRule="atLeast"/>
              <w:jc w:val="center"/>
              <w:rPr>
                <w:rFonts w:hint="default" w:ascii="Times New Roman" w:hAnsi="Times New Roman" w:eastAsia="仿宋_GB2312" w:cs="Times New Roman"/>
                <w:color w:val="000000"/>
                <w:kern w:val="0"/>
                <w:sz w:val="22"/>
                <w:szCs w:val="22"/>
              </w:rPr>
            </w:pPr>
          </w:p>
          <w:p w14:paraId="0E7D4214">
            <w:pPr>
              <w:spacing w:line="0" w:lineRule="atLeast"/>
              <w:jc w:val="center"/>
              <w:rPr>
                <w:rFonts w:hint="default" w:ascii="Times New Roman" w:hAnsi="Times New Roman" w:eastAsia="仿宋_GB2312" w:cs="Times New Roman"/>
                <w:color w:val="000000"/>
                <w:kern w:val="0"/>
                <w:sz w:val="22"/>
                <w:szCs w:val="22"/>
              </w:rPr>
            </w:pPr>
          </w:p>
          <w:p w14:paraId="7E76869A">
            <w:pPr>
              <w:spacing w:line="0" w:lineRule="atLeast"/>
              <w:jc w:val="center"/>
              <w:rPr>
                <w:rFonts w:hint="default" w:ascii="Times New Roman" w:hAnsi="Times New Roman" w:eastAsia="仿宋_GB2312" w:cs="Times New Roman"/>
                <w:color w:val="000000"/>
                <w:kern w:val="0"/>
                <w:sz w:val="22"/>
                <w:szCs w:val="22"/>
              </w:rPr>
            </w:pPr>
          </w:p>
          <w:p w14:paraId="46499838">
            <w:pPr>
              <w:spacing w:line="0" w:lineRule="atLeast"/>
              <w:jc w:val="center"/>
              <w:rPr>
                <w:rFonts w:hint="default" w:ascii="Times New Roman" w:hAnsi="Times New Roman" w:eastAsia="仿宋_GB2312" w:cs="Times New Roman"/>
                <w:color w:val="000000"/>
                <w:kern w:val="0"/>
                <w:sz w:val="22"/>
                <w:szCs w:val="22"/>
              </w:rPr>
            </w:pPr>
          </w:p>
          <w:p w14:paraId="2ACB13D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0FE4934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02FD6E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6D291B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5BB23F8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248C94E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3C3844A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38C6DDF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69065CB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DCAE28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9FDA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10CD0592">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BE8B114">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5B0226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0504BD0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617D6A7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47789C26">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47E0E16F">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3.77</w:t>
            </w:r>
          </w:p>
        </w:tc>
      </w:tr>
      <w:tr w14:paraId="7846DB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12E05C72">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11913B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2CC04B7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31B6CE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38D40EC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40B62C9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6B982DD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CAE291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F00E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0FBFD99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F18684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6C5A007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2398305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38190DF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6F88E7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612E746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02E2F3A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1A8F83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8B0E3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2C5289E2">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AE5E28C">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D2DE48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EF0C1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6A2944A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C5AA2D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C32763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1519C0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5F89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3B812D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043A35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36DD32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06A3210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772E9E3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3B26E0E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9B7DBD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4697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797406B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51B2E7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2FF26B5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359C120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6D7A060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11CF2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736AADC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A2A6E8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E47E2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42B764A7">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4C99287">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1A9143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7495BFB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70B1460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0FC6A5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239563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10F1B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2858E92F">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B1BA59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7C4F689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2B9AFDF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4F2B29C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62CCD73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66F3E3E">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9.4</w:t>
            </w:r>
          </w:p>
        </w:tc>
      </w:tr>
      <w:tr w14:paraId="17A284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02A4232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418296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0743D66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4E3232C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00BA83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37595B1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1F092AD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4031A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70591E8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59763D6">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43FD14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4B0B56D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2349261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65B9F38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C945E2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bookmarkEnd w:id="5"/>
    </w:tbl>
    <w:p w14:paraId="417CB94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2581E0-1ABD-47A9-83AC-5C14C9A3FA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2D900DE-BC09-4611-9990-1CDBAB226267}"/>
  </w:font>
  <w:font w:name="华文中宋">
    <w:panose1 w:val="02010600040101010101"/>
    <w:charset w:val="86"/>
    <w:family w:val="auto"/>
    <w:pitch w:val="default"/>
    <w:sig w:usb0="00000287" w:usb1="080F0000" w:usb2="00000000" w:usb3="00000000" w:csb0="0004009F" w:csb1="DFD70000"/>
    <w:embedRegular r:id="rId3" w:fontKey="{8231AE47-F23F-4FBF-A250-E362F6570BAC}"/>
  </w:font>
  <w:font w:name="方正小标宋_GBK">
    <w:panose1 w:val="02000000000000000000"/>
    <w:charset w:val="86"/>
    <w:family w:val="script"/>
    <w:pitch w:val="default"/>
    <w:sig w:usb0="A00002BF" w:usb1="38CF7CFA" w:usb2="00082016" w:usb3="00000000" w:csb0="00040001" w:csb1="00000000"/>
    <w:embedRegular r:id="rId4" w:fontKey="{7473FF36-17DA-4E91-B160-4E8795F926A7}"/>
  </w:font>
  <w:font w:name="方正楷体_GB2312">
    <w:altName w:val="楷体_GB2312"/>
    <w:panose1 w:val="02000000000000000000"/>
    <w:charset w:val="86"/>
    <w:family w:val="auto"/>
    <w:pitch w:val="default"/>
    <w:sig w:usb0="00000000" w:usb1="00000000" w:usb2="00000012" w:usb3="00000000" w:csb0="00040001" w:csb1="00000000"/>
    <w:embedRegular r:id="rId5" w:fontKey="{6546E1A9-45C7-4325-86FC-0C38135CD462}"/>
  </w:font>
  <w:font w:name="楷体_GB2312">
    <w:panose1 w:val="02010609030101010101"/>
    <w:charset w:val="86"/>
    <w:family w:val="auto"/>
    <w:pitch w:val="default"/>
    <w:sig w:usb0="00000001" w:usb1="080E0000" w:usb2="00000000" w:usb3="00000000" w:csb0="00040000" w:csb1="00000000"/>
    <w:embedRegular r:id="rId6" w:fontKey="{738C8E67-BB53-4FC5-B049-7FC061F5BF7B}"/>
  </w:font>
  <w:font w:name="方正仿宋_GBK">
    <w:panose1 w:val="02000000000000000000"/>
    <w:charset w:val="86"/>
    <w:family w:val="auto"/>
    <w:pitch w:val="default"/>
    <w:sig w:usb0="A00002BF" w:usb1="38CF7CFA" w:usb2="00082016" w:usb3="00000000" w:csb0="00040001" w:csb1="00000000"/>
    <w:embedRegular r:id="rId7" w:fontKey="{FFC99B04-0AFB-42F4-87F2-E30E25F3EAAA}"/>
  </w:font>
  <w:font w:name="楷体">
    <w:panose1 w:val="02010609060101010101"/>
    <w:charset w:val="86"/>
    <w:family w:val="modern"/>
    <w:pitch w:val="default"/>
    <w:sig w:usb0="800002BF" w:usb1="38CF7CFA" w:usb2="00000016" w:usb3="00000000" w:csb0="00040001" w:csb1="00000000"/>
    <w:embedRegular r:id="rId8" w:fontKey="{048E5E33-56B9-44C3-8C7A-B9DCC11877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A39A56">
        <w:pPr>
          <w:pStyle w:val="7"/>
          <w:jc w:val="center"/>
        </w:pPr>
        <w:r>
          <w:fldChar w:fldCharType="begin"/>
        </w:r>
        <w:r>
          <w:instrText xml:space="preserve">PAGE   \* MERGEFORMAT</w:instrText>
        </w:r>
        <w:r>
          <w:fldChar w:fldCharType="separate"/>
        </w:r>
        <w:r>
          <w:rPr>
            <w:lang w:val="zh-CN"/>
          </w:rPr>
          <w:t>13</w:t>
        </w:r>
        <w:r>
          <w:fldChar w:fldCharType="end"/>
        </w:r>
      </w:p>
    </w:sdtContent>
  </w:sdt>
  <w:p w14:paraId="09DCCE0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FF6C4049"/>
    <w:rsid w:val="006F7242"/>
    <w:rsid w:val="007B168A"/>
    <w:rsid w:val="008B2CFE"/>
    <w:rsid w:val="00F26FF6"/>
    <w:rsid w:val="0176587A"/>
    <w:rsid w:val="022C5967"/>
    <w:rsid w:val="03FB4D67"/>
    <w:rsid w:val="048C0C43"/>
    <w:rsid w:val="04C478BB"/>
    <w:rsid w:val="0664104C"/>
    <w:rsid w:val="07397B77"/>
    <w:rsid w:val="08316AA1"/>
    <w:rsid w:val="0B176700"/>
    <w:rsid w:val="0D013BBD"/>
    <w:rsid w:val="13471461"/>
    <w:rsid w:val="1394392D"/>
    <w:rsid w:val="13B90F01"/>
    <w:rsid w:val="168A7591"/>
    <w:rsid w:val="16AC77A9"/>
    <w:rsid w:val="181066D2"/>
    <w:rsid w:val="1C671E73"/>
    <w:rsid w:val="268826B2"/>
    <w:rsid w:val="274F0D9D"/>
    <w:rsid w:val="285D2658"/>
    <w:rsid w:val="36A26799"/>
    <w:rsid w:val="38CA40DD"/>
    <w:rsid w:val="395F2B56"/>
    <w:rsid w:val="3BECE841"/>
    <w:rsid w:val="3DE77067"/>
    <w:rsid w:val="3F3C7A12"/>
    <w:rsid w:val="3FF7797D"/>
    <w:rsid w:val="4060552B"/>
    <w:rsid w:val="447B120C"/>
    <w:rsid w:val="45680F90"/>
    <w:rsid w:val="45FD349C"/>
    <w:rsid w:val="4743767B"/>
    <w:rsid w:val="48155D52"/>
    <w:rsid w:val="49961E1D"/>
    <w:rsid w:val="4A185268"/>
    <w:rsid w:val="4B3210C1"/>
    <w:rsid w:val="4C715E6A"/>
    <w:rsid w:val="4F2003EA"/>
    <w:rsid w:val="4FE4686C"/>
    <w:rsid w:val="51F46490"/>
    <w:rsid w:val="5BFF6039"/>
    <w:rsid w:val="5CEC7901"/>
    <w:rsid w:val="5D435C2E"/>
    <w:rsid w:val="5D76A616"/>
    <w:rsid w:val="5D7F20B9"/>
    <w:rsid w:val="5DAC7D0E"/>
    <w:rsid w:val="5E3D4736"/>
    <w:rsid w:val="5F337720"/>
    <w:rsid w:val="5F98B5AF"/>
    <w:rsid w:val="5FFE8511"/>
    <w:rsid w:val="5FFEACE2"/>
    <w:rsid w:val="60CE0ED7"/>
    <w:rsid w:val="639C03E7"/>
    <w:rsid w:val="643EE26D"/>
    <w:rsid w:val="651B5F9F"/>
    <w:rsid w:val="654F1AD9"/>
    <w:rsid w:val="68BB0CA8"/>
    <w:rsid w:val="6BCF4644"/>
    <w:rsid w:val="6F5C41AC"/>
    <w:rsid w:val="6FAF6C78"/>
    <w:rsid w:val="7317C656"/>
    <w:rsid w:val="734ED73F"/>
    <w:rsid w:val="74617CBA"/>
    <w:rsid w:val="764E5B95"/>
    <w:rsid w:val="772B5869"/>
    <w:rsid w:val="77FD8BE9"/>
    <w:rsid w:val="7896555B"/>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9628</Words>
  <Characters>9945</Characters>
  <Lines>58</Lines>
  <Paragraphs>16</Paragraphs>
  <TotalTime>23</TotalTime>
  <ScaleCrop>false</ScaleCrop>
  <LinksUpToDate>false</LinksUpToDate>
  <CharactersWithSpaces>9967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青青</cp:lastModifiedBy>
  <cp:lastPrinted>2024-04-09T03:04:00Z</cp:lastPrinted>
  <dcterms:modified xsi:type="dcterms:W3CDTF">2024-10-18T02:41:32Z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99EA3410A9B6416E8F1DDEAFA63252F6_13</vt:lpwstr>
  </property>
</Properties>
</file>