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仿宋_GB2312" w:cs="Times New Roman"/>
          <w:b/>
          <w:kern w:val="0"/>
          <w:sz w:val="52"/>
          <w:szCs w:val="52"/>
        </w:rPr>
      </w:pPr>
    </w:p>
    <w:p>
      <w:pPr>
        <w:spacing w:line="540" w:lineRule="exact"/>
        <w:rPr>
          <w:rFonts w:hint="default" w:ascii="Times New Roman" w:hAnsi="Times New Roman" w:eastAsia="仿宋_GB2312" w:cs="Times New Roman"/>
          <w:b/>
          <w:kern w:val="0"/>
          <w:sz w:val="52"/>
          <w:szCs w:val="52"/>
        </w:rPr>
      </w:pPr>
    </w:p>
    <w:p>
      <w:pPr>
        <w:spacing w:line="540" w:lineRule="exact"/>
        <w:jc w:val="center"/>
        <w:rPr>
          <w:rFonts w:hint="default" w:ascii="Times New Roman" w:hAnsi="Times New Roman" w:eastAsia="仿宋_GB2312" w:cs="Times New Roman"/>
          <w:b/>
          <w:kern w:val="0"/>
          <w:sz w:val="52"/>
          <w:szCs w:val="52"/>
        </w:rPr>
      </w:pPr>
    </w:p>
    <w:p>
      <w:pPr>
        <w:spacing w:line="540" w:lineRule="exact"/>
        <w:jc w:val="center"/>
        <w:rPr>
          <w:rFonts w:hint="default" w:ascii="Times New Roman" w:hAnsi="Times New Roman" w:eastAsia="仿宋_GB2312" w:cs="Times New Roman"/>
          <w:b/>
          <w:kern w:val="0"/>
          <w:sz w:val="52"/>
          <w:szCs w:val="52"/>
        </w:rPr>
      </w:pPr>
    </w:p>
    <w:p>
      <w:pPr>
        <w:spacing w:line="540" w:lineRule="exact"/>
        <w:jc w:val="center"/>
        <w:rPr>
          <w:rFonts w:hint="default" w:ascii="Times New Roman" w:hAnsi="Times New Roman" w:eastAsia="仿宋_GB2312" w:cs="Times New Roman"/>
          <w:kern w:val="0"/>
          <w:sz w:val="48"/>
          <w:szCs w:val="48"/>
        </w:rPr>
      </w:pPr>
      <w:r>
        <w:rPr>
          <w:rFonts w:hint="default" w:ascii="Times New Roman" w:hAnsi="Times New Roman" w:eastAsia="仿宋_GB2312" w:cs="Times New Roman"/>
          <w:kern w:val="0"/>
          <w:sz w:val="48"/>
          <w:szCs w:val="48"/>
          <w:lang w:val="en-US" w:eastAsia="zh-CN"/>
        </w:rPr>
        <w:t>提前下达2023年中央“基层科普行动计划”资金</w:t>
      </w:r>
      <w:r>
        <w:rPr>
          <w:rFonts w:hint="default" w:ascii="Times New Roman" w:hAnsi="Times New Roman" w:eastAsia="仿宋_GB2312" w:cs="Times New Roman"/>
          <w:kern w:val="0"/>
          <w:sz w:val="48"/>
          <w:szCs w:val="48"/>
        </w:rPr>
        <w:t>项目支出绩效评价报告</w:t>
      </w:r>
    </w:p>
    <w:p>
      <w:pPr>
        <w:spacing w:line="540" w:lineRule="exact"/>
        <w:jc w:val="center"/>
        <w:rPr>
          <w:rFonts w:hint="default" w:ascii="Times New Roman" w:hAnsi="Times New Roman" w:eastAsia="仿宋_GB2312"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eastAsia="仿宋_GB2312"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项目名称：提前下达2023年中央“基层科普行动计划”资金</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0"/>
          <w:sz w:val="36"/>
          <w:szCs w:val="36"/>
          <w:lang w:val="en-US" w:eastAsia="zh-CN"/>
        </w:rPr>
        <w:t>哈密市科学技术协会</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lang w:val="en-US" w:eastAsia="zh-CN"/>
        </w:rPr>
        <w:t>哈密市科学技术协会</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项目负责人（签章）：苏慧灵</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25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仿宋_GB2312"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pPr>
        <w:keepNext w:val="0"/>
        <w:keepLines w:val="0"/>
        <w:pageBreakBefore w:val="0"/>
        <w:kinsoku/>
        <w:wordWrap/>
        <w:overflowPunct/>
        <w:topLinePunct w:val="0"/>
        <w:autoSpaceDE/>
        <w:autoSpaceDN/>
        <w:bidi w:val="0"/>
        <w:spacing w:line="580" w:lineRule="exact"/>
        <w:ind w:left="0" w:firstLine="640" w:firstLineChars="200"/>
        <w:rPr>
          <w:rFonts w:hint="eastAsia" w:ascii="黑体" w:hAnsi="黑体" w:eastAsia="黑体" w:cs="黑体"/>
          <w:bCs/>
          <w:sz w:val="32"/>
          <w:szCs w:val="32"/>
        </w:rPr>
      </w:pPr>
      <w:r>
        <w:rPr>
          <w:rFonts w:hint="eastAsia" w:ascii="黑体" w:hAnsi="黑体" w:eastAsia="黑体" w:cs="黑体"/>
          <w:bCs/>
          <w:sz w:val="32"/>
          <w:szCs w:val="32"/>
        </w:rPr>
        <w:t>一、基本情况</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（一）项目概况</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0"/>
        <w:keepNext w:val="0"/>
        <w:keepLines w:val="0"/>
        <w:pageBreakBefore w:val="0"/>
        <w:widowControl/>
        <w:kinsoku/>
        <w:wordWrap/>
        <w:overflowPunct/>
        <w:topLinePunct w:val="0"/>
        <w:autoSpaceDE/>
        <w:autoSpaceDN/>
        <w:bidi w:val="0"/>
        <w:adjustRightInd/>
        <w:snapToGrid/>
        <w:spacing w:before="0" w:after="0" w:line="580" w:lineRule="exact"/>
        <w:ind w:left="0" w:firstLine="640" w:firstLineChars="200"/>
        <w:jc w:val="both"/>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8"/>
          <w:sz w:val="32"/>
          <w:szCs w:val="32"/>
          <w:lang w:val="en-US" w:eastAsia="zh-CN" w:bidi="ar-SA"/>
        </w:rPr>
        <w:t>为深入推进《全民科学素质行动</w:t>
      </w:r>
      <w:r>
        <w:rPr>
          <w:rFonts w:hint="eastAsia" w:ascii="Times New Roman" w:hAnsi="Times New Roman" w:eastAsia="仿宋_GB2312" w:cs="Times New Roman"/>
          <w:b w:val="0"/>
          <w:bCs w:val="0"/>
          <w:kern w:val="28"/>
          <w:sz w:val="32"/>
          <w:szCs w:val="32"/>
          <w:lang w:val="en-US" w:eastAsia="zh-CN" w:bidi="ar-SA"/>
        </w:rPr>
        <w:t>规</w:t>
      </w:r>
      <w:r>
        <w:rPr>
          <w:rFonts w:hint="default" w:ascii="Times New Roman" w:hAnsi="Times New Roman" w:eastAsia="仿宋_GB2312" w:cs="Times New Roman"/>
          <w:b w:val="0"/>
          <w:bCs w:val="0"/>
          <w:kern w:val="28"/>
          <w:sz w:val="32"/>
          <w:szCs w:val="32"/>
          <w:lang w:val="en-US" w:eastAsia="zh-CN" w:bidi="ar-SA"/>
        </w:rPr>
        <w:t>划纲要》</w:t>
      </w:r>
      <w:r>
        <w:rPr>
          <w:rFonts w:hint="eastAsia" w:ascii="Times New Roman" w:hAnsi="Times New Roman" w:eastAsia="仿宋_GB2312" w:cs="Times New Roman"/>
          <w:b w:val="0"/>
          <w:bCs w:val="0"/>
          <w:kern w:val="28"/>
          <w:sz w:val="32"/>
          <w:szCs w:val="32"/>
          <w:lang w:val="en-US" w:eastAsia="zh-CN" w:bidi="ar-SA"/>
        </w:rPr>
        <w:t>（</w:t>
      </w:r>
      <w:r>
        <w:rPr>
          <w:rFonts w:hint="default" w:ascii="Times New Roman" w:hAnsi="Times New Roman" w:eastAsia="仿宋_GB2312" w:cs="Times New Roman"/>
          <w:b w:val="0"/>
          <w:bCs w:val="0"/>
          <w:kern w:val="28"/>
          <w:sz w:val="32"/>
          <w:szCs w:val="32"/>
          <w:lang w:val="en-US" w:eastAsia="zh-CN" w:bidi="ar-SA"/>
        </w:rPr>
        <w:t>国发〔2021〕9号</w:t>
      </w:r>
      <w:r>
        <w:rPr>
          <w:rFonts w:hint="eastAsia" w:ascii="Times New Roman" w:hAnsi="Times New Roman" w:eastAsia="仿宋_GB2312" w:cs="Times New Roman"/>
          <w:b w:val="0"/>
          <w:bCs w:val="0"/>
          <w:kern w:val="28"/>
          <w:sz w:val="32"/>
          <w:szCs w:val="32"/>
          <w:lang w:val="en-US" w:eastAsia="zh-CN" w:bidi="ar-SA"/>
        </w:rPr>
        <w:t>）</w:t>
      </w:r>
      <w:r>
        <w:rPr>
          <w:rFonts w:hint="default" w:ascii="Times New Roman" w:hAnsi="Times New Roman" w:eastAsia="仿宋_GB2312" w:cs="Times New Roman"/>
          <w:b w:val="0"/>
          <w:bCs w:val="0"/>
          <w:kern w:val="28"/>
          <w:sz w:val="32"/>
          <w:szCs w:val="32"/>
          <w:lang w:val="en-US" w:eastAsia="zh-CN" w:bidi="ar-SA"/>
        </w:rPr>
        <w:t>的实施，充分调动全社会</w:t>
      </w:r>
      <w:r>
        <w:rPr>
          <w:rFonts w:hint="eastAsia" w:ascii="Times New Roman" w:hAnsi="Times New Roman" w:eastAsia="仿宋_GB2312" w:cs="Times New Roman"/>
          <w:b w:val="0"/>
          <w:bCs w:val="0"/>
          <w:kern w:val="28"/>
          <w:sz w:val="32"/>
          <w:szCs w:val="32"/>
          <w:lang w:val="en-US" w:eastAsia="zh-CN" w:bidi="ar-SA"/>
        </w:rPr>
        <w:t>深入</w:t>
      </w:r>
      <w:r>
        <w:rPr>
          <w:rFonts w:hint="default" w:ascii="Times New Roman" w:hAnsi="Times New Roman" w:eastAsia="仿宋_GB2312" w:cs="Times New Roman"/>
          <w:b w:val="0"/>
          <w:bCs w:val="0"/>
          <w:kern w:val="28"/>
          <w:sz w:val="32"/>
          <w:szCs w:val="32"/>
          <w:lang w:val="en-US" w:eastAsia="zh-CN" w:bidi="ar-SA"/>
        </w:rPr>
        <w:t>开展科普工作的积极性和创造性，引领激发广大群众学科学、用科学的积极性和创造性，通过政府主要</w:t>
      </w:r>
      <w:r>
        <w:rPr>
          <w:rFonts w:hint="eastAsia" w:ascii="Times New Roman" w:hAnsi="Times New Roman" w:eastAsia="仿宋_GB2312" w:cs="Times New Roman"/>
          <w:b w:val="0"/>
          <w:bCs w:val="0"/>
          <w:kern w:val="28"/>
          <w:sz w:val="32"/>
          <w:szCs w:val="32"/>
          <w:lang w:val="en-US" w:eastAsia="zh-CN" w:bidi="ar-SA"/>
        </w:rPr>
        <w:t>参</w:t>
      </w:r>
      <w:r>
        <w:rPr>
          <w:rFonts w:hint="default" w:ascii="Times New Roman" w:hAnsi="Times New Roman" w:eastAsia="仿宋_GB2312" w:cs="Times New Roman"/>
          <w:b w:val="0"/>
          <w:bCs w:val="0"/>
          <w:kern w:val="28"/>
          <w:sz w:val="32"/>
          <w:szCs w:val="32"/>
          <w:lang w:val="en-US" w:eastAsia="zh-CN" w:bidi="ar-SA"/>
        </w:rPr>
        <w:t>与引导，社会各界共同参与的方式，不断推动群众性、社会化的科学普及、推广工作，促进我市科普事业的创新发展，坚定坚决落实好中央、自治区党委和市委决策部署。牢记科协组织的职责使命。为科技工作者服务、为创新驱动发展服务、为提高全民科学素质服务、为党和政府科学决策服务的职责定位，团结引领广大科技工作者积极进军科技创新，组织开展创新争先行动，促进科技繁荣发展，促进科学普及和推广，故申请科普经费项目。</w:t>
      </w:r>
      <w:r>
        <w:rPr>
          <w:rFonts w:hint="default" w:ascii="Times New Roman" w:hAnsi="Times New Roman" w:eastAsia="仿宋_GB2312" w:cs="Times New Roman"/>
          <w:b w:val="0"/>
          <w:bCs w:val="0"/>
        </w:rPr>
        <w:t xml:space="preserve"> </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val="0"/>
          <w:bCs w:val="0"/>
          <w:sz w:val="32"/>
          <w:szCs w:val="32"/>
          <w:lang w:eastAsia="zh-CN"/>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pStyle w:val="2"/>
        <w:keepNext w:val="0"/>
        <w:keepLines w:val="0"/>
        <w:pageBreakBefore w:val="0"/>
        <w:widowControl w:val="0"/>
        <w:kinsoku/>
        <w:wordWrap/>
        <w:overflowPunct/>
        <w:topLinePunct w:val="0"/>
        <w:autoSpaceDE/>
        <w:autoSpaceDN/>
        <w:bidi w:val="0"/>
        <w:adjustRightInd/>
        <w:snapToGrid/>
        <w:spacing w:after="0" w:line="580" w:lineRule="exact"/>
        <w:ind w:left="0"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一是开展科技助力乡村振兴建设，用于开展科技之冬活动50场次以上；二是开发各类科普资源，购买5万本全民科学素质读本；三是组织开展全国科普日活动至少一场，覆盖人数300人以上；四是表彰奖励科普阵地及学校，用于举办校园科技节；五是开展科普信息化建设，用于开展科普融媒体宣传，一年250期以上。项目完成后推动科普资源传播，进一步</w:t>
      </w:r>
      <w:r>
        <w:rPr>
          <w:rFonts w:hint="eastAsia" w:ascii="Times New Roman" w:hAnsi="Times New Roman" w:eastAsia="仿宋_GB2312" w:cs="Times New Roman"/>
          <w:b w:val="0"/>
          <w:bCs w:val="0"/>
          <w:kern w:val="28"/>
          <w:sz w:val="32"/>
          <w:szCs w:val="32"/>
          <w:lang w:val="en-US" w:eastAsia="zh-CN" w:bidi="ar-SA"/>
        </w:rPr>
        <w:t>提升</w:t>
      </w:r>
      <w:r>
        <w:rPr>
          <w:rFonts w:hint="default" w:ascii="Times New Roman" w:hAnsi="Times New Roman" w:eastAsia="仿宋_GB2312" w:cs="Times New Roman"/>
          <w:b w:val="0"/>
          <w:bCs w:val="0"/>
          <w:kern w:val="28"/>
          <w:sz w:val="32"/>
          <w:szCs w:val="32"/>
          <w:lang w:val="en-US" w:eastAsia="zh-CN" w:bidi="ar-SA"/>
        </w:rPr>
        <w:t>科普公共服务供给能力，推进科普信息化建设，奖补一批农村科普示范基地、少数民族科普工作队、农村专业技术协会、科普教育基地、农村科普带头人、应急科普典型、科技志愿服务团队和个人、科学传播专家团队和个人等。进一步服务基层科普资源，提高基层各族群众的科学素质和依靠科技增收致富的能力，助力乡村振兴。</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（1）资金投入情况</w:t>
      </w:r>
    </w:p>
    <w:p>
      <w:pPr>
        <w:pStyle w:val="10"/>
        <w:keepNext w:val="0"/>
        <w:keepLines w:val="0"/>
        <w:pageBreakBefore w:val="0"/>
        <w:kinsoku/>
        <w:wordWrap/>
        <w:overflowPunct/>
        <w:topLinePunct w:val="0"/>
        <w:autoSpaceDE/>
        <w:autoSpaceDN/>
        <w:bidi w:val="0"/>
        <w:spacing w:before="0" w:after="0" w:line="580" w:lineRule="exact"/>
        <w:ind w:left="0" w:firstLine="640" w:firstLineChars="200"/>
        <w:jc w:val="left"/>
        <w:rPr>
          <w:rFonts w:hint="default" w:ascii="Times New Roman" w:hAnsi="Times New Roman" w:eastAsia="仿宋_GB2312" w:cs="Times New Roman"/>
          <w:lang w:val="en-US" w:eastAsia="zh-CN"/>
        </w:rPr>
      </w:pPr>
      <w:r>
        <w:rPr>
          <w:rFonts w:hint="default" w:ascii="Times New Roman" w:hAnsi="Times New Roman" w:eastAsia="仿宋_GB2312" w:cs="Times New Roman"/>
          <w:b w:val="0"/>
          <w:bCs w:val="0"/>
          <w:lang w:val="en-US" w:eastAsia="zh-CN"/>
        </w:rPr>
        <w:t xml:space="preserve">    提前下达2023年中央“基层科普行动计划”资金项目总2023年总预算资金39.99万元，项目资金</w:t>
      </w:r>
      <w:r>
        <w:rPr>
          <w:rFonts w:hint="default" w:ascii="Times New Roman" w:hAnsi="Times New Roman" w:eastAsia="仿宋_GB2312" w:cs="Times New Roman"/>
          <w:b w:val="0"/>
          <w:bCs w:val="0"/>
          <w:highlight w:val="none"/>
          <w:lang w:val="en-US" w:eastAsia="zh-CN"/>
        </w:rPr>
        <w:t>为</w:t>
      </w:r>
      <w:r>
        <w:rPr>
          <w:rFonts w:hint="eastAsia" w:ascii="Times New Roman" w:hAnsi="Times New Roman" w:eastAsia="仿宋_GB2312" w:cs="Times New Roman"/>
          <w:b w:val="0"/>
          <w:bCs w:val="0"/>
          <w:highlight w:val="none"/>
          <w:lang w:val="en-US" w:eastAsia="zh-CN"/>
        </w:rPr>
        <w:t>中央</w:t>
      </w:r>
      <w:r>
        <w:rPr>
          <w:rFonts w:hint="default" w:ascii="Times New Roman" w:hAnsi="Times New Roman" w:eastAsia="仿宋_GB2312" w:cs="Times New Roman"/>
          <w:b w:val="0"/>
          <w:bCs w:val="0"/>
          <w:highlight w:val="none"/>
          <w:lang w:val="en-US" w:eastAsia="zh-CN"/>
        </w:rPr>
        <w:t>转移支付</w:t>
      </w:r>
      <w:r>
        <w:rPr>
          <w:rFonts w:hint="default" w:ascii="Times New Roman" w:hAnsi="Times New Roman" w:eastAsia="仿宋_GB2312" w:cs="Times New Roman"/>
          <w:b w:val="0"/>
          <w:bCs w:val="0"/>
          <w:lang w:val="en-US" w:eastAsia="zh-CN"/>
        </w:rPr>
        <w:t>财政资金，项目资金到位数39.99万元，资金到位率100%。</w:t>
      </w:r>
    </w:p>
    <w:p>
      <w:pPr>
        <w:pStyle w:val="10"/>
        <w:keepNext w:val="0"/>
        <w:keepLines w:val="0"/>
        <w:pageBreakBefore w:val="0"/>
        <w:numPr>
          <w:ilvl w:val="0"/>
          <w:numId w:val="1"/>
        </w:numPr>
        <w:kinsoku/>
        <w:wordWrap/>
        <w:overflowPunct/>
        <w:topLinePunct w:val="0"/>
        <w:autoSpaceDE/>
        <w:autoSpaceDN/>
        <w:bidi w:val="0"/>
        <w:spacing w:before="0" w:after="0" w:line="580" w:lineRule="exact"/>
        <w:ind w:left="0" w:leftChars="0" w:firstLine="643" w:firstLineChars="200"/>
        <w:jc w:val="left"/>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资金使用情况</w:t>
      </w:r>
    </w:p>
    <w:p>
      <w:pPr>
        <w:keepNext w:val="0"/>
        <w:keepLines w:val="0"/>
        <w:pageBreakBefore w:val="0"/>
        <w:numPr>
          <w:ilvl w:val="0"/>
          <w:numId w:val="0"/>
        </w:numPr>
        <w:kinsoku/>
        <w:wordWrap/>
        <w:overflowPunct/>
        <w:topLinePunct w:val="0"/>
        <w:autoSpaceDE/>
        <w:autoSpaceDN/>
        <w:bidi w:val="0"/>
        <w:spacing w:line="580" w:lineRule="exact"/>
        <w:ind w:left="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提前下达2023年中央“基层科普行动计划”资金项目年初预算数39.99万元，全年预算数为39.99万元，</w:t>
      </w:r>
      <w:r>
        <w:rPr>
          <w:rFonts w:hint="eastAsia" w:ascii="Times New Roman" w:hAnsi="Times New Roman" w:eastAsia="仿宋_GB2312" w:cs="Times New Roman"/>
          <w:sz w:val="32"/>
          <w:szCs w:val="32"/>
          <w:lang w:val="en-US" w:eastAsia="zh-CN"/>
        </w:rPr>
        <w:t>截至2023年</w:t>
      </w:r>
      <w:r>
        <w:rPr>
          <w:rFonts w:hint="default" w:ascii="Times New Roman" w:hAnsi="Times New Roman" w:eastAsia="仿宋_GB2312" w:cs="Times New Roman"/>
          <w:sz w:val="32"/>
          <w:szCs w:val="32"/>
          <w:lang w:val="en-US" w:eastAsia="zh-CN"/>
        </w:rPr>
        <w:t>12月31日全年执行数39.99万元，预算执行率为100%，项目资金主要用于支付科技之冬培训10万元、全国科普日宣传活动1.991万元、奖补科普基地及特色学校3万元、科普融媒体宣传15万元、全民科学素质读本9.99936万元。</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keepNext w:val="0"/>
        <w:keepLines w:val="0"/>
        <w:pageBreakBefore w:val="0"/>
        <w:kinsoku/>
        <w:wordWrap/>
        <w:overflowPunct/>
        <w:topLinePunct w:val="0"/>
        <w:autoSpaceDE/>
        <w:autoSpaceDN/>
        <w:bidi w:val="0"/>
        <w:spacing w:line="580" w:lineRule="exact"/>
        <w:ind w:left="0" w:firstLine="640"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项目目前已经完成实际设立的目标，项目在实施过程中严格按照目标设立的各阶段任务进行开展工作，在前期立项过程中严格把质量关，建立安全防护机制，保证项目实施各阶段安全顺利进行。本年度</w:t>
      </w:r>
      <w:r>
        <w:rPr>
          <w:rFonts w:hint="default" w:ascii="Times New Roman" w:hAnsi="Times New Roman" w:eastAsia="仿宋_GB2312" w:cs="Times New Roman"/>
          <w:sz w:val="32"/>
          <w:szCs w:val="32"/>
          <w:lang w:val="en-US" w:eastAsia="zh-CN"/>
        </w:rPr>
        <w:t>完成科技之冬培训57场次；购买全民科学素质读本6944本；组织开展全国科普日活动1场，覆盖人数500余人；表彰奖励科普阵地及学校1个，用于举办校园科技节；开展科普信息化建设，在丝路密语及哈密日报发布科普宣传328期。该项目的实施有效提高基层科普服务能力，提升群众科普知识知晓率，丰富群众文化生活，进一步服务基层科普资源，提高基层各族群众的科学素质和依靠科技增收致富能力，助力乡村振兴</w:t>
      </w:r>
      <w:r>
        <w:rPr>
          <w:rFonts w:hint="default" w:ascii="Times New Roman" w:hAnsi="Times New Roman" w:eastAsia="仿宋_GB2312" w:cs="Times New Roman"/>
          <w:sz w:val="32"/>
          <w:szCs w:val="32"/>
        </w:rPr>
        <w:t>。</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（二）项目绩效目标</w:t>
      </w:r>
    </w:p>
    <w:p>
      <w:pPr>
        <w:pStyle w:val="10"/>
        <w:keepNext w:val="0"/>
        <w:keepLines w:val="0"/>
        <w:pageBreakBefore w:val="0"/>
        <w:numPr>
          <w:ilvl w:val="0"/>
          <w:numId w:val="0"/>
        </w:numPr>
        <w:kinsoku/>
        <w:wordWrap/>
        <w:overflowPunct/>
        <w:topLinePunct w:val="0"/>
        <w:autoSpaceDE/>
        <w:autoSpaceDN/>
        <w:bidi w:val="0"/>
        <w:adjustRightInd/>
        <w:snapToGrid/>
        <w:spacing w:before="0" w:after="0" w:line="580" w:lineRule="exact"/>
        <w:ind w:left="0" w:firstLine="640" w:firstLineChars="200"/>
        <w:jc w:val="both"/>
        <w:textAlignment w:val="auto"/>
        <w:rPr>
          <w:rFonts w:hint="default" w:ascii="Times New Roman" w:hAnsi="Times New Roman" w:eastAsia="仿宋_GB2312" w:cs="Times New Roman"/>
          <w:b w:val="0"/>
          <w:bCs w:val="0"/>
          <w:kern w:val="2"/>
          <w:sz w:val="32"/>
          <w:szCs w:val="32"/>
          <w:lang w:val="en-US" w:eastAsia="zh-CN"/>
        </w:rPr>
      </w:pPr>
      <w:r>
        <w:rPr>
          <w:rFonts w:hint="default" w:ascii="Times New Roman" w:hAnsi="Times New Roman" w:eastAsia="仿宋_GB2312" w:cs="Times New Roman"/>
          <w:b w:val="0"/>
          <w:bCs w:val="0"/>
          <w:kern w:val="2"/>
          <w:sz w:val="32"/>
          <w:szCs w:val="32"/>
          <w:lang w:val="en-US" w:eastAsia="zh-CN"/>
        </w:rPr>
        <w:t>1.总体目标</w:t>
      </w:r>
    </w:p>
    <w:p>
      <w:pPr>
        <w:keepNext w:val="0"/>
        <w:keepLines w:val="0"/>
        <w:pageBreakBefore w:val="0"/>
        <w:kinsoku/>
        <w:wordWrap/>
        <w:overflowPunct/>
        <w:topLinePunct w:val="0"/>
        <w:autoSpaceDE/>
        <w:autoSpaceDN/>
        <w:bidi w:val="0"/>
        <w:spacing w:line="580" w:lineRule="exact"/>
        <w:ind w:left="0" w:firstLine="640" w:firstLineChars="200"/>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基层科普行动计划项目总资金40万元。一是开展科技助力乡村振兴建设，用于开展科技之冬活动50场次以上；二是开发各类科普资源，购买5万本全民科学素质读本；三是组织开展全国科普日活动至少一场，覆盖人数300人以上；四是表彰奖励科普阵地及学校，用于举办校园科技节；五是开展科普信息化建设，用于开展科普融媒体宣传，一年250期以上。项目完成后推动科普资源传播，进一步</w:t>
      </w:r>
      <w:r>
        <w:rPr>
          <w:rFonts w:hint="eastAsia" w:ascii="Times New Roman" w:hAnsi="Times New Roman" w:eastAsia="仿宋_GB2312" w:cs="Times New Roman"/>
          <w:b w:val="0"/>
          <w:bCs w:val="0"/>
          <w:sz w:val="32"/>
          <w:szCs w:val="32"/>
          <w:lang w:val="en-US" w:eastAsia="zh-CN"/>
        </w:rPr>
        <w:t>提升</w:t>
      </w:r>
      <w:r>
        <w:rPr>
          <w:rFonts w:hint="default" w:ascii="Times New Roman" w:hAnsi="Times New Roman" w:eastAsia="仿宋_GB2312" w:cs="Times New Roman"/>
          <w:b w:val="0"/>
          <w:bCs w:val="0"/>
          <w:sz w:val="32"/>
          <w:szCs w:val="32"/>
          <w:lang w:val="en-US" w:eastAsia="zh-CN"/>
        </w:rPr>
        <w:t>科普公共服务供给能力，推进科普信息化建设，奖补一批农村科普示范基地、少数民族科普工作队、农村专业技术协会、科普教育基地、农村科普带头人、应急科普典型、科技志愿服务团队和个人、科学传播专家团队和个人等。进一步服务基层科普资源，提高基层各族群众的科学素质和依靠科技增收致富的能力，助力乡村振兴。</w:t>
      </w:r>
    </w:p>
    <w:p>
      <w:pPr>
        <w:pStyle w:val="10"/>
        <w:keepNext w:val="0"/>
        <w:keepLines w:val="0"/>
        <w:pageBreakBefore w:val="0"/>
        <w:numPr>
          <w:ilvl w:val="0"/>
          <w:numId w:val="0"/>
        </w:numPr>
        <w:kinsoku/>
        <w:wordWrap/>
        <w:overflowPunct/>
        <w:topLinePunct w:val="0"/>
        <w:autoSpaceDE/>
        <w:autoSpaceDN/>
        <w:bidi w:val="0"/>
        <w:adjustRightInd/>
        <w:snapToGrid/>
        <w:spacing w:before="0" w:after="0" w:line="580" w:lineRule="exact"/>
        <w:ind w:left="0" w:firstLine="640" w:firstLineChars="200"/>
        <w:jc w:val="both"/>
        <w:textAlignment w:val="auto"/>
        <w:rPr>
          <w:rFonts w:hint="default" w:ascii="Times New Roman" w:hAnsi="Times New Roman" w:eastAsia="仿宋_GB2312" w:cs="Times New Roman"/>
          <w:b w:val="0"/>
          <w:bCs w:val="0"/>
          <w:kern w:val="2"/>
          <w:sz w:val="32"/>
          <w:szCs w:val="32"/>
          <w:lang w:val="en-US" w:eastAsia="zh-CN"/>
        </w:rPr>
      </w:pPr>
      <w:r>
        <w:rPr>
          <w:rFonts w:hint="default" w:ascii="Times New Roman" w:hAnsi="Times New Roman" w:eastAsia="仿宋_GB2312" w:cs="Times New Roman"/>
          <w:b w:val="0"/>
          <w:bCs w:val="0"/>
          <w:kern w:val="2"/>
          <w:sz w:val="32"/>
          <w:szCs w:val="32"/>
          <w:lang w:val="en-US" w:eastAsia="zh-CN"/>
        </w:rPr>
        <w:t>2.阶段性目标</w:t>
      </w:r>
    </w:p>
    <w:p>
      <w:pPr>
        <w:keepNext w:val="0"/>
        <w:keepLines w:val="0"/>
        <w:pageBreakBefore w:val="0"/>
        <w:kinsoku/>
        <w:wordWrap/>
        <w:overflowPunct/>
        <w:topLinePunct w:val="0"/>
        <w:autoSpaceDE/>
        <w:autoSpaceDN/>
        <w:bidi w:val="0"/>
        <w:spacing w:line="580" w:lineRule="exact"/>
        <w:ind w:left="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2023年3月前已完成</w:t>
      </w:r>
      <w:r>
        <w:rPr>
          <w:rFonts w:hint="default" w:ascii="Times New Roman" w:hAnsi="Times New Roman" w:eastAsia="仿宋_GB2312" w:cs="Times New Roman"/>
          <w:b w:val="0"/>
          <w:bCs w:val="0"/>
          <w:sz w:val="32"/>
          <w:szCs w:val="32"/>
          <w:lang w:val="en-US" w:eastAsia="zh-CN"/>
        </w:rPr>
        <w:t>科技之冬活动57场次，9月开展全国科普日活动1场次，覆盖人数500余人；9月购买</w:t>
      </w:r>
      <w:r>
        <w:rPr>
          <w:rFonts w:hint="default" w:ascii="Times New Roman" w:hAnsi="Times New Roman" w:eastAsia="仿宋_GB2312" w:cs="Times New Roman"/>
          <w:sz w:val="32"/>
          <w:szCs w:val="32"/>
          <w:lang w:val="en-US" w:eastAsia="zh-CN"/>
        </w:rPr>
        <w:t>全民科学素质读本6944本；科普融媒体宣传按照时间，每个工作日至少在丝路密语发布1条科普信息，每月按时在哈密日报发布2篇科普宣传信息。</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（一）绩效评价目的、对象和范围</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（2）项目绩效管</w:t>
      </w:r>
      <w:r>
        <w:rPr>
          <w:rFonts w:hint="eastAsia" w:ascii="Times New Roman" w:hAnsi="Times New Roman"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lang w:val="en-US" w:eastAsia="zh-CN" w:bidi="ar-SA"/>
        </w:rPr>
        <w:t>提前下达2023年中央“基层科普行动计划”资金项目所包含</w:t>
      </w:r>
      <w:r>
        <w:rPr>
          <w:rFonts w:hint="default" w:ascii="Times New Roman" w:hAnsi="Times New Roman" w:eastAsia="仿宋_GB2312" w:cs="Times New Roman"/>
          <w:sz w:val="32"/>
          <w:szCs w:val="32"/>
        </w:rPr>
        <w:t>的全部项目内容。</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提前下达2023年中央“基层科普行动计划”资金</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b/>
          <w:bCs/>
          <w:sz w:val="32"/>
          <w:szCs w:val="32"/>
        </w:rPr>
        <w:t>（二）绩效评价原则、评价指标体系（详情见表1）、评价方法、评价标准。</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ascii="Times New Roman" w:hAnsi="Times New Roman" w:eastAsia="仿宋_GB2312" w:cs="Times New Roman"/>
          <w:sz w:val="32"/>
          <w:szCs w:val="32"/>
          <w:lang w:eastAsia="zh-CN"/>
        </w:rPr>
        <w:t>地</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（3）激励约束。绩效评价结果应与预算安排、政策调整、改进管理实质性挂钩，体现奖优罚劣和激励导向，有效要安排、低效要压减、无效要问责。</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jc w:val="left"/>
        <w:textAlignment w:val="auto"/>
        <w:rPr>
          <w:rFonts w:hint="default" w:ascii="Times New Roman" w:hAnsi="Times New Roman" w:eastAsia="仿宋_GB2312"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0"/>
        <w:keepNext w:val="0"/>
        <w:keepLines w:val="0"/>
        <w:pageBreakBefore w:val="0"/>
        <w:numPr>
          <w:ilvl w:val="0"/>
          <w:numId w:val="3"/>
        </w:numPr>
        <w:kinsoku/>
        <w:wordWrap/>
        <w:overflowPunct/>
        <w:topLinePunct w:val="0"/>
        <w:autoSpaceDE/>
        <w:autoSpaceDN/>
        <w:bidi w:val="0"/>
        <w:adjustRightInd/>
        <w:snapToGrid/>
        <w:spacing w:before="0" w:after="0" w:line="580" w:lineRule="exact"/>
        <w:ind w:left="0" w:firstLine="711" w:firstLineChars="200"/>
        <w:jc w:val="both"/>
        <w:textAlignment w:val="auto"/>
        <w:rPr>
          <w:rFonts w:hint="default" w:ascii="Times New Roman" w:hAnsi="Times New Roman" w:eastAsia="仿宋_GB2312" w:cs="Times New Roman"/>
          <w:color w:val="000000"/>
          <w:spacing w:val="17"/>
        </w:rPr>
      </w:pPr>
      <w:r>
        <w:rPr>
          <w:rFonts w:hint="default" w:ascii="Times New Roman" w:hAnsi="Times New Roman" w:eastAsia="仿宋_GB2312"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80" w:lineRule="exact"/>
        <w:ind w:left="0"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4"/>
        </w:numPr>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80" w:lineRule="exact"/>
        <w:ind w:left="0"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一</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ascii="Times New Roman" w:hAnsi="Times New Roman"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ascii="Times New Roman" w:hAnsi="Times New Roman"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发挥，保障项目如期按要求完成。规范项目档案资料的整理。项目的实施达到预期效果。</w:t>
      </w:r>
    </w:p>
    <w:p>
      <w:pPr>
        <w:pStyle w:val="10"/>
        <w:keepNext w:val="0"/>
        <w:keepLines w:val="0"/>
        <w:pageBreakBefore w:val="0"/>
        <w:widowControl/>
        <w:kinsoku/>
        <w:wordWrap/>
        <w:overflowPunct/>
        <w:topLinePunct w:val="0"/>
        <w:autoSpaceDE/>
        <w:autoSpaceDN/>
        <w:bidi w:val="0"/>
        <w:adjustRightInd/>
        <w:snapToGrid/>
        <w:spacing w:before="0" w:after="0" w:line="580" w:lineRule="exact"/>
        <w:ind w:left="0" w:firstLine="643" w:firstLineChars="200"/>
        <w:jc w:val="both"/>
        <w:textAlignment w:val="auto"/>
        <w:rPr>
          <w:rFonts w:hint="default" w:ascii="Times New Roman" w:hAnsi="Times New Roman" w:eastAsia="楷体" w:cs="Times New Roman"/>
          <w:lang w:val="en-US" w:eastAsia="zh-CN"/>
        </w:rPr>
      </w:pP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二</w:t>
      </w:r>
      <w:r>
        <w:rPr>
          <w:rFonts w:hint="default" w:ascii="Times New Roman" w:hAnsi="Times New Roman" w:eastAsia="楷体" w:cs="Times New Roman"/>
          <w:lang w:eastAsia="zh-CN"/>
        </w:rPr>
        <w:t>）</w:t>
      </w:r>
      <w:r>
        <w:rPr>
          <w:rFonts w:hint="default" w:ascii="Times New Roman" w:hAnsi="Times New Roman" w:eastAsia="楷体" w:cs="Times New Roman"/>
          <w:lang w:val="en-US" w:eastAsia="zh-CN"/>
        </w:rPr>
        <w:t>评价结论</w:t>
      </w:r>
    </w:p>
    <w:p>
      <w:pPr>
        <w:pStyle w:val="10"/>
        <w:keepNext w:val="0"/>
        <w:keepLines w:val="0"/>
        <w:pageBreakBefore w:val="0"/>
        <w:widowControl w:val="0"/>
        <w:kinsoku/>
        <w:wordWrap/>
        <w:overflowPunct/>
        <w:topLinePunct w:val="0"/>
        <w:autoSpaceDE/>
        <w:autoSpaceDN/>
        <w:bidi w:val="0"/>
        <w:adjustRightInd/>
        <w:snapToGrid/>
        <w:spacing w:before="0" w:after="0" w:line="580" w:lineRule="exact"/>
        <w:ind w:left="0"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default" w:ascii="Times New Roman" w:hAnsi="Times New Roman" w:eastAsia="仿宋_GB2312" w:cs="Times New Roman"/>
          <w:b w:val="0"/>
          <w:bCs w:val="0"/>
          <w:highlight w:val="none"/>
          <w:lang w:val="en-US" w:eastAsia="zh-CN"/>
        </w:rPr>
        <w:t>98.57</w:t>
      </w:r>
      <w:r>
        <w:rPr>
          <w:rFonts w:hint="default" w:ascii="Times New Roman" w:hAnsi="Times New Roman" w:eastAsia="仿宋_GB2312" w:cs="Times New Roman"/>
          <w:b w:val="0"/>
          <w:bCs w:val="0"/>
          <w:highlight w:val="none"/>
        </w:rPr>
        <w:t>分，属于“</w:t>
      </w:r>
      <w:r>
        <w:rPr>
          <w:rFonts w:hint="default"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default" w:ascii="Times New Roman" w:hAnsi="Times New Roman" w:eastAsia="仿宋_GB2312" w:cs="Times New Roman"/>
          <w:b w:val="0"/>
          <w:bCs w:val="0"/>
          <w:highlight w:val="none"/>
          <w:lang w:val="en-US" w:eastAsia="zh-CN"/>
        </w:rPr>
        <w:t>28.</w:t>
      </w:r>
      <w:r>
        <w:rPr>
          <w:rFonts w:hint="eastAsia" w:ascii="Times New Roman" w:hAnsi="Times New Roman" w:eastAsia="仿宋_GB2312" w:cs="Times New Roman"/>
          <w:b w:val="0"/>
          <w:bCs w:val="0"/>
          <w:highlight w:val="none"/>
          <w:lang w:val="en-US" w:eastAsia="zh-CN"/>
        </w:rPr>
        <w:t>5</w:t>
      </w:r>
      <w:r>
        <w:rPr>
          <w:rFonts w:hint="default" w:ascii="Times New Roman" w:hAnsi="Times New Roman" w:eastAsia="仿宋_GB2312" w:cs="Times New Roman"/>
          <w:b w:val="0"/>
          <w:bCs w:val="0"/>
          <w:highlight w:val="none"/>
          <w:lang w:val="en-US" w:eastAsia="zh-CN"/>
        </w:rPr>
        <w:t>7</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95.23</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default"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line="580" w:lineRule="exact"/>
        <w:ind w:left="0" w:firstLine="602"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80" w:lineRule="exact"/>
              <w:ind w:left="0" w:firstLine="442" w:firstLineChars="200"/>
              <w:jc w:val="center"/>
              <w:textAlignment w:val="auto"/>
              <w:rPr>
                <w:rFonts w:hint="default" w:ascii="Times New Roman" w:hAnsi="Times New Roman" w:eastAsia="仿宋_GB2312" w:cs="Times New Roman"/>
                <w:b/>
                <w:bCs/>
                <w:color w:val="000000"/>
                <w:sz w:val="22"/>
                <w:szCs w:val="22"/>
              </w:rPr>
            </w:pPr>
            <w:r>
              <w:rPr>
                <w:rFonts w:hint="default" w:ascii="Times New Roman" w:hAnsi="Times New Roman" w:eastAsia="仿宋_GB2312" w:cs="Times New Roman"/>
                <w:b/>
                <w:bCs/>
                <w:color w:val="000000"/>
                <w:sz w:val="22"/>
                <w:szCs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80" w:lineRule="exact"/>
              <w:ind w:left="0" w:firstLine="442" w:firstLineChars="200"/>
              <w:jc w:val="center"/>
              <w:textAlignment w:val="auto"/>
              <w:rPr>
                <w:rFonts w:hint="default" w:ascii="Times New Roman" w:hAnsi="Times New Roman" w:eastAsia="仿宋_GB2312" w:cs="Times New Roman"/>
                <w:b/>
                <w:bCs/>
                <w:color w:val="000000"/>
                <w:sz w:val="22"/>
                <w:szCs w:val="22"/>
              </w:rPr>
            </w:pPr>
            <w:r>
              <w:rPr>
                <w:rFonts w:hint="default" w:ascii="Times New Roman" w:hAnsi="Times New Roman" w:eastAsia="仿宋_GB2312" w:cs="Times New Roman"/>
                <w:b/>
                <w:bCs/>
                <w:color w:val="000000"/>
                <w:sz w:val="22"/>
                <w:szCs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80" w:lineRule="exact"/>
              <w:ind w:left="0" w:firstLine="442" w:firstLineChars="200"/>
              <w:jc w:val="center"/>
              <w:textAlignment w:val="auto"/>
              <w:rPr>
                <w:rFonts w:hint="default" w:ascii="Times New Roman" w:hAnsi="Times New Roman" w:eastAsia="仿宋_GB2312" w:cs="Times New Roman"/>
                <w:b/>
                <w:bCs/>
                <w:color w:val="000000"/>
                <w:sz w:val="22"/>
                <w:szCs w:val="22"/>
              </w:rPr>
            </w:pPr>
            <w:r>
              <w:rPr>
                <w:rFonts w:hint="default" w:ascii="Times New Roman" w:hAnsi="Times New Roman" w:eastAsia="仿宋_GB2312" w:cs="Times New Roman"/>
                <w:b/>
                <w:bCs/>
                <w:color w:val="000000"/>
                <w:sz w:val="22"/>
                <w:szCs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20</w:t>
            </w:r>
          </w:p>
        </w:tc>
      </w:tr>
      <w:tr>
        <w:tblPrEx>
          <w:tblLayout w:type="fixed"/>
          <w:tblCellMar>
            <w:top w:w="0" w:type="dxa"/>
            <w:left w:w="108" w:type="dxa"/>
            <w:bottom w:w="0" w:type="dxa"/>
            <w:right w:w="108" w:type="dxa"/>
          </w:tblCellMar>
        </w:tblPrEx>
        <w:trPr>
          <w:trHeight w:val="579"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28.57</w:t>
            </w:r>
          </w:p>
        </w:tc>
      </w:tr>
      <w:tr>
        <w:tblPrEx>
          <w:tblLayout w:type="fixed"/>
          <w:tblCellMar>
            <w:top w:w="0" w:type="dxa"/>
            <w:left w:w="108" w:type="dxa"/>
            <w:bottom w:w="0" w:type="dxa"/>
            <w:right w:w="108" w:type="dxa"/>
          </w:tblCellMar>
        </w:tblPrEx>
        <w:trPr>
          <w:trHeight w:val="579"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rPr>
              <w:t>项目</w:t>
            </w:r>
            <w:r>
              <w:rPr>
                <w:rFonts w:hint="default" w:ascii="Times New Roman" w:hAnsi="Times New Roman" w:eastAsia="仿宋_GB2312" w:cs="Times New Roman"/>
                <w:color w:val="000000"/>
                <w:sz w:val="22"/>
                <w:szCs w:val="22"/>
                <w:lang w:val="en-US" w:eastAsia="zh-CN"/>
              </w:rPr>
              <w:t>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0" w:firstLineChars="200"/>
              <w:jc w:val="center"/>
              <w:textAlignment w:val="auto"/>
              <w:rPr>
                <w:rFonts w:hint="default" w:ascii="Times New Roman" w:hAnsi="Times New Roman" w:eastAsia="仿宋_GB2312" w:cs="Times New Roman"/>
                <w:color w:val="000000"/>
                <w:sz w:val="22"/>
                <w:szCs w:val="22"/>
                <w:lang w:val="en-US" w:eastAsia="zh-CN"/>
              </w:rPr>
            </w:pPr>
            <w:r>
              <w:rPr>
                <w:rFonts w:hint="default" w:ascii="Times New Roman" w:hAnsi="Times New Roman" w:eastAsia="仿宋_GB2312" w:cs="Times New Roman"/>
                <w:color w:val="000000"/>
                <w:sz w:val="22"/>
                <w:szCs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2" w:firstLineChars="200"/>
              <w:jc w:val="center"/>
              <w:textAlignment w:val="auto"/>
              <w:rPr>
                <w:rFonts w:hint="default" w:ascii="Times New Roman" w:hAnsi="Times New Roman" w:eastAsia="仿宋_GB2312" w:cs="Times New Roman"/>
                <w:b/>
                <w:bCs/>
                <w:color w:val="000000"/>
                <w:sz w:val="22"/>
                <w:szCs w:val="22"/>
              </w:rPr>
            </w:pPr>
            <w:r>
              <w:rPr>
                <w:rFonts w:hint="default" w:ascii="Times New Roman" w:hAnsi="Times New Roman" w:eastAsia="仿宋_GB2312" w:cs="Times New Roman"/>
                <w:b/>
                <w:bCs/>
                <w:color w:val="000000"/>
                <w:sz w:val="22"/>
                <w:szCs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2" w:firstLineChars="200"/>
              <w:jc w:val="center"/>
              <w:textAlignment w:val="auto"/>
              <w:rPr>
                <w:rFonts w:hint="default" w:ascii="Times New Roman" w:hAnsi="Times New Roman" w:eastAsia="仿宋_GB2312" w:cs="Times New Roman"/>
                <w:b/>
                <w:bCs/>
                <w:color w:val="000000"/>
                <w:sz w:val="22"/>
                <w:szCs w:val="22"/>
                <w:lang w:val="en-US" w:eastAsia="zh-CN"/>
              </w:rPr>
            </w:pPr>
            <w:r>
              <w:rPr>
                <w:rFonts w:hint="default" w:ascii="Times New Roman" w:hAnsi="Times New Roman" w:eastAsia="仿宋_GB2312" w:cs="Times New Roman"/>
                <w:b/>
                <w:bCs/>
                <w:color w:val="000000"/>
                <w:sz w:val="22"/>
                <w:szCs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80" w:lineRule="exact"/>
              <w:ind w:left="0" w:firstLine="442" w:firstLineChars="200"/>
              <w:jc w:val="center"/>
              <w:textAlignment w:val="auto"/>
              <w:rPr>
                <w:rFonts w:hint="default" w:ascii="Times New Roman" w:hAnsi="Times New Roman" w:eastAsia="仿宋_GB2312" w:cs="Times New Roman"/>
                <w:b/>
                <w:bCs/>
                <w:color w:val="000000"/>
                <w:sz w:val="22"/>
                <w:szCs w:val="22"/>
                <w:lang w:val="en-US" w:eastAsia="zh-CN"/>
              </w:rPr>
            </w:pPr>
            <w:r>
              <w:rPr>
                <w:rFonts w:hint="default" w:ascii="Times New Roman" w:hAnsi="Times New Roman" w:eastAsia="仿宋_GB2312" w:cs="Times New Roman"/>
                <w:b/>
                <w:bCs/>
                <w:color w:val="000000"/>
                <w:sz w:val="22"/>
                <w:szCs w:val="22"/>
                <w:lang w:val="en-US" w:eastAsia="zh-CN"/>
              </w:rPr>
              <w:t>98.57</w:t>
            </w:r>
          </w:p>
        </w:tc>
      </w:tr>
    </w:tbl>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四、绩效评价指标分析</w:t>
      </w:r>
    </w:p>
    <w:p>
      <w:pPr>
        <w:pStyle w:val="10"/>
        <w:keepNext w:val="0"/>
        <w:keepLines w:val="0"/>
        <w:pageBreakBefore w:val="0"/>
        <w:kinsoku/>
        <w:wordWrap/>
        <w:overflowPunct/>
        <w:topLinePunct w:val="0"/>
        <w:autoSpaceDE/>
        <w:autoSpaceDN/>
        <w:bidi w:val="0"/>
        <w:adjustRightInd/>
        <w:snapToGrid/>
        <w:spacing w:before="0" w:after="0" w:line="580" w:lineRule="exact"/>
        <w:ind w:left="0" w:firstLine="643"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（一）项目决策情况</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0"/>
        <w:keepNext w:val="0"/>
        <w:keepLines w:val="0"/>
        <w:pageBreakBefore w:val="0"/>
        <w:numPr>
          <w:ilvl w:val="0"/>
          <w:numId w:val="5"/>
        </w:numPr>
        <w:kinsoku/>
        <w:wordWrap/>
        <w:overflowPunct/>
        <w:topLinePunct w:val="0"/>
        <w:autoSpaceDE/>
        <w:autoSpaceDN/>
        <w:bidi w:val="0"/>
        <w:adjustRightInd/>
        <w:snapToGrid/>
        <w:spacing w:before="0" w:after="0" w:line="580" w:lineRule="exact"/>
        <w:ind w:left="0" w:firstLine="643" w:firstLineChars="200"/>
        <w:jc w:val="both"/>
        <w:textAlignment w:val="auto"/>
        <w:rPr>
          <w:rFonts w:hint="default" w:ascii="Times New Roman" w:hAnsi="Times New Roman" w:eastAsia="仿宋_GB2312" w:cs="Times New Roman"/>
        </w:rPr>
      </w:pPr>
      <w:r>
        <w:rPr>
          <w:rFonts w:hint="default" w:ascii="Times New Roman" w:hAnsi="Times New Roman" w:eastAsia="仿宋_GB2312" w:cs="Times New Roman"/>
        </w:rPr>
        <w:t>项目过程情况</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和组织实施两方面的内容，有5个三级指标构成，权重分值为20分，实际得分20分，得分率为100%。</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ascii="Times New Roman" w:hAnsi="Times New Roman" w:eastAsia="仿宋_GB2312" w:cs="Times New Roman"/>
          <w:b w:val="0"/>
          <w:bCs w:val="0"/>
          <w:kern w:val="2"/>
          <w:sz w:val="32"/>
          <w:szCs w:val="32"/>
          <w:lang w:val="en-US" w:eastAsia="zh-CN" w:bidi="ar-SA"/>
        </w:rPr>
        <w:t>39.99</w:t>
      </w:r>
      <w:r>
        <w:rPr>
          <w:rFonts w:hint="default" w:ascii="Times New Roman" w:hAnsi="Times New Roman" w:eastAsia="仿宋_GB2312" w:cs="Times New Roman"/>
          <w:sz w:val="32"/>
          <w:szCs w:val="32"/>
          <w:highlight w:val="none"/>
          <w:lang w:val="en-US" w:eastAsia="zh-CN"/>
        </w:rPr>
        <w:t>万元，财政资金及时足额到位，到位率100%，预算资金按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39.99</w:t>
      </w:r>
      <w:r>
        <w:rPr>
          <w:rFonts w:hint="default" w:ascii="Times New Roman" w:hAnsi="Times New Roman" w:eastAsia="仿宋_GB2312" w:cs="Times New Roman"/>
          <w:sz w:val="32"/>
          <w:szCs w:val="32"/>
          <w:highlight w:val="none"/>
          <w:lang w:val="en-US" w:eastAsia="zh-CN"/>
        </w:rPr>
        <w:t xml:space="preserve">万元，预算执行率为100%。  </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eastAsia" w:eastAsia="仿宋_GB2312" w:cs="Times New Roman"/>
          <w:b w:val="0"/>
          <w:bCs w:val="0"/>
          <w:kern w:val="2"/>
          <w:sz w:val="32"/>
          <w:szCs w:val="32"/>
          <w:lang w:val="en-US" w:eastAsia="zh-CN" w:bidi="ar-SA"/>
        </w:rPr>
        <w:t>资金</w:t>
      </w:r>
      <w:r>
        <w:rPr>
          <w:rFonts w:hint="default" w:ascii="Times New Roman" w:hAnsi="Times New Roman" w:eastAsia="仿宋_GB2312" w:cs="Times New Roman"/>
          <w:b w:val="0"/>
          <w:bCs w:val="0"/>
          <w:kern w:val="2"/>
          <w:sz w:val="32"/>
          <w:szCs w:val="32"/>
          <w:lang w:val="en-US" w:eastAsia="zh-CN" w:bidi="ar-SA"/>
        </w:rPr>
        <w:t>管理制度支出项目资金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keepNext w:val="0"/>
        <w:keepLines w:val="0"/>
        <w:pageBreakBefore w:val="0"/>
        <w:numPr>
          <w:ilvl w:val="0"/>
          <w:numId w:val="5"/>
        </w:numPr>
        <w:kinsoku/>
        <w:wordWrap/>
        <w:overflowPunct/>
        <w:topLinePunct w:val="0"/>
        <w:autoSpaceDE/>
        <w:autoSpaceDN/>
        <w:bidi w:val="0"/>
        <w:adjustRightInd/>
        <w:snapToGrid/>
        <w:spacing w:after="0" w:line="580" w:lineRule="exact"/>
        <w:ind w:left="0" w:firstLine="643" w:firstLineChars="200"/>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8.57分，得分率为</w:t>
      </w:r>
      <w:r>
        <w:rPr>
          <w:rFonts w:hint="eastAsia" w:ascii="Times New Roman" w:hAnsi="Times New Roman" w:eastAsia="仿宋_GB2312" w:cs="Times New Roman"/>
          <w:sz w:val="32"/>
          <w:szCs w:val="32"/>
          <w:highlight w:val="none"/>
          <w:lang w:val="en-US" w:eastAsia="zh-CN"/>
        </w:rPr>
        <w:t>95.23</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指标1：科技之冬培训场次</w:t>
      </w:r>
      <w:r>
        <w:rPr>
          <w:rFonts w:hint="default" w:ascii="Times New Roman" w:hAnsi="Times New Roman" w:eastAsia="仿宋_GB2312" w:cs="Times New Roman"/>
          <w:sz w:val="32"/>
          <w:szCs w:val="32"/>
          <w:highlight w:val="none"/>
          <w:lang w:val="en-US" w:eastAsia="zh-CN"/>
        </w:rPr>
        <w:t>目标值&gt;=50场次，实际完成值57场次，完成率114%</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偏差原因：科技之冬方案预计开展培训场次50场以上，实际完成场次要视各区县实际培训需求确定，完成场次大于设定目标值；改进措施：细化科技之冬培训方案，确定场次。</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：科普融媒体宣传期数</w:t>
      </w:r>
      <w:r>
        <w:rPr>
          <w:rFonts w:hint="default" w:ascii="Times New Roman" w:hAnsi="Times New Roman" w:eastAsia="仿宋_GB2312" w:cs="Times New Roman"/>
          <w:sz w:val="32"/>
          <w:szCs w:val="32"/>
          <w:highlight w:val="none"/>
          <w:lang w:val="en-US" w:eastAsia="zh-CN"/>
        </w:rPr>
        <w:t>目标值&gt;=250期，实际完成值328期，完成率131.2%，偏差原因：指标设定是按照正常工作日每天宣传1期设定，一年约为250期，实际执行时根据宣传需要增加了一些宣传期数；改进措施：设置数量指标时应考虑实际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：购买全民科学素质读本数量</w:t>
      </w:r>
      <w:r>
        <w:rPr>
          <w:rFonts w:hint="default" w:ascii="Times New Roman" w:hAnsi="Times New Roman" w:eastAsia="仿宋_GB2312" w:cs="Times New Roman"/>
          <w:sz w:val="32"/>
          <w:szCs w:val="32"/>
          <w:highlight w:val="none"/>
          <w:lang w:val="en-US" w:eastAsia="zh-CN"/>
        </w:rPr>
        <w:t>目标值=5万本，实际完成值0.6944万本，完成率13.88%，偏差原因：自治区科协原定每本读本成本2元，实际成本约14元；改进措施：设置数量指标时应考虑实际情况。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：奖补科普基地及特色学校数量</w:t>
      </w:r>
      <w:r>
        <w:rPr>
          <w:rFonts w:hint="default" w:ascii="Times New Roman" w:hAnsi="Times New Roman" w:eastAsia="仿宋_GB2312" w:cs="Times New Roman"/>
          <w:sz w:val="32"/>
          <w:szCs w:val="32"/>
          <w:highlight w:val="none"/>
          <w:lang w:val="en-US" w:eastAsia="zh-CN"/>
        </w:rPr>
        <w:t>目标值=1个，实际完成值1个，完成率100%。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：全国科普日宣传活动举办场次</w:t>
      </w:r>
      <w:r>
        <w:rPr>
          <w:rFonts w:hint="default" w:ascii="Times New Roman" w:hAnsi="Times New Roman" w:eastAsia="仿宋_GB2312" w:cs="Times New Roman"/>
          <w:sz w:val="32"/>
          <w:szCs w:val="32"/>
          <w:highlight w:val="none"/>
          <w:lang w:val="en-US" w:eastAsia="zh-CN"/>
        </w:rPr>
        <w:t>目标值&gt;=1场，实际完成值1场，完成率100%。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：全国科普日宣传活动参与人次</w:t>
      </w:r>
      <w:r>
        <w:rPr>
          <w:rFonts w:hint="default" w:ascii="Times New Roman" w:hAnsi="Times New Roman" w:eastAsia="仿宋_GB2312" w:cs="Times New Roman"/>
          <w:sz w:val="32"/>
          <w:szCs w:val="32"/>
          <w:highlight w:val="none"/>
          <w:lang w:val="en-US" w:eastAsia="zh-CN"/>
        </w:rPr>
        <w:t>目标值&gt;=300人，实际完成值500人，完成率166.66%，偏差原因：全国科普日</w:t>
      </w:r>
      <w:r>
        <w:rPr>
          <w:rFonts w:hint="eastAsia" w:ascii="Times New Roman" w:hAnsi="Times New Roman" w:eastAsia="仿宋_GB2312" w:cs="Times New Roman"/>
          <w:sz w:val="32"/>
          <w:szCs w:val="32"/>
          <w:highlight w:val="none"/>
          <w:lang w:val="en-US" w:eastAsia="zh-CN"/>
        </w:rPr>
        <w:t>活动</w:t>
      </w:r>
      <w:r>
        <w:rPr>
          <w:rFonts w:hint="default" w:ascii="Times New Roman" w:hAnsi="Times New Roman" w:eastAsia="仿宋_GB2312" w:cs="Times New Roman"/>
          <w:sz w:val="32"/>
          <w:szCs w:val="32"/>
          <w:highlight w:val="none"/>
          <w:lang w:val="en-US" w:eastAsia="zh-CN"/>
        </w:rPr>
        <w:t>参与人数为参照上年实际人数设定的预估值，本年度因人员可以正常聚集，以及活动策划较好，实际参与人数大于上年度；改进措施：设计绩效目标值时应考虑到各方面原因，准确设定目标。</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指标1：全民科学素质读本购买合格率（%）目标值&gt;=95%，实际完成值100%，完成率105%，偏差原因：项目已按要求全部圆满完成，偏差在</w:t>
      </w:r>
      <w:r>
        <w:rPr>
          <w:rFonts w:hint="eastAsia" w:ascii="Times New Roman" w:hAnsi="Times New Roman" w:eastAsia="仿宋_GB2312" w:cs="Times New Roman"/>
          <w:sz w:val="32"/>
          <w:szCs w:val="32"/>
          <w:highlight w:val="none"/>
          <w:lang w:val="en-US" w:eastAsia="zh-CN"/>
        </w:rPr>
        <w:t>合理</w:t>
      </w:r>
      <w:r>
        <w:rPr>
          <w:rFonts w:hint="default" w:ascii="Times New Roman" w:hAnsi="Times New Roman" w:eastAsia="仿宋_GB2312" w:cs="Times New Roman"/>
          <w:sz w:val="32"/>
          <w:szCs w:val="32"/>
          <w:highlight w:val="none"/>
          <w:lang w:val="en-US" w:eastAsia="zh-CN"/>
        </w:rPr>
        <w:t>范围内。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指标2：各类科普宣传覆盖率（%）目标值&gt;=3%，实际完成值3%，完成率100%。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指标3：科技之冬培训出勤率目标值&gt;=95%，实际完成值100%，完成率105%，偏差原因：指标设置参考历史数据进行设置，项目已按要求全部圆满完成，偏差在合理范围内。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fldChar w:fldCharType="begin"/>
      </w:r>
      <w:r>
        <w:rPr>
          <w:rFonts w:hint="default" w:ascii="Times New Roman" w:hAnsi="Times New Roman" w:eastAsia="仿宋_GB2312" w:cs="Times New Roman"/>
          <w:sz w:val="32"/>
          <w:szCs w:val="32"/>
          <w:highlight w:val="none"/>
          <w:lang w:val="en-US" w:eastAsia="zh-CN"/>
        </w:rPr>
        <w:instrText xml:space="preserve"> = 3 \* GB3 </w:instrText>
      </w:r>
      <w:r>
        <w:rPr>
          <w:rFonts w:hint="default" w:ascii="Times New Roman" w:hAnsi="Times New Roman" w:eastAsia="仿宋_GB2312" w:cs="Times New Roman"/>
          <w:sz w:val="32"/>
          <w:szCs w:val="32"/>
          <w:highlight w:val="none"/>
          <w:lang w:val="en-US" w:eastAsia="zh-CN"/>
        </w:rPr>
        <w:fldChar w:fldCharType="separate"/>
      </w:r>
      <w:r>
        <w:rPr>
          <w:rFonts w:hint="default" w:ascii="Times New Roman" w:hAnsi="Times New Roman" w:eastAsia="仿宋_GB2312" w:cs="Times New Roman"/>
          <w:sz w:val="32"/>
          <w:szCs w:val="32"/>
          <w:highlight w:val="none"/>
          <w:lang w:val="en-US" w:eastAsia="zh-CN"/>
        </w:rPr>
        <w:t>③</w:t>
      </w:r>
      <w:r>
        <w:rPr>
          <w:rFonts w:hint="default" w:ascii="Times New Roman" w:hAnsi="Times New Roman" w:eastAsia="仿宋_GB2312" w:cs="Times New Roman"/>
          <w:sz w:val="32"/>
          <w:szCs w:val="32"/>
          <w:highlight w:val="none"/>
          <w:lang w:val="en-US" w:eastAsia="zh-CN"/>
        </w:rPr>
        <w:fldChar w:fldCharType="end"/>
      </w:r>
      <w:r>
        <w:rPr>
          <w:rFonts w:hint="default" w:ascii="Times New Roman" w:hAnsi="Times New Roman" w:eastAsia="仿宋_GB2312" w:cs="Times New Roman"/>
          <w:sz w:val="32"/>
          <w:szCs w:val="32"/>
          <w:highlight w:val="none"/>
          <w:lang w:val="en-US" w:eastAsia="zh-CN"/>
        </w:rPr>
        <w:t>时效指标：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指标1：科技之冬培训按期开展及时率（%）目标值&gt;=95%，实际完成值100%，完成率105%，偏差原因：指标设置参考历史数据进行设置，项目已按要求全部圆满完成，偏差在合理范围内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指标2：全国科普日宣传活动按期开展及时率（%）目标值&gt;=95%，实际完成值100%，完成率105%，偏差原因：指标设置参考历史数据进行设置，项目已按要求全部圆满完成，偏差在合理范围内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指标3：科普融媒体宣传按期开展及时率（%）目标值&gt;=95%，实际完成值100%，完成率105%，偏差原因：指标设置参考历史数据进行设置，项目已按要求全部圆满完成，偏差在合理范围内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指标4：全民科学素质读本购买及时率（%）目标值&gt;=95%，实际完成值100%，完成率105%，偏差原因：指标设置参考历史数据进行设置，项目已按要求全部圆满完成，偏差在合理范围内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highlight w:val="none"/>
          <w:lang w:val="en-US" w:eastAsia="zh-CN"/>
        </w:rPr>
        <w:t>指标5：奖补科普阵地及特色学校及时率（%）目标值&gt;=95%，实际完成值100%，完成率105%，偏差原因：指标设置参考历史数据进行设置，项目已按要求全部圆满完成，偏差在合理范围内</w:t>
      </w:r>
    </w:p>
    <w:p>
      <w:pPr>
        <w:pStyle w:val="12"/>
        <w:keepNext w:val="0"/>
        <w:keepLines w:val="0"/>
        <w:pageBreakBefore w:val="0"/>
        <w:numPr>
          <w:ilvl w:val="0"/>
          <w:numId w:val="0"/>
        </w:numPr>
        <w:kinsoku/>
        <w:wordWrap/>
        <w:overflowPunct/>
        <w:topLinePunct w:val="0"/>
        <w:autoSpaceDE/>
        <w:autoSpaceDN/>
        <w:bidi w:val="0"/>
        <w:adjustRightInd/>
        <w:snapToGrid/>
        <w:spacing w:after="0" w:line="580" w:lineRule="exact"/>
        <w:ind w:left="0"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由1个三级指标构成，权重分为10分，实际得分10分，得分率为100%。具体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lang w:val="en-US" w:eastAsia="zh-CN"/>
        </w:rPr>
        <w:t>经济成本指标：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指标1：科技之冬培训目标值&lt;=10万元，实际完成值10万元，完成率100%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指标2：全国科普日宣传活动目标值&lt;=2万元，实际完成值1.991万元，完成率99.55%，偏差原因：实际使用成本低于目标成本，资金节约。改进措施：设置成本指标时应考虑实际情况</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指标3：奖补科普基地及特色学校目标值&lt;=3万元，实际完成值3万元，完成率100%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指标4：科普融媒体宣传目标值&lt;=15万元，实际完成值15万元，完成率100%</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5：全民科学素质读本目标值&lt;=10万元，实际完成值9.99936万元，完成率99.99%，偏差原因：自治区科协原定每本读本成本2元，购买5万本，实际成本变更，剩余6.4元不够购买1本；改进措施：设置成本指标时应该考虑实际情况</w:t>
      </w:r>
    </w:p>
    <w:p>
      <w:pPr>
        <w:pStyle w:val="12"/>
        <w:keepNext w:val="0"/>
        <w:keepLines w:val="0"/>
        <w:pageBreakBefore w:val="0"/>
        <w:numPr>
          <w:ilvl w:val="0"/>
          <w:numId w:val="0"/>
        </w:numPr>
        <w:kinsoku/>
        <w:wordWrap/>
        <w:overflowPunct/>
        <w:topLinePunct w:val="0"/>
        <w:autoSpaceDE/>
        <w:autoSpaceDN/>
        <w:bidi w:val="0"/>
        <w:adjustRightInd/>
        <w:snapToGrid/>
        <w:spacing w:after="0" w:line="580" w:lineRule="exact"/>
        <w:ind w:left="0"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项目效益类指标包括项目实施效益和满意度两方面的内容，由2个三级指标构成，权重分为20分，实际得分20分，得分率为100%。具体</w:t>
      </w:r>
      <w:r>
        <w:rPr>
          <w:rFonts w:hint="default" w:ascii="Times New Roman" w:hAnsi="Times New Roman" w:eastAsia="仿宋_GB2312" w:cs="Times New Roman"/>
          <w:sz w:val="32"/>
          <w:szCs w:val="32"/>
          <w:lang w:val="en-US" w:eastAsia="zh-CN"/>
        </w:rPr>
        <w:t>效益指标及满意度指标完成情况如下：</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社会效益指标：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公民科学素质比例不断提升目标值不断提升，实际完成值不断提升，完成率100%</w:t>
      </w:r>
    </w:p>
    <w:p>
      <w:pPr>
        <w:keepNext w:val="0"/>
        <w:keepLines w:val="0"/>
        <w:pageBreakBefore w:val="0"/>
        <w:shd w:val="clear"/>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公众满意度（%）目标值&gt;=90%，实际完成值100%，完成率111%，偏差原因：指标设置参考历史数据进行设置，年初无法精确估算指标值，后期影响因素较大；改进措施：下年度将满意度指标调高一定百分比</w:t>
      </w:r>
    </w:p>
    <w:p>
      <w:pPr>
        <w:keepNext w:val="0"/>
        <w:keepLines w:val="0"/>
        <w:pageBreakBefore w:val="0"/>
        <w:kinsoku/>
        <w:wordWrap/>
        <w:overflowPunct/>
        <w:topLinePunct w:val="0"/>
        <w:autoSpaceDE/>
        <w:autoSpaceDN/>
        <w:bidi w:val="0"/>
        <w:adjustRightInd/>
        <w:snapToGrid/>
        <w:spacing w:line="580" w:lineRule="exact"/>
        <w:ind w:left="0" w:firstLine="640" w:firstLineChars="200"/>
        <w:textAlignment w:val="auto"/>
        <w:rPr>
          <w:rStyle w:val="18"/>
          <w:rFonts w:hint="default" w:ascii="Times New Roman" w:hAnsi="Times New Roman" w:eastAsia="黑体"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80" w:lineRule="exact"/>
        <w:ind w:left="0"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keepNext w:val="0"/>
        <w:keepLines w:val="0"/>
        <w:pageBreakBefore w:val="0"/>
        <w:kinsoku/>
        <w:wordWrap/>
        <w:overflowPunct/>
        <w:topLinePunct w:val="0"/>
        <w:autoSpaceDE/>
        <w:autoSpaceDN/>
        <w:bidi w:val="0"/>
        <w:spacing w:line="580" w:lineRule="exact"/>
        <w:ind w:left="0"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keepNext w:val="0"/>
        <w:keepLines w:val="0"/>
        <w:pageBreakBefore w:val="0"/>
        <w:kinsoku/>
        <w:wordWrap/>
        <w:overflowPunct/>
        <w:topLinePunct w:val="0"/>
        <w:autoSpaceDE/>
        <w:autoSpaceDN/>
        <w:bidi w:val="0"/>
        <w:spacing w:before="0" w:after="0" w:line="580" w:lineRule="exact"/>
        <w:ind w:left="0"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rPr>
      </w:pPr>
      <w:r>
        <w:rPr>
          <w:rFonts w:hint="default" w:ascii="Times New Roman" w:hAnsi="Times New Roman" w:eastAsia="仿宋_GB2312" w:cs="Times New Roman"/>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default" w:ascii="Times New Roman" w:hAnsi="Times New Roman" w:eastAsia="仿宋_GB2312" w:cs="Times New Roman"/>
          <w:sz w:val="32"/>
          <w:szCs w:val="32"/>
          <w:highlight w:val="none"/>
          <w:lang w:val="en-US" w:eastAsia="zh-CN"/>
        </w:rPr>
        <w:t>用、挪用项目资金；项目资金使用落实责任人，压实工作</w:t>
      </w:r>
      <w:r>
        <w:rPr>
          <w:rFonts w:hint="eastAsia" w:eastAsia="仿宋_GB2312" w:cs="Times New Roman"/>
          <w:sz w:val="32"/>
          <w:szCs w:val="32"/>
          <w:highlight w:val="none"/>
          <w:lang w:val="en-US" w:eastAsia="zh-CN"/>
        </w:rPr>
        <w:t>责任</w:t>
      </w:r>
      <w:bookmarkStart w:id="5" w:name="_GoBack"/>
      <w:bookmarkEnd w:id="5"/>
      <w:r>
        <w:rPr>
          <w:rFonts w:hint="default" w:ascii="Times New Roman" w:hAnsi="Times New Roman" w:eastAsia="仿宋_GB2312" w:cs="Times New Roman"/>
          <w:sz w:val="32"/>
          <w:szCs w:val="32"/>
          <w:highlight w:val="none"/>
          <w:lang w:val="en-US" w:eastAsia="zh-CN"/>
        </w:rPr>
        <w:t>，使用必须按要求和规范进行。</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kern w:val="2"/>
          <w:sz w:val="32"/>
          <w:szCs w:val="32"/>
          <w:u w:val="none" w:color="auto"/>
          <w:lang w:val="en-US" w:eastAsia="zh-CN" w:bidi="ar-SA"/>
        </w:rPr>
        <w:t>今年以来，市科协以围绕科学普及为中心开展各项工作，结合实际向群众推广科学技术的应用、倡导科学方法、传播科学思想、弘扬科学精神。做好“线上+线下”相结合，营造科普宣</w:t>
      </w:r>
      <w:r>
        <w:rPr>
          <w:rFonts w:hint="default" w:ascii="Times New Roman" w:hAnsi="Times New Roman" w:eastAsia="仿宋_GB2312" w:cs="Times New Roman"/>
          <w:b w:val="0"/>
          <w:bCs w:val="0"/>
          <w:color w:val="auto"/>
          <w:sz w:val="32"/>
          <w:szCs w:val="32"/>
          <w:u w:val="none" w:color="auto"/>
          <w:lang w:val="en-US" w:eastAsia="zh-CN"/>
        </w:rPr>
        <w:t>传氛围，广泛组织各级科协力量，积极参与各项科普活动。</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3" w:firstLineChars="200"/>
        <w:jc w:val="both"/>
        <w:textAlignment w:val="baseline"/>
        <w:outlineLvl w:val="9"/>
        <w:rPr>
          <w:rFonts w:hint="default" w:ascii="Times New Roman" w:hAnsi="Times New Roman" w:eastAsia="楷体" w:cs="Times New Roman"/>
          <w:b/>
          <w:bCs/>
          <w:color w:val="auto"/>
          <w:sz w:val="32"/>
          <w:szCs w:val="32"/>
          <w:u w:val="none" w:color="auto"/>
          <w:lang w:val="en-US" w:eastAsia="zh-CN"/>
        </w:rPr>
      </w:pPr>
      <w:r>
        <w:rPr>
          <w:rFonts w:hint="default" w:ascii="Times New Roman" w:hAnsi="Times New Roman" w:eastAsia="楷体" w:cs="Times New Roman"/>
          <w:b/>
          <w:bCs/>
          <w:color w:val="auto"/>
          <w:sz w:val="32"/>
          <w:szCs w:val="32"/>
          <w:u w:val="none" w:color="auto"/>
          <w:lang w:val="en-US" w:eastAsia="zh-CN"/>
        </w:rPr>
        <w:t>（二）存在的问题及原因分析</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结合实际建立绩效工作考核制度，加大全局对全面实施预算绩效管理</w:t>
      </w:r>
      <w:r>
        <w:rPr>
          <w:rFonts w:hint="eastAsia" w:ascii="Times New Roman" w:hAnsi="Times New Roman" w:eastAsia="仿宋_GB2312" w:cs="Times New Roman"/>
          <w:b w:val="0"/>
          <w:bCs w:val="0"/>
          <w:color w:val="auto"/>
          <w:sz w:val="32"/>
          <w:szCs w:val="32"/>
          <w:u w:val="none" w:color="auto"/>
          <w:lang w:val="en-US" w:eastAsia="zh-CN"/>
        </w:rPr>
        <w:t>和</w:t>
      </w:r>
      <w:r>
        <w:rPr>
          <w:rFonts w:hint="default" w:ascii="Times New Roman" w:hAnsi="Times New Roman" w:eastAsia="仿宋_GB2312" w:cs="Times New Roman"/>
          <w:b w:val="0"/>
          <w:bCs w:val="0"/>
          <w:color w:val="auto"/>
          <w:sz w:val="32"/>
          <w:szCs w:val="32"/>
          <w:u w:val="none" w:color="auto"/>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黑体" w:cs="Times New Roman"/>
          <w:b w:val="0"/>
          <w:bCs w:val="0"/>
          <w:color w:val="auto"/>
          <w:sz w:val="32"/>
          <w:szCs w:val="32"/>
          <w:u w:val="none" w:color="auto"/>
          <w:lang w:val="en-US" w:eastAsia="zh-CN"/>
        </w:rPr>
      </w:pPr>
      <w:r>
        <w:rPr>
          <w:rFonts w:hint="default" w:ascii="Times New Roman" w:hAnsi="Times New Roman" w:eastAsia="黑体" w:cs="Times New Roman"/>
          <w:b w:val="0"/>
          <w:bCs w:val="0"/>
          <w:color w:val="auto"/>
          <w:sz w:val="32"/>
          <w:szCs w:val="32"/>
          <w:u w:val="none" w:color="auto"/>
          <w:lang w:val="en-US" w:eastAsia="zh-CN"/>
        </w:rPr>
        <w:t>六、有关建议</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1.多进行有关绩效管理工作方面的培训。积极组织第三方开展绩效管理工作培训，进一步夯实业务基础，提高我单位绩效人员水平。</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黑体" w:cs="Times New Roman"/>
          <w:b w:val="0"/>
          <w:bCs w:val="0"/>
          <w:color w:val="auto"/>
          <w:sz w:val="32"/>
          <w:szCs w:val="32"/>
          <w:u w:val="none" w:color="auto"/>
          <w:lang w:val="en-US" w:eastAsia="zh-CN"/>
        </w:rPr>
      </w:pPr>
      <w:r>
        <w:rPr>
          <w:rFonts w:hint="default" w:ascii="Times New Roman" w:hAnsi="Times New Roman" w:eastAsia="黑体" w:cs="Times New Roman"/>
          <w:b w:val="0"/>
          <w:bCs w:val="0"/>
          <w:color w:val="auto"/>
          <w:sz w:val="32"/>
          <w:szCs w:val="32"/>
          <w:u w:val="none" w:color="auto"/>
          <w:lang w:val="en-US" w:eastAsia="zh-CN"/>
        </w:rPr>
        <w:t>七</w:t>
      </w:r>
      <w:r>
        <w:rPr>
          <w:rFonts w:hint="default" w:ascii="Times New Roman" w:hAnsi="Times New Roman" w:eastAsia="黑体" w:cs="Times New Roman"/>
          <w:b w:val="0"/>
          <w:bCs w:val="0"/>
          <w:color w:val="auto"/>
          <w:sz w:val="32"/>
          <w:szCs w:val="32"/>
          <w:u w:val="none" w:color="auto"/>
          <w:lang w:val="en-US" w:eastAsia="zh-Hans"/>
        </w:rPr>
        <w:t>、</w:t>
      </w:r>
      <w:r>
        <w:rPr>
          <w:rFonts w:hint="default" w:ascii="Times New Roman" w:hAnsi="Times New Roman" w:eastAsia="黑体" w:cs="Times New Roman"/>
          <w:b w:val="0"/>
          <w:bCs w:val="0"/>
          <w:color w:val="auto"/>
          <w:sz w:val="32"/>
          <w:szCs w:val="32"/>
          <w:u w:val="none" w:color="auto"/>
          <w:lang w:val="en-US" w:eastAsia="zh-CN"/>
        </w:rPr>
        <w:t>其他需</w:t>
      </w:r>
      <w:bookmarkStart w:id="2" w:name="page8"/>
      <w:bookmarkEnd w:id="2"/>
      <w:r>
        <w:rPr>
          <w:rFonts w:hint="default" w:ascii="Times New Roman" w:hAnsi="Times New Roman" w:eastAsia="黑体" w:cs="Times New Roman"/>
          <w:b w:val="0"/>
          <w:bCs w:val="0"/>
          <w:color w:val="auto"/>
          <w:sz w:val="32"/>
          <w:szCs w:val="32"/>
          <w:u w:val="none" w:color="auto"/>
          <w:lang w:val="en-US" w:eastAsia="zh-CN"/>
        </w:rPr>
        <w:t>要说明的问题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1、该项目在财政的指导和帮助下，项目在资金申请前置条件的落实上，发挥了积极的“花钱必问效，无效必问责”的项目绩效管理和实施的理念引导；</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80" w:lineRule="exact"/>
        <w:ind w:left="0" w:leftChars="0" w:right="0" w:rightChars="0" w:firstLine="640" w:firstLineChars="200"/>
        <w:jc w:val="both"/>
        <w:textAlignment w:val="baseline"/>
        <w:outlineLvl w:val="9"/>
        <w:rPr>
          <w:rFonts w:hint="default" w:ascii="Times New Roman" w:hAnsi="Times New Roman" w:eastAsia="仿宋_GB2312" w:cs="Times New Roman"/>
          <w:b w:val="0"/>
          <w:bCs w:val="0"/>
          <w:color w:val="auto"/>
          <w:sz w:val="32"/>
          <w:szCs w:val="32"/>
          <w:u w:val="none" w:color="auto"/>
          <w:lang w:val="en-US" w:eastAsia="zh-CN"/>
        </w:rPr>
      </w:pPr>
      <w:r>
        <w:rPr>
          <w:rFonts w:hint="default" w:ascii="Times New Roman" w:hAnsi="Times New Roman" w:eastAsia="仿宋_GB2312" w:cs="Times New Roman"/>
          <w:b w:val="0"/>
          <w:bCs w:val="0"/>
          <w:color w:val="auto"/>
          <w:sz w:val="32"/>
          <w:szCs w:val="32"/>
          <w:u w:val="none" w:color="auto"/>
          <w:lang w:val="en-US" w:eastAsia="zh-CN"/>
        </w:rPr>
        <w:t>2、项目在实施的过程中进行了绩效的全过程管理，资金使用流程严谨合规，确保资金用途显效、高效</w:t>
      </w:r>
      <w:r>
        <w:rPr>
          <w:rFonts w:hint="eastAsia" w:eastAsia="仿宋_GB2312" w:cs="Times New Roman"/>
          <w:b w:val="0"/>
          <w:bCs w:val="0"/>
          <w:color w:val="auto"/>
          <w:sz w:val="32"/>
          <w:szCs w:val="32"/>
          <w:u w:val="none" w:color="auto"/>
          <w:lang w:val="en-US" w:eastAsia="zh-CN"/>
        </w:rPr>
        <w:t>。</w:t>
      </w:r>
    </w:p>
    <w:p>
      <w:pPr>
        <w:pStyle w:val="2"/>
        <w:rPr>
          <w:rFonts w:hint="default" w:ascii="Times New Roman" w:hAnsi="Times New Roman" w:eastAsia="仿宋_GB2312" w:cs="Times New Roman"/>
          <w:lang w:val="en-US" w:eastAsia="zh-CN"/>
        </w:rPr>
        <w:sectPr>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eastAsia="仿宋_GB2312" w:cs="Times New Roman"/>
          <w:b/>
          <w:bCs w:val="0"/>
          <w:sz w:val="32"/>
          <w:szCs w:val="32"/>
        </w:rPr>
      </w:pPr>
      <w:r>
        <w:rPr>
          <w:rFonts w:hint="default" w:ascii="Times New Roman" w:hAnsi="Times New Roman" w:eastAsia="仿宋_GB2312" w:cs="Times New Roman"/>
          <w:b/>
          <w:bCs w:val="0"/>
          <w:sz w:val="32"/>
          <w:szCs w:val="32"/>
        </w:rPr>
        <w:t>附件1</w:t>
      </w:r>
    </w:p>
    <w:p>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ascii="Times New Roman" w:hAnsi="Times New Roman" w:eastAsia="仿宋_GB2312" w:cs="Times New Roman"/>
          <w:b/>
          <w:bCs/>
          <w:color w:val="auto"/>
          <w:sz w:val="32"/>
          <w:szCs w:val="32"/>
        </w:rPr>
        <w:t>提前下达2023年中央“基层科普行动计划”资金项目绩效评价指标体系及综合评分表</w:t>
      </w:r>
      <w:bookmarkEnd w:id="3"/>
      <w:bookmarkEnd w:id="4"/>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w:t>
            </w:r>
            <w:r>
              <w:rPr>
                <w:rFonts w:hint="eastAsia" w:ascii="Times New Roman" w:hAnsi="Times New Roman" w:eastAsia="仿宋_GB2312" w:cs="Times New Roman"/>
                <w:color w:val="000000"/>
                <w:kern w:val="0"/>
                <w:sz w:val="22"/>
                <w:szCs w:val="22"/>
                <w:lang w:eastAsia="zh-CN"/>
              </w:rPr>
              <w:t>数量</w:t>
            </w:r>
            <w:r>
              <w:rPr>
                <w:rFonts w:hint="default" w:ascii="Times New Roman" w:hAnsi="Times New Roman" w:eastAsia="仿宋_GB2312" w:cs="Times New Roman"/>
                <w:color w:val="000000"/>
                <w:kern w:val="0"/>
                <w:sz w:val="22"/>
                <w:szCs w:val="22"/>
              </w:rPr>
              <w:t>：项目绩效目标确定的在一定时期（本年度或项目期）内计划产出的产品或提供的服务数量。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8.57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bl>
    <w:p>
      <w:pPr>
        <w:rPr>
          <w:rFonts w:hint="default" w:ascii="Times New Roman" w:hAnsi="Times New Roman" w:eastAsia="仿宋_GB2312"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8086143-1A0D-478D-82D8-C7A41B722E2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0396C97F-6829-4488-A411-456E77700B40}"/>
  </w:font>
  <w:font w:name="楷体">
    <w:panose1 w:val="02010609060101010101"/>
    <w:charset w:val="86"/>
    <w:family w:val="modern"/>
    <w:pitch w:val="default"/>
    <w:sig w:usb0="800002BF" w:usb1="38CF7CFA" w:usb2="00000016" w:usb3="00000000" w:csb0="00040001" w:csb1="00000000"/>
    <w:embedRegular r:id="rId3" w:fontKey="{5670FA6E-F3B7-49F3-8FD6-63829BF27B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6F7242"/>
    <w:rsid w:val="007B168A"/>
    <w:rsid w:val="008B2CFE"/>
    <w:rsid w:val="00F26FF6"/>
    <w:rsid w:val="0176587A"/>
    <w:rsid w:val="048C0C43"/>
    <w:rsid w:val="06E15F8D"/>
    <w:rsid w:val="07397B77"/>
    <w:rsid w:val="0B7F36AA"/>
    <w:rsid w:val="0EAB2592"/>
    <w:rsid w:val="13471461"/>
    <w:rsid w:val="13B90F01"/>
    <w:rsid w:val="181066D2"/>
    <w:rsid w:val="1C671E73"/>
    <w:rsid w:val="1E4A469C"/>
    <w:rsid w:val="274F0D9D"/>
    <w:rsid w:val="30A752A2"/>
    <w:rsid w:val="37D30293"/>
    <w:rsid w:val="381F1881"/>
    <w:rsid w:val="38CA40DD"/>
    <w:rsid w:val="395F2B56"/>
    <w:rsid w:val="3BECE841"/>
    <w:rsid w:val="3DE77067"/>
    <w:rsid w:val="3F3C7A12"/>
    <w:rsid w:val="3FF7797D"/>
    <w:rsid w:val="41383010"/>
    <w:rsid w:val="447B120C"/>
    <w:rsid w:val="45F12DF0"/>
    <w:rsid w:val="460E39A2"/>
    <w:rsid w:val="4A185268"/>
    <w:rsid w:val="4B72754B"/>
    <w:rsid w:val="55AE2BBA"/>
    <w:rsid w:val="5B4516CD"/>
    <w:rsid w:val="5BFF6039"/>
    <w:rsid w:val="5CEC7901"/>
    <w:rsid w:val="5D435C2E"/>
    <w:rsid w:val="5D76A616"/>
    <w:rsid w:val="5D7F20B9"/>
    <w:rsid w:val="5DAC7D0E"/>
    <w:rsid w:val="5F98B5AF"/>
    <w:rsid w:val="5FFE8511"/>
    <w:rsid w:val="5FFEACE2"/>
    <w:rsid w:val="643EE26D"/>
    <w:rsid w:val="64CF659A"/>
    <w:rsid w:val="651B5F9F"/>
    <w:rsid w:val="654F1AD9"/>
    <w:rsid w:val="6F5C41AC"/>
    <w:rsid w:val="6FAF6C78"/>
    <w:rsid w:val="71150B3E"/>
    <w:rsid w:val="71AF4FEB"/>
    <w:rsid w:val="7317C656"/>
    <w:rsid w:val="734ED73F"/>
    <w:rsid w:val="772B5869"/>
    <w:rsid w:val="77FD8BE9"/>
    <w:rsid w:val="79A9BD3F"/>
    <w:rsid w:val="7A535224"/>
    <w:rsid w:val="7AB80DF3"/>
    <w:rsid w:val="7B3600DE"/>
    <w:rsid w:val="7BFFFDD0"/>
    <w:rsid w:val="7C336E5F"/>
    <w:rsid w:val="7D625770"/>
    <w:rsid w:val="7D7A5F86"/>
    <w:rsid w:val="7F37BB4E"/>
    <w:rsid w:val="7FAC5F9B"/>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10886</Words>
  <Characters>11363</Characters>
  <Lines>58</Lines>
  <Paragraphs>16</Paragraphs>
  <TotalTime>36</TotalTime>
  <ScaleCrop>false</ScaleCrop>
  <LinksUpToDate>false</LinksUpToDate>
  <CharactersWithSpaces>11387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2024-09-30T02:38:33Z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074FA3F9072D4602B7C8452BEB7D1F25_13</vt:lpwstr>
  </property>
  <property fmtid="{D5CDD505-2E9C-101B-9397-08002B2CF9AE}" pid="4" name="KSOTemplateDocerSaveRecord">
    <vt:lpwstr>eyJoZGlkIjoiZWFmZWVlYjIwYWI4MTRjY2Y4NTFmNjIxZmY5Y2Q2NjIiLCJ1c2VySWQiOiIzMTIxMzIzMDMifQ==</vt:lpwstr>
  </property>
</Properties>
</file>