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r>
        <w:rPr>
          <w:rFonts w:hint="default" w:ascii="Times New Roman" w:hAnsi="Times New Roman" w:eastAsia="华文中宋" w:cs="Times New Roman"/>
          <w:b/>
          <w:kern w:val="0"/>
          <w:sz w:val="52"/>
          <w:szCs w:val="52"/>
        </w:rPr>
        <w:t xml:space="preserve"> </w:t>
      </w: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color w:val="auto"/>
          <w:kern w:val="0"/>
          <w:sz w:val="52"/>
          <w:szCs w:val="52"/>
        </w:rPr>
      </w:pPr>
    </w:p>
    <w:p>
      <w:pPr>
        <w:spacing w:line="540" w:lineRule="exact"/>
        <w:jc w:val="center"/>
        <w:rPr>
          <w:rFonts w:hint="default" w:ascii="Times New Roman" w:hAnsi="Times New Roman" w:eastAsia="华文中宋" w:cs="Times New Roman"/>
          <w:b/>
          <w:color w:val="auto"/>
          <w:kern w:val="0"/>
          <w:sz w:val="52"/>
          <w:szCs w:val="52"/>
        </w:rPr>
      </w:pPr>
    </w:p>
    <w:p>
      <w:pPr>
        <w:spacing w:line="540" w:lineRule="exact"/>
        <w:jc w:val="center"/>
        <w:rPr>
          <w:rFonts w:hint="eastAsia" w:ascii="黑体" w:hAnsi="黑体" w:eastAsia="黑体" w:cs="黑体"/>
          <w:color w:val="auto"/>
          <w:kern w:val="0"/>
          <w:sz w:val="48"/>
          <w:szCs w:val="48"/>
        </w:rPr>
      </w:pPr>
      <w:r>
        <w:rPr>
          <w:rFonts w:hint="eastAsia" w:ascii="黑体" w:hAnsi="黑体" w:eastAsia="黑体" w:cs="黑体"/>
          <w:color w:val="auto"/>
          <w:kern w:val="0"/>
          <w:sz w:val="48"/>
          <w:szCs w:val="48"/>
        </w:rPr>
        <w:t>关于提前下达2023年支持学前教育发展资金项目支出绩效评价报告</w:t>
      </w:r>
    </w:p>
    <w:p>
      <w:pPr>
        <w:spacing w:line="540" w:lineRule="exact"/>
        <w:jc w:val="center"/>
        <w:rPr>
          <w:rFonts w:hint="eastAsia" w:ascii="黑体" w:hAnsi="黑体" w:eastAsia="黑体" w:cs="黑体"/>
          <w:color w:val="auto"/>
          <w:kern w:val="0"/>
          <w:sz w:val="48"/>
          <w:szCs w:val="48"/>
        </w:rPr>
      </w:pPr>
      <w:bookmarkStart w:id="5" w:name="_GoBack"/>
      <w:bookmarkEnd w:id="5"/>
    </w:p>
    <w:p>
      <w:pPr>
        <w:spacing w:line="540" w:lineRule="exact"/>
        <w:jc w:val="center"/>
        <w:rPr>
          <w:rFonts w:hint="default" w:ascii="Times New Roman" w:hAnsi="Times New Roman" w:eastAsia="仿宋_GB2312" w:cs="Times New Roman"/>
          <w:color w:val="auto"/>
          <w:kern w:val="0"/>
          <w:sz w:val="36"/>
          <w:szCs w:val="36"/>
        </w:rPr>
      </w:pPr>
      <w:r>
        <w:rPr>
          <w:rFonts w:hint="default" w:ascii="Times New Roman" w:hAnsi="Times New Roman" w:eastAsia="仿宋_GB2312" w:cs="Times New Roman"/>
          <w:color w:val="auto"/>
          <w:kern w:val="0"/>
          <w:sz w:val="36"/>
          <w:szCs w:val="36"/>
        </w:rPr>
        <w:t>（ 2023年度）</w:t>
      </w:r>
    </w:p>
    <w:p>
      <w:pPr>
        <w:spacing w:line="540" w:lineRule="exact"/>
        <w:jc w:val="center"/>
        <w:rPr>
          <w:rFonts w:hint="default" w:ascii="Times New Roman" w:hAnsi="Times New Roman" w:eastAsia="仿宋_GB2312" w:cs="Times New Roman"/>
          <w:color w:val="auto"/>
          <w:kern w:val="0"/>
          <w:sz w:val="30"/>
          <w:szCs w:val="30"/>
        </w:rPr>
      </w:pPr>
    </w:p>
    <w:p>
      <w:pPr>
        <w:spacing w:line="540" w:lineRule="exact"/>
        <w:jc w:val="center"/>
        <w:rPr>
          <w:rFonts w:hint="default" w:ascii="Times New Roman" w:hAnsi="Times New Roman" w:eastAsia="仿宋_GB2312" w:cs="Times New Roman"/>
          <w:color w:val="auto"/>
          <w:kern w:val="0"/>
          <w:sz w:val="30"/>
          <w:szCs w:val="30"/>
        </w:rPr>
      </w:pPr>
    </w:p>
    <w:p>
      <w:pPr>
        <w:spacing w:line="540" w:lineRule="exact"/>
        <w:jc w:val="center"/>
        <w:rPr>
          <w:rFonts w:hint="default" w:ascii="Times New Roman" w:hAnsi="Times New Roman" w:eastAsia="仿宋_GB2312" w:cs="Times New Roman"/>
          <w:color w:val="auto"/>
          <w:kern w:val="0"/>
          <w:sz w:val="30"/>
          <w:szCs w:val="30"/>
        </w:rPr>
      </w:pPr>
    </w:p>
    <w:p>
      <w:pPr>
        <w:pStyle w:val="10"/>
        <w:rPr>
          <w:rFonts w:hint="default" w:ascii="Times New Roman" w:hAnsi="Times New Roman" w:cs="Times New Roman"/>
          <w:color w:val="auto"/>
        </w:rPr>
      </w:pPr>
    </w:p>
    <w:p>
      <w:pPr>
        <w:spacing w:line="540" w:lineRule="exact"/>
        <w:jc w:val="center"/>
        <w:rPr>
          <w:rFonts w:hint="default" w:ascii="Times New Roman" w:hAnsi="Times New Roman" w:eastAsia="仿宋_GB2312" w:cs="Times New Roman"/>
          <w:color w:val="auto"/>
          <w:kern w:val="0"/>
          <w:sz w:val="30"/>
          <w:szCs w:val="30"/>
        </w:rPr>
      </w:pPr>
    </w:p>
    <w:p>
      <w:pPr>
        <w:spacing w:line="540" w:lineRule="exact"/>
        <w:rPr>
          <w:rFonts w:hint="default" w:ascii="Times New Roman" w:hAnsi="Times New Roman" w:eastAsia="仿宋_GB2312" w:cs="Times New Roman"/>
          <w:color w:val="auto"/>
          <w:kern w:val="0"/>
          <w:sz w:val="30"/>
          <w:szCs w:val="30"/>
        </w:rPr>
      </w:pPr>
    </w:p>
    <w:p>
      <w:pPr>
        <w:spacing w:line="700" w:lineRule="exact"/>
        <w:ind w:left="3236" w:leftChars="684" w:hanging="1800" w:hangingChars="500"/>
        <w:jc w:val="left"/>
        <w:rPr>
          <w:rFonts w:hint="default" w:ascii="Times New Roman" w:hAnsi="Times New Roman" w:eastAsia="仿宋_GB2312" w:cs="Times New Roman"/>
          <w:color w:val="auto"/>
          <w:kern w:val="0"/>
          <w:sz w:val="36"/>
          <w:szCs w:val="36"/>
        </w:rPr>
      </w:pPr>
      <w:r>
        <w:rPr>
          <w:rFonts w:hint="default" w:ascii="Times New Roman" w:hAnsi="Times New Roman" w:eastAsia="仿宋_GB2312" w:cs="Times New Roman"/>
          <w:color w:val="auto"/>
          <w:kern w:val="0"/>
          <w:sz w:val="36"/>
          <w:szCs w:val="36"/>
        </w:rPr>
        <w:t>项目名称：关于提前下达2023年支持学前教育发展资金</w:t>
      </w:r>
    </w:p>
    <w:p>
      <w:pPr>
        <w:spacing w:line="700" w:lineRule="exact"/>
        <w:ind w:firstLine="1440" w:firstLineChars="400"/>
        <w:jc w:val="left"/>
        <w:rPr>
          <w:rFonts w:hint="default" w:ascii="Times New Roman" w:hAnsi="Times New Roman" w:eastAsia="仿宋_GB2312" w:cs="Times New Roman"/>
          <w:color w:val="auto"/>
          <w:kern w:val="0"/>
          <w:sz w:val="36"/>
          <w:szCs w:val="36"/>
        </w:rPr>
      </w:pPr>
      <w:r>
        <w:rPr>
          <w:rFonts w:hint="default" w:ascii="Times New Roman" w:hAnsi="Times New Roman" w:eastAsia="仿宋_GB2312" w:cs="Times New Roman"/>
          <w:color w:val="auto"/>
          <w:kern w:val="0"/>
          <w:sz w:val="36"/>
          <w:szCs w:val="36"/>
        </w:rPr>
        <w:t>实施单位（公章）：哈密市中心幼儿园</w:t>
      </w:r>
    </w:p>
    <w:p>
      <w:pPr>
        <w:spacing w:line="700" w:lineRule="exact"/>
        <w:ind w:firstLine="1440" w:firstLineChars="400"/>
        <w:jc w:val="left"/>
        <w:rPr>
          <w:rFonts w:hint="default" w:ascii="Times New Roman" w:hAnsi="Times New Roman" w:eastAsia="仿宋_GB2312" w:cs="Times New Roman"/>
          <w:color w:val="auto"/>
          <w:kern w:val="0"/>
          <w:sz w:val="36"/>
          <w:szCs w:val="36"/>
        </w:rPr>
      </w:pPr>
      <w:r>
        <w:rPr>
          <w:rFonts w:hint="default" w:ascii="Times New Roman" w:hAnsi="Times New Roman" w:eastAsia="仿宋_GB2312" w:cs="Times New Roman"/>
          <w:color w:val="auto"/>
          <w:kern w:val="0"/>
          <w:sz w:val="36"/>
          <w:szCs w:val="36"/>
        </w:rPr>
        <w:t>主管部门（公章）：哈密市中心幼儿园</w:t>
      </w:r>
    </w:p>
    <w:p>
      <w:pPr>
        <w:spacing w:line="700" w:lineRule="exact"/>
        <w:ind w:firstLine="1440" w:firstLineChars="400"/>
        <w:jc w:val="left"/>
        <w:rPr>
          <w:rFonts w:hint="default" w:ascii="Times New Roman" w:hAnsi="Times New Roman" w:eastAsia="仿宋_GB2312" w:cs="Times New Roman"/>
          <w:color w:val="auto"/>
          <w:kern w:val="0"/>
          <w:sz w:val="36"/>
          <w:szCs w:val="36"/>
        </w:rPr>
      </w:pPr>
      <w:r>
        <w:rPr>
          <w:rFonts w:hint="default" w:ascii="Times New Roman" w:hAnsi="Times New Roman" w:eastAsia="仿宋_GB2312" w:cs="Times New Roman"/>
          <w:color w:val="auto"/>
          <w:kern w:val="0"/>
          <w:sz w:val="36"/>
          <w:szCs w:val="36"/>
        </w:rPr>
        <w:t>项目负责人（签章）：赵陆媛</w:t>
      </w:r>
    </w:p>
    <w:p>
      <w:pPr>
        <w:spacing w:line="700" w:lineRule="exact"/>
        <w:ind w:firstLine="1440" w:firstLineChars="400"/>
        <w:jc w:val="left"/>
        <w:rPr>
          <w:rFonts w:hint="default" w:ascii="Times New Roman" w:hAnsi="Times New Roman" w:eastAsia="仿宋_GB2312" w:cs="Times New Roman"/>
          <w:color w:val="auto"/>
          <w:kern w:val="0"/>
          <w:sz w:val="36"/>
          <w:szCs w:val="36"/>
        </w:rPr>
      </w:pPr>
      <w:r>
        <w:rPr>
          <w:rFonts w:hint="default" w:ascii="Times New Roman" w:hAnsi="Times New Roman" w:eastAsia="仿宋_GB2312" w:cs="Times New Roman"/>
          <w:color w:val="auto"/>
          <w:kern w:val="0"/>
          <w:sz w:val="36"/>
          <w:szCs w:val="36"/>
        </w:rPr>
        <w:t>填报时间：2024年3月27日</w:t>
      </w:r>
    </w:p>
    <w:p>
      <w:pPr>
        <w:spacing w:line="540" w:lineRule="exact"/>
        <w:jc w:val="center"/>
        <w:rPr>
          <w:rFonts w:hint="default" w:ascii="Times New Roman" w:hAnsi="Times New Roman" w:eastAsia="仿宋_GB2312" w:cs="Times New Roman"/>
          <w:color w:val="auto"/>
          <w:kern w:val="0"/>
          <w:sz w:val="30"/>
          <w:szCs w:val="30"/>
        </w:rPr>
      </w:pPr>
    </w:p>
    <w:p>
      <w:pPr>
        <w:spacing w:line="560" w:lineRule="exact"/>
        <w:rPr>
          <w:rFonts w:hint="default" w:ascii="Times New Roman" w:hAnsi="Times New Roman" w:eastAsia="黑体" w:cs="Times New Roman"/>
          <w:bCs/>
          <w:color w:val="auto"/>
          <w:sz w:val="32"/>
          <w:szCs w:val="32"/>
        </w:rPr>
        <w:sectPr>
          <w:footerReference r:id="rId3" w:type="default"/>
          <w:pgSz w:w="11906" w:h="16838"/>
          <w:pgMar w:top="1440" w:right="1558" w:bottom="1440" w:left="1800" w:header="851" w:footer="992" w:gutter="0"/>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楷体_GB2312" w:cs="Times New Roman"/>
          <w:b/>
          <w:bCs/>
          <w:color w:val="auto"/>
          <w:sz w:val="32"/>
          <w:szCs w:val="32"/>
        </w:rPr>
      </w:pPr>
      <w:r>
        <w:rPr>
          <w:rFonts w:hint="default" w:ascii="Times New Roman" w:hAnsi="Times New Roman" w:eastAsia="方正楷体_GB2312" w:cs="Times New Roman"/>
          <w:b/>
          <w:bCs/>
          <w:color w:val="auto"/>
          <w:sz w:val="32"/>
          <w:szCs w:val="32"/>
        </w:rPr>
        <w:t>（一）项目概况</w:t>
      </w:r>
    </w:p>
    <w:p>
      <w:pPr>
        <w:pStyle w:val="24"/>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1.项目背景</w:t>
      </w:r>
    </w:p>
    <w:p>
      <w:pPr>
        <w:pStyle w:val="2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期教育是终身学习的开端，是国民教育体系的重要组织部门。为进一步扩大普惠性学前教育资源，深化学前教育体制机制改革，逐步解决发展不平衡不充分问题，促进幼儿园学前教育事业科学规范发展，支持地方多种形式扩大普惠性学前教育资源、支持深化体制机制改革和支持健全幼儿资助制度。该项目资金用于改扩建公办幼儿园及改善办园条件，努力缓解“入园难”等问题，提高学前教育质量。</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2.项目主要内容</w:t>
      </w:r>
    </w:p>
    <w:p>
      <w:pPr>
        <w:pStyle w:val="2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rPr>
      </w:pPr>
      <w:r>
        <w:rPr>
          <w:rFonts w:hint="default" w:ascii="仿宋_GB2312" w:hAnsi="仿宋_GB2312" w:eastAsia="仿宋_GB2312" w:cs="仿宋_GB2312"/>
          <w:color w:val="auto"/>
          <w:sz w:val="32"/>
          <w:szCs w:val="32"/>
        </w:rPr>
        <w:t>2023年支持学前教育发展资金拨付我单位250万元，主要用于幼儿园设施设备购置和维修工程改造。该项目有效提升幼儿园创设环境，提高幼儿和家长的幸福指数，为幼儿提供一个舒适的生活学习环境。</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val="en-US" w:eastAsia="zh-CN"/>
        </w:rPr>
        <w:t>3.</w:t>
      </w:r>
      <w:r>
        <w:rPr>
          <w:rFonts w:hint="default" w:ascii="Times New Roman" w:hAnsi="Times New Roman" w:eastAsia="仿宋_GB2312" w:cs="Times New Roman"/>
          <w:b/>
          <w:bCs/>
          <w:color w:val="auto"/>
          <w:sz w:val="32"/>
          <w:szCs w:val="32"/>
        </w:rPr>
        <w:t>资金投入和使用情况</w:t>
      </w:r>
    </w:p>
    <w:p>
      <w:pPr>
        <w:pStyle w:val="2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rPr>
      </w:pPr>
      <w:r>
        <w:rPr>
          <w:rFonts w:hint="default" w:ascii="仿宋_GB2312" w:hAnsi="仿宋_GB2312" w:eastAsia="仿宋_GB2312" w:cs="仿宋_GB2312"/>
          <w:color w:val="auto"/>
          <w:sz w:val="32"/>
          <w:szCs w:val="32"/>
        </w:rPr>
        <w:t>该项目为幼儿园购置设施设备和维修工程改造，项目于2023年1月开始实施，主要由单位制定预算计划，教育主管部门审核。资金使用专款专用，加强对资金使用情况的管理与检查，自觉接受审计部门的监督，杜绝挤占、截留、挪用等现象，提高资金使用效率。此项目，按照事业单位会计制度执行，所有项目支出，严格按照财务制度报账，符合财务管理规定，财务账务处理及时规范。</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（1）资金投入情况</w:t>
      </w:r>
    </w:p>
    <w:p>
      <w:pPr>
        <w:pStyle w:val="24"/>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2023年支持学前教育发展资金项目总预算资金250万元，项目资金为250万元财政资金，项目资金到位数250万元，资金到位率100%。</w:t>
      </w:r>
    </w:p>
    <w:p>
      <w:pPr>
        <w:pStyle w:val="10"/>
        <w:keepNext w:val="0"/>
        <w:keepLines w:val="0"/>
        <w:pageBreakBefore w:val="0"/>
        <w:numPr>
          <w:ilvl w:val="0"/>
          <w:numId w:val="1"/>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资金使用情况</w:t>
      </w:r>
    </w:p>
    <w:p>
      <w:pPr>
        <w:keepNext w:val="0"/>
        <w:keepLines w:val="0"/>
        <w:pageBreakBefore w:val="0"/>
        <w:kinsoku/>
        <w:wordWrap/>
        <w:overflowPunct/>
        <w:topLinePunct w:val="0"/>
        <w:autoSpaceDE/>
        <w:autoSpaceDN/>
        <w:bidi w:val="0"/>
        <w:adjustRightInd/>
        <w:snapToGrid/>
        <w:spacing w:line="560" w:lineRule="exact"/>
        <w:ind w:firstLine="320" w:firstLineChars="100"/>
        <w:jc w:val="both"/>
        <w:textAlignment w:val="auto"/>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2"/>
          <w:szCs w:val="32"/>
        </w:rPr>
        <w:t xml:space="preserve"> </w:t>
      </w:r>
      <w:r>
        <w:rPr>
          <w:rFonts w:hint="eastAsia"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2023年支持学前教育发展资金项目年初预算数250万元，全年预算数为250万元，截止2023年12月31日全年执行数250万元，预算执行率为100%。项目资金主要用于支付</w:t>
      </w:r>
      <w:r>
        <w:rPr>
          <w:rFonts w:hint="default" w:ascii="Times New Roman" w:hAnsi="Times New Roman" w:eastAsia="仿宋GB2312" w:cs="Times New Roman"/>
          <w:color w:val="auto"/>
          <w:kern w:val="0"/>
          <w:sz w:val="32"/>
          <w:szCs w:val="32"/>
        </w:rPr>
        <w:t>幼儿园购置一体机、空调、饮水机等设施设备，购置消毒车、吊扇及防护网，校园广播系统、厨房设备更换等；维修工程主要为教室安装墙裙、户外塑胶场地改造等。</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color w:val="auto"/>
          <w:sz w:val="32"/>
          <w:szCs w:val="32"/>
        </w:rPr>
      </w:pPr>
      <w:r>
        <w:rPr>
          <w:rFonts w:hint="default" w:ascii="Times New Roman" w:hAnsi="Times New Roman" w:eastAsia="仿宋_GB2312" w:cs="Times New Roman"/>
          <w:b/>
          <w:bCs/>
          <w:color w:val="auto"/>
          <w:sz w:val="32"/>
          <w:szCs w:val="32"/>
        </w:rPr>
        <w:t>4.实施情况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在项目实施过程中，实行专款专用，加强对资金使用情况的管理与检查，审计、财政、教育局等部门的监督，杜绝挤占、截留、挪用现象发生，提高资金使用效益，严格按照上级有关文件精神，认真组织实施。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成立了以主要领导为组长，分管领导为副组长，后勤、财务等部门为成员的领导小组，负责项目实施计划审定；由后勤部门主要负责项目的实施，严格按照政府采购办理招标手续，财务室按照项目进度支付相关费用，形成了齐抓共管的工作氛围，确保了该项目的有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kern w:val="0"/>
          <w:sz w:val="32"/>
          <w:szCs w:val="32"/>
        </w:rPr>
        <w:t>为确保工程质量监管到位，聘请相关监理部门负责维修改造工程的全程监督管理，后勤部门深入施工现场，组织验收等并做好协调服务工作；设施设备购置由后勤及相关负责人、资产管理人员协同验收，确保设备验收合格率达到相关要求。</w:t>
      </w:r>
    </w:p>
    <w:p>
      <w:pPr>
        <w:pStyle w:val="2"/>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color w:val="auto"/>
          <w:kern w:val="0"/>
          <w:sz w:val="32"/>
          <w:szCs w:val="32"/>
        </w:rPr>
      </w:pPr>
      <w:r>
        <w:rPr>
          <w:rFonts w:hint="default" w:ascii="Times New Roman" w:hAnsi="Times New Roman" w:eastAsia="楷体" w:cs="Times New Roman"/>
          <w:b/>
          <w:bCs/>
          <w:color w:val="auto"/>
          <w:kern w:val="0"/>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color w:val="auto"/>
          <w:kern w:val="0"/>
          <w:sz w:val="32"/>
          <w:szCs w:val="32"/>
        </w:rPr>
      </w:pPr>
      <w:r>
        <w:rPr>
          <w:rFonts w:hint="default" w:ascii="仿宋_GB2312" w:hAnsi="仿宋_GB2312" w:eastAsia="仿宋_GB2312" w:cs="仿宋_GB2312"/>
          <w:b/>
          <w:bCs/>
          <w:color w:val="auto"/>
          <w:kern w:val="0"/>
          <w:sz w:val="32"/>
          <w:szCs w:val="32"/>
        </w:rPr>
        <w:t>1.总体目标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kern w:val="0"/>
          <w:sz w:val="32"/>
          <w:szCs w:val="32"/>
        </w:rPr>
      </w:pPr>
      <w:r>
        <w:rPr>
          <w:rFonts w:hint="default" w:ascii="仿宋_GB2312" w:hAnsi="仿宋_GB2312" w:eastAsia="仿宋_GB2312" w:cs="仿宋_GB2312"/>
          <w:color w:val="auto"/>
          <w:kern w:val="0"/>
          <w:sz w:val="32"/>
          <w:szCs w:val="32"/>
        </w:rPr>
        <w:t>2023年，支持学前教育发展资金250万元，主要用于幼儿园设施设备购置和维修工程改造，为幼儿提供更好的生活学习环境，坚持公益性普惠性办园基本方向，公办民办并举，多种形式多种渠道扩大普惠性学期教育资源，通过新建、改扩建公办幼儿园，支持公办幼儿园改善办园条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color w:val="auto"/>
          <w:kern w:val="0"/>
          <w:sz w:val="32"/>
          <w:szCs w:val="32"/>
        </w:rPr>
      </w:pPr>
      <w:r>
        <w:rPr>
          <w:rFonts w:hint="default" w:ascii="仿宋_GB2312" w:hAnsi="仿宋_GB2312" w:eastAsia="仿宋_GB2312" w:cs="仿宋_GB2312"/>
          <w:b/>
          <w:bCs/>
          <w:color w:val="auto"/>
          <w:kern w:val="0"/>
          <w:sz w:val="32"/>
          <w:szCs w:val="32"/>
          <w:lang w:val="en-US" w:eastAsia="zh-CN"/>
        </w:rPr>
        <w:t>2.</w:t>
      </w:r>
      <w:r>
        <w:rPr>
          <w:rFonts w:hint="default" w:ascii="仿宋_GB2312" w:hAnsi="仿宋_GB2312" w:eastAsia="仿宋_GB2312" w:cs="仿宋_GB2312"/>
          <w:b/>
          <w:bCs/>
          <w:color w:val="auto"/>
          <w:kern w:val="0"/>
          <w:sz w:val="32"/>
          <w:szCs w:val="32"/>
        </w:rPr>
        <w:t>阶段性目标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GB2312" w:cs="Times New Roman"/>
          <w:color w:val="auto"/>
          <w:kern w:val="0"/>
          <w:sz w:val="32"/>
          <w:szCs w:val="32"/>
        </w:rPr>
      </w:pPr>
      <w:r>
        <w:rPr>
          <w:rFonts w:hint="default" w:ascii="仿宋_GB2312" w:hAnsi="仿宋_GB2312" w:eastAsia="仿宋_GB2312" w:cs="仿宋_GB2312"/>
          <w:color w:val="auto"/>
          <w:kern w:val="0"/>
          <w:sz w:val="32"/>
          <w:szCs w:val="32"/>
        </w:rPr>
        <w:t>2023年，支持学前教育发展资金拨付250万元，设施设备购置第一阶段（第一季度），根据幼儿园保教实际需要，确定幼儿园需购置设施设备数量；第二阶段（第二季度）按照购</w:t>
      </w:r>
      <w:r>
        <w:rPr>
          <w:rFonts w:hint="default" w:ascii="Times New Roman" w:hAnsi="Times New Roman" w:eastAsia="仿宋GB2312" w:cs="Times New Roman"/>
          <w:color w:val="auto"/>
          <w:kern w:val="0"/>
          <w:sz w:val="32"/>
          <w:szCs w:val="32"/>
        </w:rPr>
        <w:t>置目录办理政府采购相关手续；第三阶段（第三季度）及时进行验收并支付相关费用。维修改造第一阶段（第一季度）：对幼儿园户外场地改造进行设计，开展工程造价咨询、工程监理等相关工作；第二阶段（第二季度）按照计划开展维修改造项目；第三阶段（第三季度）深入施工现场，组织验收，完成项目资金支付。该项目改善幼儿园的办园条件，为幼儿提供一个舒适良好的生活学习环境。</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（一）绩效评价目的、对象和范围</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color w:val="auto"/>
        </w:rPr>
        <w:t>1.绩效评价的目的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仿宋_GB2312" w:cs="Times New Roman"/>
          <w:color w:val="auto"/>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color w:val="auto"/>
        </w:rPr>
        <w:t>2.绩效评价的对象</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GB2312" w:cs="Times New Roman"/>
          <w:color w:val="auto"/>
          <w:kern w:val="0"/>
          <w:sz w:val="32"/>
          <w:szCs w:val="32"/>
        </w:rPr>
        <w:t>对象：对项目决策、项目过程、项目产出情况、项目效益情况等方面进行评价，包括项目立项、绩效目标、资金投入、资金管理、产出数量、产出质量、产出效率、产出成本、社会效益、群众满意度等。通过评价，客观反映出</w:t>
      </w:r>
      <w:r>
        <w:rPr>
          <w:rFonts w:hint="eastAsia" w:eastAsia="仿宋GB2312" w:cs="Times New Roman"/>
          <w:color w:val="auto"/>
          <w:kern w:val="0"/>
          <w:sz w:val="32"/>
          <w:szCs w:val="32"/>
          <w:lang w:val="en-US" w:eastAsia="zh-CN"/>
        </w:rPr>
        <w:t>该</w:t>
      </w:r>
      <w:r>
        <w:rPr>
          <w:rFonts w:hint="default" w:ascii="Times New Roman" w:hAnsi="Times New Roman" w:eastAsia="仿宋GB2312" w:cs="Times New Roman"/>
          <w:color w:val="auto"/>
          <w:kern w:val="0"/>
          <w:sz w:val="32"/>
          <w:szCs w:val="32"/>
        </w:rPr>
        <w:t>项目实施情况，以及该项目实施以来所产生的社会效益、经济效益、生态效益、可持续影响效益。</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3.绩效评价的范围 </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次评价从项目决策（包括绩效目标、决策过程）、项目管理（包括项目资金、项目实施）、项目产出（包括项目产出数量、产出质量、产出时效和产出成本）项目效益四个维度对2023年支持学前教育发展资金项目进行评价，评价核心为专项资金的支出完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cs="Times New Roman"/>
          <w:color w:val="auto"/>
        </w:rPr>
      </w:pPr>
      <w:r>
        <w:rPr>
          <w:rFonts w:hint="default" w:ascii="Times New Roman" w:hAnsi="Times New Roman" w:eastAsia="楷体_GB2312" w:cs="Times New Roman"/>
          <w:b/>
          <w:bCs/>
          <w:color w:val="auto"/>
          <w:sz w:val="32"/>
          <w:szCs w:val="32"/>
        </w:rPr>
        <w:t>（二）绩效评价原则、评价指标体系（详情见表1）、评价方法、评价标准。</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color w:val="auto"/>
        </w:rPr>
        <w:t>1.绩效评价原则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本次项目绩效评价遵循以下基本原则：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（1）科学公正。绩效评价应当运用科学合理的方法，按照规范的程序，对项目绩效进行客观、公正的反映。</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（4）公开透明。绩效评价结果应依法依规公开，并自觉接受社会监督。</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color w:val="auto"/>
        </w:rPr>
        <w:t>2.评价指标体系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确定各个指标相对于项目总体绩效的权重分值。在绩效评价指标体系中，项目决策权重为20分，项目过程权重为20分，项目产出权重为30分，项目成本权重10分，项目效益权重为20分。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color w:val="auto"/>
        </w:rPr>
      </w:pPr>
      <w:r>
        <w:rPr>
          <w:rFonts w:hint="default" w:ascii="Times New Roman" w:hAnsi="Times New Roman" w:eastAsia="仿宋_GB2312" w:cs="Times New Roman"/>
          <w:color w:val="auto"/>
        </w:rPr>
        <w:t>3.绩效评价方法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比较法：</w:t>
      </w:r>
      <w:r>
        <w:rPr>
          <w:rFonts w:hint="default" w:ascii="Times New Roman" w:hAnsi="Times New Roman" w:eastAsia="仿宋_GB2312" w:cs="Times New Roman"/>
          <w:color w:val="auto"/>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cs="Times New Roman"/>
          <w:color w:val="auto"/>
        </w:rPr>
      </w:pPr>
      <w:r>
        <w:rPr>
          <w:rFonts w:hint="default" w:ascii="Times New Roman" w:hAnsi="Times New Roman" w:eastAsia="仿宋_GB2312" w:cs="Times New Roman"/>
          <w:b/>
          <w:bCs/>
          <w:color w:val="auto"/>
          <w:sz w:val="32"/>
          <w:szCs w:val="32"/>
        </w:rPr>
        <w:t>因素分析法：</w:t>
      </w:r>
      <w:r>
        <w:rPr>
          <w:rFonts w:hint="default" w:ascii="Times New Roman" w:hAnsi="Times New Roman" w:eastAsia="仿宋_GB2312" w:cs="Times New Roman"/>
          <w:color w:val="auto"/>
          <w:sz w:val="32"/>
          <w:szCs w:val="32"/>
        </w:rPr>
        <w:t>综合分析影响财政资金绩效目标实现以及实施效果的内部、外部因素，将影响预期投入和产出的各项因素罗列出来进行分析，计算投入产出比进行评价。</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4.评价标准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rPr>
      </w:pPr>
      <w:bookmarkStart w:id="0" w:name="_Toc17882"/>
      <w:bookmarkStart w:id="1" w:name="_Toc31464"/>
      <w:r>
        <w:rPr>
          <w:rFonts w:hint="default" w:ascii="Times New Roman" w:hAnsi="Times New Roman" w:eastAsia="仿宋_GB2312" w:cs="Times New Roman"/>
          <w:b/>
          <w:bCs/>
          <w:color w:val="auto"/>
          <w:sz w:val="32"/>
          <w:szCs w:val="32"/>
        </w:rPr>
        <w:t>计划标准：</w:t>
      </w:r>
      <w:r>
        <w:rPr>
          <w:rFonts w:hint="default" w:ascii="Times New Roman" w:hAnsi="Times New Roman" w:eastAsia="仿宋_GB2312" w:cs="Times New Roman"/>
          <w:color w:val="auto"/>
          <w:sz w:val="32"/>
          <w:szCs w:val="32"/>
        </w:rPr>
        <w:t>指以预先制定的目标、计划、预算、定额等作为评价标准。</w:t>
      </w:r>
      <w:bookmarkEnd w:id="0"/>
      <w:bookmarkEnd w:id="1"/>
    </w:p>
    <w:p>
      <w:pPr>
        <w:pStyle w:val="10"/>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auto"/>
          <w:spacing w:val="17"/>
        </w:rPr>
      </w:pPr>
      <w:r>
        <w:rPr>
          <w:rFonts w:hint="default" w:ascii="Times New Roman" w:hAnsi="Times New Roman" w:eastAsia="楷体" w:cs="Times New Roman"/>
          <w:color w:val="auto"/>
          <w:spacing w:val="17"/>
        </w:rPr>
        <w:t>绩效评价工作过程</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1.前期准备。</w:t>
      </w:r>
      <w:r>
        <w:rPr>
          <w:rFonts w:hint="default" w:ascii="Times New Roman" w:hAnsi="Times New Roman" w:eastAsia="仿宋_GB2312" w:cs="Times New Roman"/>
          <w:color w:val="auto"/>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2.组织实施。</w:t>
      </w:r>
      <w:r>
        <w:rPr>
          <w:rFonts w:hint="default" w:ascii="Times New Roman" w:hAnsi="Times New Roman" w:eastAsia="仿宋_GB2312" w:cs="Times New Roman"/>
          <w:color w:val="auto"/>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3.分析评价。</w:t>
      </w:r>
      <w:r>
        <w:rPr>
          <w:rFonts w:hint="default" w:ascii="Times New Roman" w:hAnsi="Times New Roman" w:eastAsia="仿宋_GB2312" w:cs="Times New Roman"/>
          <w:color w:val="auto"/>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综合评价情况及评价结论（附相关评分表）</w:t>
      </w:r>
    </w:p>
    <w:p>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（一）评价情况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kern w:val="28"/>
          <w:sz w:val="32"/>
          <w:szCs w:val="32"/>
        </w:rPr>
      </w:pPr>
      <w:r>
        <w:rPr>
          <w:rFonts w:hint="default" w:ascii="Times New Roman" w:hAnsi="Times New Roman" w:eastAsia="仿宋_GB2312" w:cs="Times New Roman"/>
          <w:color w:val="auto"/>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（二）评价结论</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rPr>
        <w:t>运用绩效评价组制定的评价指标体系以及财政部《项目支出绩效评价管理办法》（财预〔2020〕10号）文件的评分标准，通过数据采集、问卷调查及访谈等方式，对本项目进行客观评价，最终评分结果：总得分为100分。其中，项目决策类指标权重为20分，得分为20分，得分率为 100%。项目过程类指标权重为20分，得分为20分，得分率为100%。项目产出类指标权重为</w:t>
      </w:r>
      <w:r>
        <w:rPr>
          <w:rFonts w:hint="default" w:ascii="Times New Roman" w:hAnsi="Times New Roman" w:eastAsia="仿宋_GB2312" w:cs="Times New Roman"/>
          <w:b w:val="0"/>
          <w:bCs w:val="0"/>
          <w:color w:val="auto"/>
          <w:lang w:val="en-US" w:eastAsia="zh-CN"/>
        </w:rPr>
        <w:t>3</w:t>
      </w:r>
      <w:r>
        <w:rPr>
          <w:rFonts w:hint="default" w:ascii="Times New Roman" w:hAnsi="Times New Roman" w:eastAsia="仿宋_GB2312" w:cs="Times New Roman"/>
          <w:b w:val="0"/>
          <w:bCs w:val="0"/>
          <w:color w:val="auto"/>
        </w:rPr>
        <w:t>0分，得分为</w:t>
      </w:r>
      <w:r>
        <w:rPr>
          <w:rFonts w:hint="default" w:ascii="Times New Roman" w:hAnsi="Times New Roman" w:eastAsia="仿宋_GB2312" w:cs="Times New Roman"/>
          <w:b w:val="0"/>
          <w:bCs w:val="0"/>
          <w:color w:val="auto"/>
          <w:lang w:val="en-US" w:eastAsia="zh-CN"/>
        </w:rPr>
        <w:t>3</w:t>
      </w:r>
      <w:r>
        <w:rPr>
          <w:rFonts w:hint="default" w:ascii="Times New Roman" w:hAnsi="Times New Roman" w:eastAsia="仿宋_GB2312" w:cs="Times New Roman"/>
          <w:b w:val="0"/>
          <w:bCs w:val="0"/>
          <w:color w:val="auto"/>
        </w:rPr>
        <w:t>0分，得分率为100%。项目成本类指标权重为10分，得分为10分，得分率为100%。项目效益类指标权重为20分，得分为20分，得分率为100%。具体打分情况详见：附件1综合评分表。</w:t>
      </w:r>
    </w:p>
    <w:p>
      <w:pPr>
        <w:pStyle w:val="10"/>
        <w:spacing w:before="0" w:after="0" w:line="560" w:lineRule="exact"/>
        <w:rPr>
          <w:rFonts w:hint="default" w:ascii="Times New Roman" w:hAnsi="Times New Roman" w:eastAsia="仿宋_GB2312" w:cs="Times New Roman"/>
          <w:color w:val="auto"/>
          <w:sz w:val="30"/>
          <w:szCs w:val="30"/>
        </w:rPr>
      </w:pPr>
      <w:r>
        <w:rPr>
          <w:rFonts w:hint="default" w:ascii="Times New Roman" w:hAnsi="Times New Roman" w:eastAsia="仿宋_GB2312" w:cs="Times New Roman"/>
          <w:color w:val="auto"/>
          <w:sz w:val="30"/>
          <w:szCs w:val="30"/>
        </w:rPr>
        <w:t>表1综合评分表</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240" w:lineRule="auto"/>
              <w:jc w:val="center"/>
              <w:rPr>
                <w:rFonts w:hint="default" w:ascii="Times New Roman" w:hAnsi="Times New Roman" w:cs="Times New Roman"/>
                <w:b/>
                <w:bCs/>
                <w:color w:val="auto"/>
                <w:sz w:val="22"/>
              </w:rPr>
            </w:pPr>
            <w:r>
              <w:rPr>
                <w:rFonts w:hint="default" w:ascii="Times New Roman" w:hAnsi="Times New Roman" w:cs="Times New Roman"/>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240" w:lineRule="auto"/>
              <w:jc w:val="center"/>
              <w:rPr>
                <w:rFonts w:hint="default" w:ascii="Times New Roman" w:hAnsi="Times New Roman" w:cs="Times New Roman"/>
                <w:b/>
                <w:bCs/>
                <w:color w:val="auto"/>
                <w:sz w:val="22"/>
              </w:rPr>
            </w:pPr>
            <w:r>
              <w:rPr>
                <w:rFonts w:hint="default" w:ascii="Times New Roman" w:hAnsi="Times New Roman" w:cs="Times New Roman"/>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240" w:lineRule="auto"/>
              <w:jc w:val="center"/>
              <w:rPr>
                <w:rFonts w:hint="default" w:ascii="Times New Roman" w:hAnsi="Times New Roman" w:cs="Times New Roman"/>
                <w:b/>
                <w:bCs/>
                <w:color w:val="auto"/>
                <w:sz w:val="22"/>
              </w:rPr>
            </w:pPr>
            <w:r>
              <w:rPr>
                <w:rFonts w:hint="default" w:ascii="Times New Roman" w:hAnsi="Times New Roman" w:cs="Times New Roman"/>
                <w:b/>
                <w:bCs/>
                <w:color w:val="auto"/>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eastAsia" w:cs="Times New Roman"/>
                <w:color w:val="auto"/>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eastAsia" w:cs="Times New Roman"/>
                <w:color w:val="auto"/>
                <w:sz w:val="22"/>
                <w:lang w:val="en-US" w:eastAsia="zh-CN"/>
              </w:rPr>
              <w:t>30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rPr>
                <w:rFonts w:hint="eastAsia" w:ascii="Times New Roman" w:hAnsi="Times New Roman" w:eastAsia="宋体" w:cs="Times New Roman"/>
                <w:color w:val="auto"/>
                <w:sz w:val="22"/>
                <w:lang w:eastAsia="zh-CN"/>
              </w:rPr>
            </w:pPr>
            <w:r>
              <w:rPr>
                <w:rFonts w:hint="eastAsia" w:cs="Times New Roman"/>
                <w:color w:val="auto"/>
                <w:sz w:val="22"/>
                <w:lang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cs="Times New Roman"/>
                <w:color w:val="auto"/>
                <w:sz w:val="22"/>
                <w:lang w:val="en-US" w:eastAsia="zh-CN"/>
              </w:rPr>
            </w:pPr>
            <w:r>
              <w:rPr>
                <w:rFonts w:hint="eastAsia" w:cs="Times New Roman"/>
                <w:color w:val="auto"/>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cs="Times New Roman"/>
                <w:color w:val="auto"/>
                <w:sz w:val="22"/>
                <w:lang w:val="en-US" w:eastAsia="zh-CN"/>
              </w:rPr>
            </w:pPr>
            <w:r>
              <w:rPr>
                <w:rFonts w:hint="eastAsia" w:cs="Times New Roman"/>
                <w:color w:val="auto"/>
                <w:sz w:val="22"/>
                <w:lang w:val="en-US" w:eastAsia="zh-CN"/>
              </w:rPr>
              <w:t>10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color w:val="auto"/>
                <w:sz w:val="22"/>
              </w:rPr>
            </w:pPr>
            <w:r>
              <w:rPr>
                <w:rFonts w:hint="default" w:ascii="Times New Roman" w:hAnsi="Times New Roman" w:cs="Times New Roman"/>
                <w:color w:val="auto"/>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b/>
                <w:bCs/>
                <w:color w:val="auto"/>
                <w:sz w:val="22"/>
              </w:rPr>
            </w:pPr>
            <w:r>
              <w:rPr>
                <w:rFonts w:hint="default" w:ascii="Times New Roman" w:hAnsi="Times New Roman" w:cs="Times New Roman"/>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b/>
                <w:bCs/>
                <w:color w:val="auto"/>
                <w:sz w:val="22"/>
              </w:rPr>
            </w:pPr>
            <w:r>
              <w:rPr>
                <w:rFonts w:hint="default" w:ascii="Times New Roman" w:hAnsi="Times New Roman" w:cs="Times New Roman"/>
                <w:b/>
                <w:bCs/>
                <w:color w:val="auto"/>
                <w:sz w:val="22"/>
              </w:rPr>
              <w:t>100</w:t>
            </w:r>
          </w:p>
        </w:tc>
        <w:tc>
          <w:tcPr>
            <w:tcW w:w="2278" w:type="dxa"/>
            <w:tcBorders>
              <w:top w:val="nil"/>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cs="Times New Roman"/>
                <w:b/>
                <w:bCs/>
                <w:color w:val="auto"/>
                <w:sz w:val="22"/>
              </w:rPr>
            </w:pPr>
            <w:r>
              <w:rPr>
                <w:rFonts w:hint="default" w:ascii="Times New Roman" w:hAnsi="Times New Roman" w:cs="Times New Roman"/>
                <w:b/>
                <w:bCs/>
                <w:color w:val="auto"/>
                <w:sz w:val="22"/>
              </w:rPr>
              <w:t>100</w:t>
            </w:r>
          </w:p>
        </w:tc>
      </w:tr>
    </w:tbl>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四、绩效评价指标分析</w:t>
      </w:r>
    </w:p>
    <w:p>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（一）项目决策情况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项目决策类指标包括项目立项、绩效目标和资金投入三方面的内容，由6个三级指标构成，权重分值为20分，实际得分100分，得分率为100%。</w:t>
      </w:r>
    </w:p>
    <w:p>
      <w:pPr>
        <w:pStyle w:val="19"/>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1.项目立项</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（1）立项依据充分性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（2）立项程序规范性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9"/>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2.绩效目标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（1）绩效目标合理性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（2）绩效指标明确性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3.资金投入</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（1）预算编制科学性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预算编制经过科学论证，提供充分的测算依据佐证资料，预算内容与项目内容相匹配。项目投资额与工作任务相匹配。</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（2）资金分配合理性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资金分配额度与项目单位实际工作内容相适应，资金分配额度合理，资金分配依据充分。</w:t>
      </w:r>
    </w:p>
    <w:p>
      <w:pPr>
        <w:pStyle w:val="10"/>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color w:val="auto"/>
        </w:rPr>
      </w:pPr>
      <w:r>
        <w:rPr>
          <w:rFonts w:hint="default" w:ascii="Times New Roman" w:hAnsi="Times New Roman" w:eastAsia="楷体" w:cs="Times New Roman"/>
          <w:color w:val="auto"/>
        </w:rPr>
        <w:t>项目过程情况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项目过程类指标包括资金管理和组织实施两方面的内容，有5个三级指标构成，权重分值为20分，实际得分100分，得分率为100%。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1.资金管理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（1）资金到位率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本项目总投资250万元，财政资金及时足额到位，到位率100%，预算资金按计划进度执行。</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（2）预算执行率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预算编制较为详细，项目资金支出总体能够按照预算执行，预算资金支出250万元，预算执行率为100%。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（3）资金使用合规性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严格按照</w:t>
      </w:r>
      <w:r>
        <w:rPr>
          <w:rFonts w:hint="eastAsia" w:eastAsia="仿宋_GB2312" w:cs="Times New Roman"/>
          <w:color w:val="auto"/>
          <w:sz w:val="32"/>
          <w:szCs w:val="32"/>
          <w:lang w:val="en-US" w:eastAsia="zh-CN"/>
        </w:rPr>
        <w:t>相关制度</w:t>
      </w:r>
      <w:r>
        <w:rPr>
          <w:rFonts w:hint="default" w:ascii="Times New Roman" w:hAnsi="Times New Roman" w:eastAsia="仿宋_GB2312" w:cs="Times New Roman"/>
          <w:color w:val="auto"/>
          <w:sz w:val="32"/>
          <w:szCs w:val="32"/>
        </w:rPr>
        <w:t>支出项目资金，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2.组织实施</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（1）管理制度健全性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（2）制度执行有效性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项目产出情况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项目产出类指标包括产出数量、产出质量、产出时效三方面的内容，由</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个三级指标构成，权重分为</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0分，实际得分</w:t>
      </w:r>
      <w:r>
        <w:rPr>
          <w:rFonts w:hint="eastAsia" w:eastAsia="仿宋_GB2312" w:cs="Times New Roman"/>
          <w:color w:val="auto"/>
          <w:sz w:val="32"/>
          <w:szCs w:val="32"/>
          <w:lang w:val="en-US" w:eastAsia="zh-CN"/>
        </w:rPr>
        <w:t>30</w:t>
      </w:r>
      <w:r>
        <w:rPr>
          <w:rFonts w:hint="default" w:ascii="Times New Roman" w:hAnsi="Times New Roman" w:eastAsia="仿宋_GB2312" w:cs="Times New Roman"/>
          <w:color w:val="auto"/>
          <w:sz w:val="32"/>
          <w:szCs w:val="32"/>
        </w:rPr>
        <w:t>分，得分率为100%。具体产出指标完成情况如下：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 1 \* GB3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color w:val="auto"/>
          <w:sz w:val="32"/>
          <w:szCs w:val="32"/>
        </w:rPr>
        <w:t>①</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auto"/>
          <w:sz w:val="32"/>
          <w:szCs w:val="32"/>
        </w:rPr>
        <w:t>数量指标：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指标1：设施设备购置数量，目标值</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sz w:val="32"/>
          <w:szCs w:val="32"/>
        </w:rPr>
        <w:t>29套，实际完成值=34套，完成率117%</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指标2：购置消毒车、吊扇数量，目标值</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sz w:val="32"/>
          <w:szCs w:val="32"/>
        </w:rPr>
        <w:t>36套，实际完成值=36套，完成率100%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指标3：维修改造工程数量，目标值</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sz w:val="32"/>
          <w:szCs w:val="32"/>
        </w:rPr>
        <w:t>6，实际完成值=6，完成率100%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 2 \* GB3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color w:val="auto"/>
          <w:sz w:val="32"/>
          <w:szCs w:val="32"/>
        </w:rPr>
        <w:t>②</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auto"/>
          <w:sz w:val="32"/>
          <w:szCs w:val="32"/>
        </w:rPr>
        <w:t>质量指标：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指标1：政府采购率，目标值</w:t>
      </w:r>
      <w:r>
        <w:rPr>
          <w:rFonts w:hint="default" w:ascii="Times New Roman" w:hAnsi="Times New Roman" w:eastAsia="仿宋_GB2312" w:cs="Times New Roman"/>
          <w:color w:val="auto"/>
          <w:kern w:val="0"/>
          <w:sz w:val="32"/>
          <w:szCs w:val="32"/>
        </w:rPr>
        <w:t>≥80%</w:t>
      </w:r>
      <w:r>
        <w:rPr>
          <w:rFonts w:hint="default" w:ascii="Times New Roman" w:hAnsi="Times New Roman" w:eastAsia="仿宋_GB2312" w:cs="Times New Roman"/>
          <w:color w:val="auto"/>
          <w:sz w:val="32"/>
          <w:szCs w:val="32"/>
        </w:rPr>
        <w:t>，实际完成值=</w:t>
      </w:r>
      <w:r>
        <w:rPr>
          <w:rFonts w:hint="default" w:ascii="Times New Roman" w:hAnsi="Times New Roman" w:eastAsia="仿宋_GB2312" w:cs="Times New Roman"/>
          <w:color w:val="auto"/>
          <w:kern w:val="0"/>
          <w:sz w:val="32"/>
          <w:szCs w:val="32"/>
        </w:rPr>
        <w:t>100%</w:t>
      </w:r>
      <w:r>
        <w:rPr>
          <w:rFonts w:hint="default" w:ascii="Times New Roman" w:hAnsi="Times New Roman" w:eastAsia="仿宋_GB2312" w:cs="Times New Roman"/>
          <w:color w:val="auto"/>
          <w:sz w:val="32"/>
          <w:szCs w:val="32"/>
        </w:rPr>
        <w:t>，完成率125%</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指标2：设备质量合格率，目标值</w:t>
      </w:r>
      <w:r>
        <w:rPr>
          <w:rFonts w:hint="default" w:ascii="Times New Roman" w:hAnsi="Times New Roman" w:eastAsia="仿宋_GB2312" w:cs="Times New Roman"/>
          <w:color w:val="auto"/>
          <w:kern w:val="0"/>
          <w:sz w:val="32"/>
          <w:szCs w:val="32"/>
        </w:rPr>
        <w:t>≥95%</w:t>
      </w:r>
      <w:r>
        <w:rPr>
          <w:rFonts w:hint="default" w:ascii="Times New Roman" w:hAnsi="Times New Roman" w:eastAsia="仿宋_GB2312" w:cs="Times New Roman"/>
          <w:color w:val="auto"/>
          <w:sz w:val="32"/>
          <w:szCs w:val="32"/>
        </w:rPr>
        <w:t>，实际完成值=</w:t>
      </w:r>
      <w:r>
        <w:rPr>
          <w:rFonts w:hint="default" w:ascii="Times New Roman" w:hAnsi="Times New Roman" w:eastAsia="仿宋_GB2312" w:cs="Times New Roman"/>
          <w:color w:val="auto"/>
          <w:kern w:val="0"/>
          <w:sz w:val="32"/>
          <w:szCs w:val="32"/>
        </w:rPr>
        <w:t>95%</w:t>
      </w:r>
      <w:r>
        <w:rPr>
          <w:rFonts w:hint="default" w:ascii="Times New Roman" w:hAnsi="Times New Roman" w:eastAsia="仿宋_GB2312" w:cs="Times New Roman"/>
          <w:color w:val="auto"/>
          <w:sz w:val="32"/>
          <w:szCs w:val="32"/>
        </w:rPr>
        <w:t>，完成率100%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指标3：维修项目验收竣工合格率，目标值</w:t>
      </w:r>
      <w:r>
        <w:rPr>
          <w:rFonts w:hint="default" w:ascii="Times New Roman" w:hAnsi="Times New Roman" w:eastAsia="仿宋GB2312" w:cs="Times New Roman"/>
          <w:color w:val="auto"/>
          <w:kern w:val="0"/>
          <w:sz w:val="30"/>
          <w:szCs w:val="30"/>
        </w:rPr>
        <w:t>≥95%</w:t>
      </w:r>
      <w:r>
        <w:rPr>
          <w:rFonts w:hint="default" w:ascii="Times New Roman" w:hAnsi="Times New Roman" w:eastAsia="仿宋_GB2312" w:cs="Times New Roman"/>
          <w:color w:val="auto"/>
          <w:sz w:val="32"/>
          <w:szCs w:val="32"/>
        </w:rPr>
        <w:t>，实际完成值</w:t>
      </w:r>
      <w:r>
        <w:rPr>
          <w:rFonts w:hint="default" w:ascii="Times New Roman" w:hAnsi="Times New Roman" w:cs="Times New Roman"/>
          <w:color w:val="auto"/>
          <w:sz w:val="32"/>
          <w:szCs w:val="32"/>
        </w:rPr>
        <w:t>=</w:t>
      </w:r>
      <w:r>
        <w:rPr>
          <w:rFonts w:hint="default" w:ascii="Times New Roman" w:hAnsi="Times New Roman" w:eastAsia="仿宋GB2312" w:cs="Times New Roman"/>
          <w:color w:val="auto"/>
          <w:kern w:val="0"/>
          <w:sz w:val="30"/>
          <w:szCs w:val="30"/>
        </w:rPr>
        <w:t>95%</w:t>
      </w:r>
      <w:r>
        <w:rPr>
          <w:rFonts w:hint="default" w:ascii="Times New Roman" w:hAnsi="Times New Roman" w:eastAsia="仿宋_GB2312" w:cs="Times New Roman"/>
          <w:color w:val="auto"/>
          <w:sz w:val="32"/>
          <w:szCs w:val="32"/>
        </w:rPr>
        <w:t>，完成率100%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指标4：设备验收合格率，目标值</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，实际完成值</w:t>
      </w:r>
      <w:r>
        <w:rPr>
          <w:rFonts w:hint="default" w:ascii="Times New Roman" w:hAnsi="Times New Roman" w:cs="Times New Roman"/>
          <w:color w:val="auto"/>
          <w:sz w:val="32"/>
          <w:szCs w:val="32"/>
        </w:rPr>
        <w:t>=</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指标5：项目资金支付率，目标值</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，实际完成值</w:t>
      </w:r>
      <w:r>
        <w:rPr>
          <w:rFonts w:hint="default" w:ascii="Times New Roman" w:hAnsi="Times New Roman" w:cs="Times New Roman"/>
          <w:color w:val="auto"/>
          <w:sz w:val="32"/>
          <w:szCs w:val="32"/>
        </w:rPr>
        <w:t>=</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 3 \* GB3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color w:val="auto"/>
          <w:sz w:val="32"/>
          <w:szCs w:val="32"/>
        </w:rPr>
        <w:t>③</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auto"/>
          <w:sz w:val="32"/>
          <w:szCs w:val="32"/>
        </w:rPr>
        <w:t>时效指标：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指标1：项目按计划完工时间，目标值</w:t>
      </w:r>
      <w:r>
        <w:rPr>
          <w:rFonts w:hint="default" w:ascii="Times New Roman" w:hAnsi="Times New Roman" w:eastAsia="仿宋GB2312" w:cs="Times New Roman"/>
          <w:color w:val="auto"/>
          <w:kern w:val="0"/>
          <w:sz w:val="30"/>
          <w:szCs w:val="30"/>
        </w:rPr>
        <w:t>≤12月</w:t>
      </w:r>
      <w:r>
        <w:rPr>
          <w:rFonts w:hint="default" w:ascii="Times New Roman" w:hAnsi="Times New Roman" w:eastAsia="仿宋_GB2312" w:cs="Times New Roman"/>
          <w:color w:val="auto"/>
          <w:sz w:val="32"/>
          <w:szCs w:val="32"/>
        </w:rPr>
        <w:t>，实际完成值</w:t>
      </w:r>
      <w:r>
        <w:rPr>
          <w:rFonts w:hint="default" w:ascii="Times New Roman" w:hAnsi="Times New Roman" w:cs="Times New Roman"/>
          <w:color w:val="auto"/>
          <w:sz w:val="32"/>
          <w:szCs w:val="32"/>
        </w:rPr>
        <w:t>=</w:t>
      </w:r>
      <w:r>
        <w:rPr>
          <w:rFonts w:hint="default" w:ascii="Times New Roman" w:hAnsi="Times New Roman" w:eastAsia="仿宋GB2312" w:cs="Times New Roman"/>
          <w:color w:val="auto"/>
          <w:kern w:val="0"/>
          <w:sz w:val="30"/>
          <w:szCs w:val="30"/>
        </w:rPr>
        <w:t>12月</w:t>
      </w:r>
      <w:r>
        <w:rPr>
          <w:rFonts w:hint="default" w:ascii="Times New Roman" w:hAnsi="Times New Roman" w:eastAsia="仿宋_GB2312" w:cs="Times New Roman"/>
          <w:color w:val="auto"/>
          <w:sz w:val="32"/>
          <w:szCs w:val="32"/>
        </w:rPr>
        <w:t>，完成率100%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指标2：维修项目完成及时率，目标值</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，实际完成值</w:t>
      </w:r>
      <w:r>
        <w:rPr>
          <w:rFonts w:hint="default" w:ascii="Times New Roman" w:hAnsi="Times New Roman" w:cs="Times New Roman"/>
          <w:color w:val="auto"/>
          <w:sz w:val="32"/>
          <w:szCs w:val="32"/>
        </w:rPr>
        <w:t>=</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指标3：项目按计划开工时间，目标值≤4月，实际完成值=4月，完成率100%</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0"/>
        <w:rPr>
          <w:rFonts w:hint="default" w:ascii="Times New Roman" w:hAnsi="Times New Roman" w:eastAsia="楷体" w:cs="Times New Roman"/>
          <w:b/>
          <w:bCs/>
          <w:color w:val="auto"/>
          <w:sz w:val="32"/>
          <w:szCs w:val="32"/>
          <w:lang w:eastAsia="zh-CN"/>
        </w:rPr>
      </w:pPr>
      <w:r>
        <w:rPr>
          <w:rFonts w:hint="default" w:ascii="Times New Roman" w:hAnsi="Times New Roman" w:eastAsia="楷体" w:cs="Times New Roman"/>
          <w:b/>
          <w:bCs/>
          <w:color w:val="auto"/>
          <w:sz w:val="32"/>
          <w:szCs w:val="32"/>
          <w:lang w:eastAsia="zh-CN"/>
        </w:rPr>
        <w:t>(四）项目成本情况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项目成本类指标包括经济成本、社会成本、生态成本三方面的内容，由1个三级指标体系构成，权重分为10分，实际得分10分，得分率为100%。具体成本指标完成情况如下：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经济成本指标：指标1：设施设备购置费用，目标值≤60万元，实际完成值=60万元，完成率100%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指标2：维修改造费用，目标值≤190万元，实际完成值=190万元，完成率100%</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outlineLvl w:val="0"/>
        <w:rPr>
          <w:rFonts w:hint="default" w:ascii="Times New Roman" w:hAnsi="Times New Roman" w:eastAsia="楷体" w:cs="Times New Roman"/>
          <w:b/>
          <w:bCs/>
          <w:color w:val="auto"/>
          <w:sz w:val="32"/>
          <w:szCs w:val="32"/>
          <w:lang w:eastAsia="zh-CN"/>
        </w:rPr>
      </w:pPr>
      <w:r>
        <w:rPr>
          <w:rFonts w:hint="default" w:ascii="Times New Roman" w:hAnsi="Times New Roman" w:eastAsia="楷体" w:cs="Times New Roman"/>
          <w:b/>
          <w:bCs/>
          <w:color w:val="auto"/>
          <w:sz w:val="32"/>
          <w:szCs w:val="32"/>
          <w:lang w:eastAsia="zh-CN"/>
        </w:rPr>
        <w:t>（五）项目效益情况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项目效益类指标包括项目实施效益和满意度两方面的内容，由2个三级指标构成，权重分为20分，实际得分20分，得分率为100%。具体效益指标及满意度指标完成情况如下：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1.实施效益</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①经济效益指标：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指标1：设备利用率，目标值</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，实际完成值</w:t>
      </w:r>
      <w:r>
        <w:rPr>
          <w:rFonts w:hint="default" w:ascii="Times New Roman" w:hAnsi="Times New Roman" w:cs="Times New Roman"/>
          <w:color w:val="auto"/>
          <w:sz w:val="32"/>
          <w:szCs w:val="32"/>
        </w:rPr>
        <w:t>=</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②社会效益指标：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指标1：幼儿园环境，目标值</w:t>
      </w:r>
      <w:r>
        <w:rPr>
          <w:rFonts w:hint="default" w:ascii="Times New Roman" w:hAnsi="Times New Roman" w:eastAsia="仿宋GB2312" w:cs="Times New Roman"/>
          <w:color w:val="auto"/>
          <w:kern w:val="0"/>
          <w:sz w:val="32"/>
          <w:szCs w:val="32"/>
        </w:rPr>
        <w:t>有效提升</w:t>
      </w:r>
      <w:r>
        <w:rPr>
          <w:rFonts w:hint="default" w:ascii="Times New Roman" w:hAnsi="Times New Roman" w:eastAsia="仿宋_GB2312" w:cs="Times New Roman"/>
          <w:color w:val="auto"/>
          <w:sz w:val="32"/>
          <w:szCs w:val="32"/>
        </w:rPr>
        <w:t>，实际完成值</w:t>
      </w:r>
      <w:r>
        <w:rPr>
          <w:rFonts w:hint="default" w:ascii="Times New Roman" w:hAnsi="Times New Roman" w:eastAsia="仿宋GB2312" w:cs="Times New Roman"/>
          <w:color w:val="auto"/>
          <w:kern w:val="0"/>
          <w:sz w:val="32"/>
          <w:szCs w:val="32"/>
        </w:rPr>
        <w:t>有效提升</w:t>
      </w:r>
      <w:r>
        <w:rPr>
          <w:rFonts w:hint="default" w:ascii="Times New Roman" w:hAnsi="Times New Roman" w:eastAsia="仿宋_GB2312" w:cs="Times New Roman"/>
          <w:color w:val="auto"/>
          <w:sz w:val="32"/>
          <w:szCs w:val="32"/>
        </w:rPr>
        <w:t>，完成率100%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2.满意度</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满意度指标：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指标1：教师满意度，目标值</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，实际完成值</w:t>
      </w:r>
      <w:r>
        <w:rPr>
          <w:rFonts w:hint="default" w:ascii="Times New Roman" w:hAnsi="Times New Roman" w:cs="Times New Roman"/>
          <w:color w:val="auto"/>
          <w:sz w:val="32"/>
          <w:szCs w:val="32"/>
        </w:rPr>
        <w:t>=</w:t>
      </w:r>
      <w:r>
        <w:rPr>
          <w:rFonts w:hint="default" w:ascii="Times New Roman" w:hAnsi="Times New Roman" w:eastAsia="仿宋GB2312" w:cs="Times New Roman"/>
          <w:color w:val="auto"/>
          <w:kern w:val="0"/>
          <w:sz w:val="30"/>
          <w:szCs w:val="30"/>
        </w:rPr>
        <w:t>92.7%</w:t>
      </w:r>
      <w:r>
        <w:rPr>
          <w:rFonts w:hint="default" w:ascii="Times New Roman" w:hAnsi="Times New Roman" w:eastAsia="仿宋_GB2312" w:cs="Times New Roman"/>
          <w:color w:val="auto"/>
          <w:sz w:val="32"/>
          <w:szCs w:val="32"/>
        </w:rPr>
        <w:t>，完成率10</w:t>
      </w:r>
      <w:r>
        <w:rPr>
          <w:rFonts w:hint="default" w:ascii="Times New Roman" w:hAnsi="Times New Roman" w:cs="Times New Roman" w:eastAsiaTheme="minorEastAsia"/>
          <w:color w:val="auto"/>
          <w:sz w:val="32"/>
          <w:szCs w:val="32"/>
        </w:rPr>
        <w:t>3</w:t>
      </w:r>
      <w:r>
        <w:rPr>
          <w:rFonts w:hint="default" w:ascii="Times New Roman" w:hAnsi="Times New Roman" w:eastAsia="仿宋_GB2312" w:cs="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cs="Times New Roman"/>
          <w:color w:val="auto"/>
        </w:rPr>
      </w:pPr>
      <w:r>
        <w:rPr>
          <w:rFonts w:hint="default" w:ascii="Times New Roman" w:hAnsi="Times New Roman" w:eastAsia="仿宋_GB2312" w:cs="Times New Roman"/>
          <w:color w:val="auto"/>
          <w:sz w:val="32"/>
          <w:szCs w:val="32"/>
        </w:rPr>
        <w:t>指标2：学生满意度，目标值</w:t>
      </w:r>
      <w:r>
        <w:rPr>
          <w:rFonts w:hint="default" w:ascii="Times New Roman" w:hAnsi="Times New Roman" w:eastAsia="仿宋GB2312" w:cs="Times New Roman"/>
          <w:color w:val="auto"/>
          <w:kern w:val="0"/>
          <w:sz w:val="30"/>
          <w:szCs w:val="30"/>
        </w:rPr>
        <w:t>≥90%</w:t>
      </w:r>
      <w:r>
        <w:rPr>
          <w:rFonts w:hint="default" w:ascii="Times New Roman" w:hAnsi="Times New Roman" w:eastAsia="仿宋_GB2312" w:cs="Times New Roman"/>
          <w:color w:val="auto"/>
          <w:sz w:val="32"/>
          <w:szCs w:val="32"/>
        </w:rPr>
        <w:t>，实际完成值</w:t>
      </w:r>
      <w:r>
        <w:rPr>
          <w:rFonts w:hint="default" w:ascii="Times New Roman" w:hAnsi="Times New Roman" w:cs="Times New Roman"/>
          <w:color w:val="auto"/>
          <w:sz w:val="32"/>
          <w:szCs w:val="32"/>
        </w:rPr>
        <w:t>=98</w:t>
      </w:r>
      <w:r>
        <w:rPr>
          <w:rFonts w:hint="default" w:ascii="Times New Roman" w:hAnsi="Times New Roman" w:eastAsia="仿宋GB2312" w:cs="Times New Roman"/>
          <w:color w:val="auto"/>
          <w:kern w:val="0"/>
          <w:sz w:val="30"/>
          <w:szCs w:val="30"/>
        </w:rPr>
        <w:t>%</w:t>
      </w:r>
      <w:r>
        <w:rPr>
          <w:rFonts w:hint="default" w:ascii="Times New Roman" w:hAnsi="Times New Roman" w:eastAsia="仿宋_GB2312" w:cs="Times New Roman"/>
          <w:color w:val="auto"/>
          <w:sz w:val="32"/>
          <w:szCs w:val="32"/>
        </w:rPr>
        <w:t>，完成率10</w:t>
      </w:r>
      <w:r>
        <w:rPr>
          <w:rFonts w:hint="default" w:ascii="Times New Roman" w:hAnsi="Times New Roman" w:cs="Times New Roman" w:eastAsiaTheme="minorEastAsia"/>
          <w:color w:val="auto"/>
          <w:sz w:val="32"/>
          <w:szCs w:val="32"/>
        </w:rPr>
        <w:t>9</w:t>
      </w:r>
      <w:r>
        <w:rPr>
          <w:rFonts w:hint="default" w:ascii="Times New Roman" w:hAnsi="Times New Roman" w:eastAsia="仿宋_GB2312" w:cs="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color w:val="auto"/>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楷体" w:cs="Times New Roman"/>
          <w:b/>
          <w:color w:val="auto"/>
          <w:spacing w:val="-4"/>
          <w:sz w:val="32"/>
          <w:szCs w:val="32"/>
        </w:rPr>
      </w:pPr>
      <w:r>
        <w:rPr>
          <w:rFonts w:hint="default" w:ascii="Times New Roman" w:hAnsi="Times New Roman" w:eastAsia="楷体" w:cs="Times New Roman"/>
          <w:b/>
          <w:color w:val="auto"/>
          <w:spacing w:val="-4"/>
          <w:sz w:val="32"/>
          <w:szCs w:val="32"/>
        </w:rPr>
        <w:t>（一）主要经验及做法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color w:val="auto"/>
          <w:kern w:val="2"/>
        </w:rPr>
      </w:pPr>
      <w:r>
        <w:rPr>
          <w:rFonts w:hint="default" w:ascii="Times New Roman" w:hAnsi="Times New Roman" w:eastAsia="仿宋_GB2312" w:cs="Times New Roman"/>
          <w:b w:val="0"/>
          <w:bCs w:val="0"/>
          <w:color w:val="auto"/>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cs="Times New Roman"/>
          <w:color w:val="auto"/>
        </w:rPr>
      </w:pPr>
      <w:r>
        <w:rPr>
          <w:rFonts w:hint="default" w:ascii="Times New Roman" w:hAnsi="Times New Roman" w:eastAsia="仿宋_GB2312" w:cs="Times New Roman"/>
          <w:color w:val="auto"/>
          <w:sz w:val="32"/>
          <w:szCs w:val="32"/>
        </w:rPr>
        <w:t>项目资金管理：制定项目资金使用制度；财政安排项目资金到位后，须制定资金使用计划，报学校会议研究，作为今后使用资金的依据；项目资金做到专款专用、专人负责，不占用、挪用项目资金；项目资金使用落实责任人，压实工作</w:t>
      </w:r>
      <w:r>
        <w:rPr>
          <w:rFonts w:hint="eastAsia" w:eastAsia="仿宋_GB2312" w:cs="Times New Roman"/>
          <w:color w:val="auto"/>
          <w:sz w:val="32"/>
          <w:szCs w:val="32"/>
          <w:lang w:eastAsia="zh-CN"/>
        </w:rPr>
        <w:t>责任</w:t>
      </w:r>
      <w:r>
        <w:rPr>
          <w:rFonts w:hint="default" w:ascii="Times New Roman" w:hAnsi="Times New Roman" w:eastAsia="仿宋_GB2312" w:cs="Times New Roman"/>
          <w:color w:val="auto"/>
          <w:sz w:val="32"/>
          <w:szCs w:val="32"/>
        </w:rPr>
        <w:t>，使用必须按要求和规范进行。</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后续工作计划：</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进一步改进幼儿园办园条件，为幼儿提供一个舒适良好的生活学习环境，保证孩子的身体素质良好发展，使幼儿德智体美劳全面发展。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主要经验及做法：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项目实施时成立以分管领导为组长，后勤、财务等部门为成员的工作小组，由项目负责人牵头，制定详细工作计划，项目实施严格按照项目实施计划开展，工作分工明确，严格办理招标手续。</w:t>
      </w:r>
    </w:p>
    <w:p>
      <w:pPr>
        <w:keepNext w:val="0"/>
        <w:keepLines w:val="0"/>
        <w:pageBreakBefore w:val="0"/>
        <w:numPr>
          <w:ilvl w:val="0"/>
          <w:numId w:val="6"/>
        </w:numP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GB2312" w:cs="Times New Roman"/>
          <w:color w:val="auto"/>
          <w:kern w:val="0"/>
          <w:sz w:val="32"/>
          <w:szCs w:val="32"/>
        </w:rPr>
      </w:pPr>
      <w:r>
        <w:rPr>
          <w:rFonts w:hint="default" w:ascii="Times New Roman" w:hAnsi="Times New Roman" w:eastAsia="仿宋GB2312" w:cs="Times New Roman"/>
          <w:color w:val="auto"/>
          <w:kern w:val="0"/>
          <w:sz w:val="32"/>
          <w:szCs w:val="32"/>
        </w:rPr>
        <w:t>严格按照绩效管理制度工作流程，对项目进行监控，确保该项目在实施中按照计划执行。</w:t>
      </w:r>
    </w:p>
    <w:p>
      <w:pPr>
        <w:keepNext w:val="0"/>
        <w:keepLines w:val="0"/>
        <w:pageBreakBefore w:val="0"/>
        <w:numPr>
          <w:ilvl w:val="0"/>
          <w:numId w:val="6"/>
        </w:numP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cs="Times New Roman"/>
          <w:color w:val="auto"/>
          <w:sz w:val="32"/>
          <w:szCs w:val="32"/>
        </w:rPr>
      </w:pPr>
      <w:r>
        <w:rPr>
          <w:rFonts w:hint="default" w:ascii="Times New Roman" w:hAnsi="Times New Roman" w:eastAsia="仿宋GB2312" w:cs="Times New Roman"/>
          <w:color w:val="auto"/>
          <w:kern w:val="0"/>
          <w:sz w:val="32"/>
          <w:szCs w:val="32"/>
        </w:rPr>
        <w:t>项目资金严格按照项目资金管理办法执行，做到专款专用。</w:t>
      </w:r>
    </w:p>
    <w:p>
      <w:pPr>
        <w:keepNext w:val="0"/>
        <w:keepLines w:val="0"/>
        <w:pageBreakBefore w:val="0"/>
        <w:numPr>
          <w:ilvl w:val="0"/>
          <w:numId w:val="7"/>
        </w:numPr>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楷体" w:cs="Times New Roman"/>
          <w:b/>
          <w:color w:val="auto"/>
          <w:spacing w:val="-4"/>
          <w:sz w:val="32"/>
          <w:szCs w:val="32"/>
        </w:rPr>
      </w:pPr>
      <w:r>
        <w:rPr>
          <w:rFonts w:hint="default" w:ascii="Times New Roman" w:hAnsi="Times New Roman" w:eastAsia="楷体" w:cs="Times New Roman"/>
          <w:b/>
          <w:color w:val="auto"/>
          <w:spacing w:val="-4"/>
          <w:sz w:val="32"/>
          <w:szCs w:val="32"/>
        </w:rPr>
        <w:t>存在的问题及原因分析</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cs="Times New Roman"/>
          <w:color w:val="auto"/>
          <w:sz w:val="32"/>
          <w:szCs w:val="32"/>
        </w:rPr>
      </w:pPr>
      <w:r>
        <w:rPr>
          <w:rFonts w:hint="default" w:ascii="Times New Roman" w:hAnsi="Times New Roman" w:eastAsia="仿宋_GB2312" w:cs="Times New Roman"/>
          <w:bCs/>
          <w:color w:val="auto"/>
          <w:sz w:val="32"/>
          <w:szCs w:val="32"/>
        </w:rPr>
        <w:t>结合实际建立绩效工作考核制度，加大全局对全面实施预算绩效管理和进一步加强对绩效管理工作的组织领导，提高对预算绩效管理工作重要性的认识，总结经验查找问题，完善的绩效评价管理办法。对绩效管理工作认识不到位，认为只要资金使用合规合法就可以。</w:t>
      </w:r>
    </w:p>
    <w:p>
      <w:pPr>
        <w:keepNext w:val="0"/>
        <w:keepLines w:val="0"/>
        <w:pageBreakBefore w:val="0"/>
        <w:numPr>
          <w:ilvl w:val="0"/>
          <w:numId w:val="8"/>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有关建议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仿宋_GB2312" w:cs="Times New Roman"/>
          <w:color w:val="auto"/>
          <w:sz w:val="32"/>
          <w:szCs w:val="32"/>
        </w:rPr>
        <w:t>1.</w:t>
      </w:r>
      <w:r>
        <w:rPr>
          <w:rFonts w:hint="eastAsia" w:eastAsia="仿宋_GB2312" w:cs="Times New Roman"/>
          <w:color w:val="000000" w:themeColor="text1"/>
          <w:sz w:val="32"/>
          <w:szCs w:val="32"/>
          <w:highlight w:val="none"/>
          <w:lang w:val="en-US" w:eastAsia="zh-CN"/>
          <w14:textFill>
            <w14:solidFill>
              <w14:schemeClr w14:val="tx1"/>
            </w14:solidFill>
          </w14:textFill>
        </w:rPr>
        <w:t>加强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绩效管理工作培训，进一步夯实业务基础，提高我单位绩效</w:t>
      </w:r>
      <w:r>
        <w:rPr>
          <w:rFonts w:hint="eastAsia" w:eastAsia="仿宋_GB2312" w:cs="Times New Roman"/>
          <w:color w:val="000000" w:themeColor="text1"/>
          <w:sz w:val="32"/>
          <w:szCs w:val="32"/>
          <w:highlight w:val="none"/>
          <w:lang w:val="en-US" w:eastAsia="zh-CN"/>
          <w14:textFill>
            <w14:solidFill>
              <w14:schemeClr w14:val="tx1"/>
            </w14:solidFill>
          </w14:textFill>
        </w:rPr>
        <w:t>管理水平</w:t>
      </w:r>
      <w:r>
        <w:rPr>
          <w:rFonts w:hint="default" w:ascii="Times New Roman" w:hAnsi="Times New Roman" w:eastAsia="黑体" w:cs="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GB2312" w:cs="Times New Roman"/>
          <w:color w:val="auto"/>
          <w:kern w:val="0"/>
          <w:sz w:val="32"/>
          <w:szCs w:val="32"/>
        </w:rPr>
      </w:pPr>
      <w:r>
        <w:rPr>
          <w:rFonts w:hint="default" w:ascii="Times New Roman" w:hAnsi="Times New Roman" w:eastAsia="仿宋GB2312" w:cs="Times New Roman"/>
          <w:color w:val="auto"/>
          <w:kern w:val="0"/>
          <w:sz w:val="32"/>
          <w:szCs w:val="32"/>
        </w:rPr>
        <w:t>1、该项目从意义和定位上来讲是意识形态领域的项目，具有针对性和斗争性，项目里涉及众多的敏感词。建议：对于该类别的项目，依据项目的特质设立相应的绩效板块；</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黑体" w:cs="Times New Roman"/>
          <w:color w:val="auto"/>
          <w:sz w:val="32"/>
          <w:szCs w:val="32"/>
        </w:rPr>
      </w:pPr>
      <w:r>
        <w:rPr>
          <w:rFonts w:hint="default" w:ascii="Times New Roman" w:hAnsi="Times New Roman" w:eastAsia="仿宋GB2312" w:cs="Times New Roman"/>
          <w:color w:val="auto"/>
          <w:kern w:val="0"/>
          <w:sz w:val="32"/>
          <w:szCs w:val="32"/>
        </w:rPr>
        <w:t>2、该类别的项目为社会科学类非固投项目，其绩效板块设置建议按照社会科学类项目的流程体系设置绩效填报板块。</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color w:val="auto"/>
        </w:rPr>
      </w:pPr>
      <w:r>
        <w:rPr>
          <w:rFonts w:hint="default" w:ascii="Times New Roman" w:hAnsi="Times New Roman" w:eastAsia="黑体" w:cs="Times New Roman"/>
          <w:color w:val="auto"/>
          <w:sz w:val="32"/>
          <w:szCs w:val="32"/>
        </w:rPr>
        <w:t>七、其他需</w:t>
      </w:r>
      <w:bookmarkStart w:id="2" w:name="page8"/>
      <w:bookmarkEnd w:id="2"/>
      <w:r>
        <w:rPr>
          <w:rFonts w:hint="default" w:ascii="Times New Roman" w:hAnsi="Times New Roman" w:eastAsia="黑体" w:cs="Times New Roman"/>
          <w:color w:val="auto"/>
          <w:sz w:val="32"/>
          <w:szCs w:val="32"/>
        </w:rPr>
        <w:t>要说明的问题</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GB2312" w:cs="Times New Roman"/>
          <w:color w:val="auto"/>
          <w:kern w:val="0"/>
          <w:sz w:val="32"/>
          <w:szCs w:val="32"/>
        </w:rPr>
      </w:pPr>
      <w:r>
        <w:rPr>
          <w:rFonts w:hint="default" w:ascii="Times New Roman" w:hAnsi="Times New Roman" w:eastAsia="仿宋GB2312" w:cs="Times New Roman"/>
          <w:color w:val="auto"/>
          <w:kern w:val="0"/>
          <w:sz w:val="32"/>
          <w:szCs w:val="32"/>
        </w:rPr>
        <w:t>1、该项目在绩效办的指导和帮助下，项目在资金申请前置条件的落实上，发挥了积极的“花钱必问效，无效必问责”的项目绩效管理和实施的理念引导；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GB2312" w:cs="Times New Roman"/>
          <w:color w:val="auto"/>
          <w:kern w:val="0"/>
          <w:sz w:val="32"/>
          <w:szCs w:val="32"/>
        </w:rPr>
      </w:pPr>
      <w:r>
        <w:rPr>
          <w:rFonts w:hint="default" w:ascii="Times New Roman" w:hAnsi="Times New Roman" w:eastAsia="仿宋GB2312" w:cs="Times New Roman"/>
          <w:color w:val="auto"/>
          <w:kern w:val="0"/>
          <w:sz w:val="32"/>
          <w:szCs w:val="32"/>
        </w:rPr>
        <w:t>2、项目在实施的过程中进行了绩效的全过程管理，资金使用流程严谨合规，确保资金用途显效、高效；</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color w:val="auto"/>
          <w:sz w:val="32"/>
          <w:szCs w:val="32"/>
        </w:rPr>
        <w:sectPr>
          <w:pgSz w:w="11906" w:h="16838"/>
          <w:pgMar w:top="1440" w:right="1558" w:bottom="1440" w:left="1800" w:header="851" w:footer="992" w:gutter="0"/>
          <w:cols w:space="425" w:num="1"/>
          <w:docGrid w:type="lines" w:linePitch="312" w:charSpace="0"/>
        </w:sectPr>
      </w:pPr>
      <w:r>
        <w:rPr>
          <w:rFonts w:hint="default" w:ascii="Times New Roman" w:hAnsi="Times New Roman" w:eastAsia="仿宋GB2312" w:cs="Times New Roman"/>
          <w:color w:val="auto"/>
          <w:kern w:val="0"/>
          <w:sz w:val="32"/>
          <w:szCs w:val="32"/>
        </w:rPr>
        <w:t>3、该项目的实施是落实习近平总书记“要加强中华民族共同体历史、中华民族多元一体格局的研究，教育引导各族干部群众树立正确的国家观、历史观、民族观、文化观、宗教观，让中华民族共同体意识根植心灵深处。”指示，是落实中央新疆第三次座谈会精神的具体举措，在为哈密铸牢中华民族共同体意识上发挥了积极的作用。</w:t>
      </w:r>
      <w:r>
        <w:rPr>
          <w:rFonts w:hint="default" w:ascii="Times New Roman" w:hAnsi="Times New Roman" w:eastAsia="仿宋GB2312" w:cs="Times New Roman"/>
          <w:color w:val="auto"/>
          <w:kern w:val="0"/>
          <w:sz w:val="32"/>
          <w:szCs w:val="32"/>
        </w:rPr>
        <w:br w:type="page"/>
      </w:r>
    </w:p>
    <w:p>
      <w:pPr>
        <w:spacing w:line="600" w:lineRule="exact"/>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附件1</w:t>
      </w:r>
    </w:p>
    <w:p>
      <w:pPr>
        <w:pStyle w:val="19"/>
        <w:ind w:firstLine="562"/>
        <w:jc w:val="center"/>
        <w:rPr>
          <w:rFonts w:hint="default" w:ascii="Times New Roman" w:hAnsi="Times New Roman" w:eastAsia="仿宋_GB2312" w:cs="Times New Roman"/>
          <w:color w:val="auto"/>
          <w:sz w:val="32"/>
          <w:szCs w:val="32"/>
        </w:rPr>
      </w:pPr>
      <w:bookmarkStart w:id="3" w:name="_Toc26499_WPSOffice_Level2"/>
      <w:bookmarkStart w:id="4" w:name="_Toc30064_WPSOffice_Level1"/>
      <w:r>
        <w:rPr>
          <w:rFonts w:hint="default" w:ascii="Times New Roman" w:hAnsi="Times New Roman" w:eastAsia="仿宋_GB2312" w:cs="Times New Roman"/>
          <w:b/>
          <w:bCs/>
          <w:color w:val="auto"/>
          <w:sz w:val="32"/>
          <w:szCs w:val="32"/>
        </w:rPr>
        <w:t>关于提前下达2023年支持学前教育发展资金项目绩效评价指标体系及综合评分表</w:t>
      </w:r>
      <w:bookmarkEnd w:id="3"/>
      <w:bookmarkEnd w:id="4"/>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一级指标</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二级指标</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三级指标</w:t>
            </w:r>
          </w:p>
        </w:tc>
        <w:tc>
          <w:tcPr>
            <w:tcW w:w="235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指标解释</w:t>
            </w:r>
          </w:p>
        </w:tc>
        <w:tc>
          <w:tcPr>
            <w:tcW w:w="5198"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指标说明</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权重</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p>
            <w:pPr>
              <w:widowControl/>
              <w:spacing w:line="0" w:lineRule="atLeast"/>
              <w:jc w:val="center"/>
              <w:rPr>
                <w:rFonts w:hint="default" w:ascii="Times New Roman" w:hAnsi="Times New Roman" w:eastAsia="仿宋_GB2312" w:cs="Times New Roman"/>
                <w:color w:val="auto"/>
                <w:kern w:val="0"/>
                <w:sz w:val="22"/>
                <w:szCs w:val="22"/>
              </w:rPr>
            </w:pPr>
          </w:p>
          <w:p>
            <w:pPr>
              <w:widowControl/>
              <w:spacing w:line="0" w:lineRule="atLeast"/>
              <w:jc w:val="center"/>
              <w:rPr>
                <w:rFonts w:hint="default" w:ascii="Times New Roman" w:hAnsi="Times New Roman" w:eastAsia="仿宋_GB2312" w:cs="Times New Roman"/>
                <w:color w:val="auto"/>
                <w:kern w:val="0"/>
                <w:sz w:val="22"/>
                <w:szCs w:val="22"/>
              </w:rPr>
            </w:pPr>
          </w:p>
          <w:p>
            <w:pPr>
              <w:widowControl/>
              <w:spacing w:line="0" w:lineRule="atLeast"/>
              <w:jc w:val="center"/>
              <w:rPr>
                <w:rFonts w:hint="default" w:ascii="Times New Roman" w:hAnsi="Times New Roman" w:eastAsia="仿宋_GB2312" w:cs="Times New Roman"/>
                <w:color w:val="auto"/>
                <w:kern w:val="0"/>
                <w:sz w:val="22"/>
                <w:szCs w:val="22"/>
              </w:rPr>
            </w:pPr>
          </w:p>
          <w:p>
            <w:pPr>
              <w:widowControl/>
              <w:spacing w:line="0" w:lineRule="atLeast"/>
              <w:jc w:val="center"/>
              <w:rPr>
                <w:rFonts w:hint="default" w:ascii="Times New Roman" w:hAnsi="Times New Roman" w:eastAsia="仿宋_GB2312" w:cs="Times New Roman"/>
                <w:color w:val="auto"/>
                <w:kern w:val="0"/>
                <w:sz w:val="22"/>
                <w:szCs w:val="22"/>
              </w:rPr>
            </w:pPr>
          </w:p>
          <w:p>
            <w:pPr>
              <w:widowControl/>
              <w:spacing w:line="0" w:lineRule="atLeast"/>
              <w:jc w:val="center"/>
              <w:rPr>
                <w:rFonts w:hint="default" w:ascii="Times New Roman" w:hAnsi="Times New Roman" w:eastAsia="仿宋_GB2312" w:cs="Times New Roman"/>
                <w:color w:val="auto"/>
                <w:kern w:val="0"/>
                <w:sz w:val="22"/>
                <w:szCs w:val="22"/>
              </w:rPr>
            </w:pP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决策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项目立项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立项依据</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充分性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项目立项是否符合法律法规、相关政策、发展规划以及部门职责，用以反映和考核项目立项依据情况。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评价要点：</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①项目立项是否符合国家法律法规、国民经济发展规划和相关政策；</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②项目立项是否符合行业发展规划和政策要求；</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③项目立项是否与部门职责范围相符，属于部门履职所需；</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④项目是否属于公共财政支持范围，是否符合中央、地方事权支出责任划分原则；</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⑤项目是否与相关部门同类项目或部门内部相关项目重复。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立项程序</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规范性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项目申请、设立过程是否符合相关要求，用以反映和考核项目立项的规范情况。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评价要点：</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①项目是否按照规定的程序申请设立；</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②审批文件、材料是否符合相关要求；</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③事前是否已经过必要的可行性研究、专家论证、风险评估、绩效评估、集体决策。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绩效目标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绩效目标</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评价要点：</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（如未设定预算绩效目标，也可考核其他工作任务目标）</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①项目是否有绩效目标；</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②项目绩效目标与实际工作内容是否具有相关性；</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④是否与预算确定的项目投资额或资金量相匹配。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绩效指标</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明确性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依据绩效目标设定的绩效指标是否清晰、细化、可衡量等，用以反映和考核项目绩效目标的明细化情况。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评价要点：</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①是否将项目绩效目标细化分解为具体的绩效指标；</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②是否通过清晰、可衡量的指标值予以体现；</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③是否与项目目标任务数或计划数相对应。</w:t>
            </w:r>
            <w:r>
              <w:rPr>
                <w:rFonts w:hint="default" w:ascii="Times New Roman" w:hAnsi="Times New Roman" w:eastAsia="仿宋_GB2312" w:cs="Times New Roman"/>
                <w:color w:val="auto"/>
                <w:kern w:val="0"/>
                <w:sz w:val="22"/>
                <w:szCs w:val="22"/>
              </w:rPr>
              <w:br w:type="textWrapping"/>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资金投入</w:t>
            </w:r>
          </w:p>
          <w:p>
            <w:pPr>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预算编制</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科学性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评价要点：</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①预算编制是否经过科学论证；</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②预算内容与项目内容是否匹配；</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③预算额度测算依据是否充分，是否按照标准编制；</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④预算确定的项目投资额或资金量是否与工作任务相匹配。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资金分配</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评价要点：</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①预算资金分配依据是否充分；</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②资金分配额度是否合理，与项目单位或地方实际是否相适应。</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p>
          <w:p>
            <w:pPr>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过程</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资金到位率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实际到位资金与预算资金的比率，用以反映和考核资金落实情况对项目实施的总体保障程度。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资金到位率=（实际到位资金/预算资金）×100%。</w:t>
            </w:r>
          </w:p>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预算资金：一定时期（本年度或项目期）内预算安排到具体项目的资金。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p>
        </w:tc>
        <w:tc>
          <w:tcPr>
            <w:tcW w:w="764"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预算执行率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项目预算资金是否按照计划执行，用以反映或考核项目预算执行情况。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预算执行率=（实际支出资金/实际到位资金）×100%。</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实际支出资金：一定时期（本年度或项目期）内项目实际拨付的资金。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资金使用</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合规性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项目资金使用是否符合相关的财务管理制度规定，用以反映和考核项目资金的规范运行情况。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评价要点：</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①是否符合国家财经法规和财务管理制度以及有关专项资金管理办法的规定；</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②资金的拨付是否有完整的审批程序和手续；</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③是否符合项目预算批复或合同规定的用途；</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④是否存在截留、挤占、挪用、虚列支出等情况。</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组织实施</w:t>
            </w:r>
          </w:p>
          <w:p>
            <w:pPr>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管理制度</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健全性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评价要点：</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①是否已制定或具有相应的财务和业务管理制度；</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②财务和业务管理制度是否合法、合规、完整。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制度执行</w:t>
            </w:r>
          </w:p>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有效性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项目实施是否符合相关管理规定，用以反映和考核相关管理制度的有效执行情况。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评价要点：</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①是否遵守相关法律法规和相关管理规定；</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②项目调整及支出调整手续是否完备；</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③项目合同书、验收报告、技术鉴定等资料是否齐全并及时归档；</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④项目实施的人员条件、场地设备、信息支撑等是否落实到位。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产出</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产出数量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实际完成率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项目实施的实际产出数与计划产出数的比率，用以反映和考核项目产出数量目标的实现程度。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实际完成率=（实际产出数/计划产出数）×100%。</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实际产出数：一定时期（本年度或项目期）内项目实际产出的产品或提供的服务数量。</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计划产出数：项目绩效目标确定的在一定时期（本年度或项目期）内计划产出的产品或提供的服务数量。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产出质量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质量达标率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项目完成的质量达标产出数与实际产出数的比率，用以反映和考核项目产出质量目标的实现程度。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p>
        </w:tc>
        <w:tc>
          <w:tcPr>
            <w:tcW w:w="764" w:type="dxa"/>
            <w:shd w:val="clear" w:color="auto" w:fill="auto"/>
            <w:vAlign w:val="center"/>
          </w:tcPr>
          <w:p>
            <w:pPr>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产出时效</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完成及时性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项目实际完成时间与计划完成时间的比较，用以反映和考核项目产出时效目标的实现程度。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实际完成时间：项目实施单位完成该项目实际所耗用的时间。</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计划完成时间：按照项目实施计划或相关规定完成该项目所需的时间。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产出成本</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成本节约率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完成项目计划工作目标的实际节约成本与计划成本的比率，用以反映和考核项目的成本节约程度。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成本节约率=[（计划成本-实际成本）/计划成本]×100%。</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实际成本：项目实施单位如期、保质、保量完成既定工作目标实际所耗费的支出。</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仿宋_GB2312" w:cs="Times New Roman"/>
                <w:color w:val="auto"/>
                <w:kern w:val="0"/>
                <w:sz w:val="22"/>
                <w:szCs w:val="22"/>
              </w:rPr>
              <w:t>计划成本：项目实施单位为完成工作目标计划安排的支出，一般以项目预算为参考。</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效益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项目效益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实施效益</w:t>
            </w:r>
          </w:p>
        </w:tc>
        <w:tc>
          <w:tcPr>
            <w:tcW w:w="2353" w:type="dxa"/>
            <w:shd w:val="clear" w:color="auto" w:fill="auto"/>
            <w:vAlign w:val="center"/>
          </w:tcPr>
          <w:p>
            <w:pPr>
              <w:widowControl/>
              <w:spacing w:line="0" w:lineRule="atLeas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项目实施所产生的效益。</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满意度</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社会公众或服务对象对项目实施效果的满意程度。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10</w:t>
            </w:r>
          </w:p>
        </w:tc>
      </w:tr>
    </w:tbl>
    <w:p>
      <w:pPr>
        <w:rPr>
          <w:rFonts w:hint="default" w:ascii="Times New Roman" w:hAnsi="Times New Roman" w:cs="Times New Roman"/>
          <w:color w:val="auto"/>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EE96DC-55BD-47C3-A802-41C368EA53D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543A7079-1704-4C70-A6F1-D8727778EAE1}"/>
  </w:font>
  <w:font w:name="华文中宋">
    <w:panose1 w:val="02010600040101010101"/>
    <w:charset w:val="86"/>
    <w:family w:val="auto"/>
    <w:pitch w:val="default"/>
    <w:sig w:usb0="00000000" w:usb1="00000000" w:usb2="00000000" w:usb3="00000000" w:csb0="00000000" w:csb1="00000000"/>
    <w:embedRegular r:id="rId3" w:fontKey="{2606937F-226D-4075-9A1E-8D23B5EFEF44}"/>
  </w:font>
  <w:font w:name="方正小标宋_GBK">
    <w:panose1 w:val="02000000000000000000"/>
    <w:charset w:val="86"/>
    <w:family w:val="script"/>
    <w:pitch w:val="default"/>
    <w:sig w:usb0="00000000" w:usb1="00000000" w:usb2="00000000" w:usb3="00000000" w:csb0="00000000" w:csb1="00000000"/>
  </w:font>
  <w:font w:name="方正楷体_GB2312">
    <w:panose1 w:val="02000000000000000000"/>
    <w:charset w:val="86"/>
    <w:family w:val="auto"/>
    <w:pitch w:val="default"/>
    <w:sig w:usb0="00000000" w:usb1="00000000" w:usb2="00000000" w:usb3="00000000" w:csb0="00000000" w:csb1="00000000"/>
    <w:embedRegular r:id="rId4" w:fontKey="{2DB7AECF-18FF-48AE-8FBD-493AFC2B0A41}"/>
  </w:font>
  <w:font w:name="仿宋GB2312">
    <w:altName w:val="仿宋"/>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0" w:usb1="00000000" w:usb2="00000000" w:usb3="00000000" w:csb0="00000000" w:csb1="00000000"/>
    <w:embedRegular r:id="rId5" w:fontKey="{ED419967-645E-419D-9417-6F339ED77EE5}"/>
  </w:font>
  <w:font w:name="楷体">
    <w:panose1 w:val="02010609060101010101"/>
    <w:charset w:val="86"/>
    <w:family w:val="modern"/>
    <w:pitch w:val="default"/>
    <w:sig w:usb0="800002BF" w:usb1="38CF7CFA" w:usb2="00000016" w:usb3="00000000" w:csb0="00040001" w:csb1="00000000"/>
    <w:embedRegular r:id="rId6" w:fontKey="{431BCB9E-0BBF-4B03-A44F-C02451622F39}"/>
  </w:font>
  <w:font w:name="方正仿宋_GBK">
    <w:panose1 w:val="02000000000000000000"/>
    <w:charset w:val="86"/>
    <w:family w:val="auto"/>
    <w:pitch w:val="default"/>
    <w:sig w:usb0="00000000" w:usb1="00000000" w:usb2="00000000" w:usb3="00000000" w:csb0="00000000" w:csb1="00000000"/>
    <w:embedRegular r:id="rId7" w:fontKey="{262897FF-779C-4719-8038-D66579184F15}"/>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汉仪中黑 197">
    <w:panose1 w:val="00020600040101010101"/>
    <w:charset w:val="86"/>
    <w:family w:val="auto"/>
    <w:pitch w:val="default"/>
    <w:sig w:usb0="A00002BF" w:usb1="18EF7CFA" w:usb2="00000016" w:usb3="00000000" w:csb0="0004009F" w:csb1="00000000"/>
  </w:font>
  <w:font w:name="方正粗黑宋简体">
    <w:panose1 w:val="02000000000000000000"/>
    <w:charset w:val="86"/>
    <w:family w:val="auto"/>
    <w:pitch w:val="default"/>
    <w:sig w:usb0="A00002BF" w:usb1="184F6CFA" w:usb2="00000012" w:usb3="00000000" w:csb0="00040001" w:csb1="00000000"/>
  </w:font>
  <w:font w:name="BatangChe">
    <w:panose1 w:val="0203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8B698"/>
    <w:multiLevelType w:val="singleLevel"/>
    <w:tmpl w:val="A308B698"/>
    <w:lvl w:ilvl="0" w:tentative="0">
      <w:start w:val="2"/>
      <w:numFmt w:val="decimal"/>
      <w:suff w:val="nothing"/>
      <w:lvlText w:val="（%1）"/>
      <w:lvlJc w:val="left"/>
      <w:pPr>
        <w:ind w:left="642" w:firstLine="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4A35B86"/>
    <w:multiLevelType w:val="singleLevel"/>
    <w:tmpl w:val="24A35B86"/>
    <w:lvl w:ilvl="0" w:tentative="0">
      <w:start w:val="6"/>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53C532CA"/>
    <w:multiLevelType w:val="singleLevel"/>
    <w:tmpl w:val="53C532CA"/>
    <w:lvl w:ilvl="0" w:tentative="0">
      <w:start w:val="2"/>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abstractNum w:abstractNumId="7">
    <w:nsid w:val="7D0F11FA"/>
    <w:multiLevelType w:val="singleLevel"/>
    <w:tmpl w:val="7D0F11FA"/>
    <w:lvl w:ilvl="0" w:tentative="0">
      <w:start w:val="1"/>
      <w:numFmt w:val="decimal"/>
      <w:suff w:val="nothing"/>
      <w:lvlText w:val="%1、"/>
      <w:lvlJc w:val="left"/>
    </w:lvl>
  </w:abstractNum>
  <w:num w:numId="1">
    <w:abstractNumId w:val="0"/>
  </w:num>
  <w:num w:numId="2">
    <w:abstractNumId w:val="1"/>
  </w:num>
  <w:num w:numId="3">
    <w:abstractNumId w:val="4"/>
  </w:num>
  <w:num w:numId="4">
    <w:abstractNumId w:val="2"/>
  </w:num>
  <w:num w:numId="5">
    <w:abstractNumId w:val="6"/>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FF6C4049"/>
    <w:rsid w:val="0011734B"/>
    <w:rsid w:val="00244BBF"/>
    <w:rsid w:val="002E3D1F"/>
    <w:rsid w:val="004D7DAE"/>
    <w:rsid w:val="006F7242"/>
    <w:rsid w:val="007B168A"/>
    <w:rsid w:val="008B2CFE"/>
    <w:rsid w:val="008F1FCF"/>
    <w:rsid w:val="009153C9"/>
    <w:rsid w:val="00AB6435"/>
    <w:rsid w:val="00C12491"/>
    <w:rsid w:val="00CC3D3D"/>
    <w:rsid w:val="00E16639"/>
    <w:rsid w:val="00E3415B"/>
    <w:rsid w:val="00F26FF6"/>
    <w:rsid w:val="00FC5462"/>
    <w:rsid w:val="00FE6BF7"/>
    <w:rsid w:val="015A59AA"/>
    <w:rsid w:val="0176587A"/>
    <w:rsid w:val="02BE7828"/>
    <w:rsid w:val="02D57A0D"/>
    <w:rsid w:val="02DB7702"/>
    <w:rsid w:val="03112C15"/>
    <w:rsid w:val="03322F48"/>
    <w:rsid w:val="040D4EB7"/>
    <w:rsid w:val="04265B40"/>
    <w:rsid w:val="048C0C43"/>
    <w:rsid w:val="051F5A0A"/>
    <w:rsid w:val="063F3372"/>
    <w:rsid w:val="06A93024"/>
    <w:rsid w:val="07397B77"/>
    <w:rsid w:val="087F3069"/>
    <w:rsid w:val="08A22FAF"/>
    <w:rsid w:val="08AA29B7"/>
    <w:rsid w:val="08AB6E0E"/>
    <w:rsid w:val="08D812B7"/>
    <w:rsid w:val="09594900"/>
    <w:rsid w:val="09633366"/>
    <w:rsid w:val="09D0416A"/>
    <w:rsid w:val="0A4E44C6"/>
    <w:rsid w:val="0AA52FAF"/>
    <w:rsid w:val="0AE55ECC"/>
    <w:rsid w:val="0B6355B7"/>
    <w:rsid w:val="0BB0214E"/>
    <w:rsid w:val="0C116467"/>
    <w:rsid w:val="0C833C3F"/>
    <w:rsid w:val="0CE66484"/>
    <w:rsid w:val="0CF05450"/>
    <w:rsid w:val="0D4568DE"/>
    <w:rsid w:val="0E2B7290"/>
    <w:rsid w:val="0E340FD0"/>
    <w:rsid w:val="0E506403"/>
    <w:rsid w:val="0EBF61CD"/>
    <w:rsid w:val="0F90182C"/>
    <w:rsid w:val="0FF3598C"/>
    <w:rsid w:val="11770B91"/>
    <w:rsid w:val="11A57DA9"/>
    <w:rsid w:val="12D74D8C"/>
    <w:rsid w:val="12EB7674"/>
    <w:rsid w:val="132210E0"/>
    <w:rsid w:val="13471461"/>
    <w:rsid w:val="13525105"/>
    <w:rsid w:val="13582F0E"/>
    <w:rsid w:val="135A7DAB"/>
    <w:rsid w:val="13B90F01"/>
    <w:rsid w:val="13E56A03"/>
    <w:rsid w:val="13F97BFC"/>
    <w:rsid w:val="143B48F8"/>
    <w:rsid w:val="1504617D"/>
    <w:rsid w:val="158A1BF3"/>
    <w:rsid w:val="163C1A5E"/>
    <w:rsid w:val="16C239EF"/>
    <w:rsid w:val="175E2F70"/>
    <w:rsid w:val="17EF7D6D"/>
    <w:rsid w:val="181066D2"/>
    <w:rsid w:val="18471B29"/>
    <w:rsid w:val="185B7F74"/>
    <w:rsid w:val="186A57F3"/>
    <w:rsid w:val="198C41A1"/>
    <w:rsid w:val="1A151710"/>
    <w:rsid w:val="1A383F4E"/>
    <w:rsid w:val="1A623EF5"/>
    <w:rsid w:val="1ACE6F12"/>
    <w:rsid w:val="1AEA3C96"/>
    <w:rsid w:val="1B7D6ECA"/>
    <w:rsid w:val="1BA6608A"/>
    <w:rsid w:val="1BFF75FB"/>
    <w:rsid w:val="1C671E73"/>
    <w:rsid w:val="1C890204"/>
    <w:rsid w:val="1CC11F57"/>
    <w:rsid w:val="1D521524"/>
    <w:rsid w:val="1DA678DD"/>
    <w:rsid w:val="1E834B23"/>
    <w:rsid w:val="1E9E253A"/>
    <w:rsid w:val="20D76B4E"/>
    <w:rsid w:val="20ED15EB"/>
    <w:rsid w:val="21723FBA"/>
    <w:rsid w:val="226852C8"/>
    <w:rsid w:val="229061BD"/>
    <w:rsid w:val="22B77B7D"/>
    <w:rsid w:val="236B099F"/>
    <w:rsid w:val="2388228A"/>
    <w:rsid w:val="24D927ED"/>
    <w:rsid w:val="25330F18"/>
    <w:rsid w:val="254C472B"/>
    <w:rsid w:val="25607C0D"/>
    <w:rsid w:val="25C07E34"/>
    <w:rsid w:val="25D5261C"/>
    <w:rsid w:val="26B46CF3"/>
    <w:rsid w:val="26E70813"/>
    <w:rsid w:val="26E9566F"/>
    <w:rsid w:val="274A013C"/>
    <w:rsid w:val="274F0D9D"/>
    <w:rsid w:val="276A7481"/>
    <w:rsid w:val="27FE0D41"/>
    <w:rsid w:val="282965D9"/>
    <w:rsid w:val="284A2CCE"/>
    <w:rsid w:val="28DD0E1F"/>
    <w:rsid w:val="29342E18"/>
    <w:rsid w:val="29383C7B"/>
    <w:rsid w:val="29F103E1"/>
    <w:rsid w:val="2A83073D"/>
    <w:rsid w:val="2AB13AA7"/>
    <w:rsid w:val="2AF36FDB"/>
    <w:rsid w:val="2B9E42CC"/>
    <w:rsid w:val="2BDB77C8"/>
    <w:rsid w:val="2BE9196E"/>
    <w:rsid w:val="2C043FB3"/>
    <w:rsid w:val="2C5E11E2"/>
    <w:rsid w:val="2CF76164"/>
    <w:rsid w:val="2D1A45C6"/>
    <w:rsid w:val="2D7A2684"/>
    <w:rsid w:val="2F1105F4"/>
    <w:rsid w:val="2F6A4E02"/>
    <w:rsid w:val="2FB143CE"/>
    <w:rsid w:val="2FDB2EA7"/>
    <w:rsid w:val="2FE8059B"/>
    <w:rsid w:val="2FE95F59"/>
    <w:rsid w:val="2FEB5C29"/>
    <w:rsid w:val="304E674C"/>
    <w:rsid w:val="306752DA"/>
    <w:rsid w:val="30B06717"/>
    <w:rsid w:val="312F747D"/>
    <w:rsid w:val="32354778"/>
    <w:rsid w:val="326E23F6"/>
    <w:rsid w:val="32FB7363"/>
    <w:rsid w:val="337C1527"/>
    <w:rsid w:val="337C64D1"/>
    <w:rsid w:val="33C531DC"/>
    <w:rsid w:val="33C73313"/>
    <w:rsid w:val="3454315F"/>
    <w:rsid w:val="34B21549"/>
    <w:rsid w:val="352C0569"/>
    <w:rsid w:val="354F110D"/>
    <w:rsid w:val="364B2CB5"/>
    <w:rsid w:val="3682772C"/>
    <w:rsid w:val="36CE6F22"/>
    <w:rsid w:val="36D62673"/>
    <w:rsid w:val="375F61EA"/>
    <w:rsid w:val="37C0015F"/>
    <w:rsid w:val="3808348D"/>
    <w:rsid w:val="381C5D39"/>
    <w:rsid w:val="38CA40DD"/>
    <w:rsid w:val="38EC4125"/>
    <w:rsid w:val="38FF0051"/>
    <w:rsid w:val="395F2B56"/>
    <w:rsid w:val="39F879D5"/>
    <w:rsid w:val="3A1F2016"/>
    <w:rsid w:val="3A334534"/>
    <w:rsid w:val="3A362125"/>
    <w:rsid w:val="3A555583"/>
    <w:rsid w:val="3B1020B9"/>
    <w:rsid w:val="3BE338E2"/>
    <w:rsid w:val="3BECE841"/>
    <w:rsid w:val="3C115B5D"/>
    <w:rsid w:val="3DE77067"/>
    <w:rsid w:val="3DF56AC8"/>
    <w:rsid w:val="3E157542"/>
    <w:rsid w:val="3E221AC5"/>
    <w:rsid w:val="3E2B33B6"/>
    <w:rsid w:val="3F3C7A12"/>
    <w:rsid w:val="3F5A3AA4"/>
    <w:rsid w:val="3F774082"/>
    <w:rsid w:val="3FF7797D"/>
    <w:rsid w:val="40275E4E"/>
    <w:rsid w:val="41CE249F"/>
    <w:rsid w:val="43376C34"/>
    <w:rsid w:val="434E0393"/>
    <w:rsid w:val="442C2338"/>
    <w:rsid w:val="443A7B1C"/>
    <w:rsid w:val="445C2041"/>
    <w:rsid w:val="447B120C"/>
    <w:rsid w:val="44FE48D0"/>
    <w:rsid w:val="452F65D9"/>
    <w:rsid w:val="45A334CC"/>
    <w:rsid w:val="45F15DE3"/>
    <w:rsid w:val="46091C73"/>
    <w:rsid w:val="46AA0DC7"/>
    <w:rsid w:val="472F2AB9"/>
    <w:rsid w:val="47A76D60"/>
    <w:rsid w:val="489933B0"/>
    <w:rsid w:val="48AE6F24"/>
    <w:rsid w:val="49696787"/>
    <w:rsid w:val="49853590"/>
    <w:rsid w:val="49AF1830"/>
    <w:rsid w:val="4A185268"/>
    <w:rsid w:val="4A86471D"/>
    <w:rsid w:val="4A9260D9"/>
    <w:rsid w:val="4A994EBB"/>
    <w:rsid w:val="4ADC48C7"/>
    <w:rsid w:val="4C5E2698"/>
    <w:rsid w:val="4C7E5339"/>
    <w:rsid w:val="4CAA7D0C"/>
    <w:rsid w:val="4CAC35AB"/>
    <w:rsid w:val="4CF47FA9"/>
    <w:rsid w:val="4D332BE4"/>
    <w:rsid w:val="4DC8566A"/>
    <w:rsid w:val="4DE92C8A"/>
    <w:rsid w:val="4EF35EF5"/>
    <w:rsid w:val="4F5717DB"/>
    <w:rsid w:val="4F761B89"/>
    <w:rsid w:val="4FB0233C"/>
    <w:rsid w:val="50F0794C"/>
    <w:rsid w:val="50F10F18"/>
    <w:rsid w:val="51186530"/>
    <w:rsid w:val="521B04E7"/>
    <w:rsid w:val="52604033"/>
    <w:rsid w:val="53502861"/>
    <w:rsid w:val="53682734"/>
    <w:rsid w:val="54127201"/>
    <w:rsid w:val="541554AE"/>
    <w:rsid w:val="54636ACD"/>
    <w:rsid w:val="54926BF6"/>
    <w:rsid w:val="54D13111"/>
    <w:rsid w:val="55156EC1"/>
    <w:rsid w:val="55350FB9"/>
    <w:rsid w:val="55763794"/>
    <w:rsid w:val="558C5859"/>
    <w:rsid w:val="56051B02"/>
    <w:rsid w:val="564867DE"/>
    <w:rsid w:val="566D7E2B"/>
    <w:rsid w:val="56A36D4C"/>
    <w:rsid w:val="577F341C"/>
    <w:rsid w:val="57AC7A40"/>
    <w:rsid w:val="57EB26BA"/>
    <w:rsid w:val="57EE788F"/>
    <w:rsid w:val="59460C90"/>
    <w:rsid w:val="594F3D71"/>
    <w:rsid w:val="59595D02"/>
    <w:rsid w:val="599E39FF"/>
    <w:rsid w:val="5A7E3CDB"/>
    <w:rsid w:val="5B881EE6"/>
    <w:rsid w:val="5BFF6039"/>
    <w:rsid w:val="5C0D738F"/>
    <w:rsid w:val="5C2D7C87"/>
    <w:rsid w:val="5C9D0353"/>
    <w:rsid w:val="5CEC7901"/>
    <w:rsid w:val="5D4319AA"/>
    <w:rsid w:val="5D435C2E"/>
    <w:rsid w:val="5D76A616"/>
    <w:rsid w:val="5D7F20B9"/>
    <w:rsid w:val="5DAC7D0E"/>
    <w:rsid w:val="5DDB463F"/>
    <w:rsid w:val="5E236A7A"/>
    <w:rsid w:val="5EB31139"/>
    <w:rsid w:val="5EFE3AF4"/>
    <w:rsid w:val="5F21577D"/>
    <w:rsid w:val="5F327AC1"/>
    <w:rsid w:val="5F98B5AF"/>
    <w:rsid w:val="5FE05774"/>
    <w:rsid w:val="5FEF42F2"/>
    <w:rsid w:val="5FFE8511"/>
    <w:rsid w:val="5FFEACE2"/>
    <w:rsid w:val="604A1F54"/>
    <w:rsid w:val="60543D3C"/>
    <w:rsid w:val="62073A38"/>
    <w:rsid w:val="62162CD5"/>
    <w:rsid w:val="621C6778"/>
    <w:rsid w:val="6255057F"/>
    <w:rsid w:val="63252315"/>
    <w:rsid w:val="643EE26D"/>
    <w:rsid w:val="651B5F9F"/>
    <w:rsid w:val="65297A59"/>
    <w:rsid w:val="654F1AD9"/>
    <w:rsid w:val="65684C52"/>
    <w:rsid w:val="6678535E"/>
    <w:rsid w:val="66905048"/>
    <w:rsid w:val="66B738CA"/>
    <w:rsid w:val="66E36E77"/>
    <w:rsid w:val="67942F36"/>
    <w:rsid w:val="68125F51"/>
    <w:rsid w:val="6828286B"/>
    <w:rsid w:val="68987702"/>
    <w:rsid w:val="6A652AEE"/>
    <w:rsid w:val="6ABB0EB5"/>
    <w:rsid w:val="6B256582"/>
    <w:rsid w:val="6B3E02CA"/>
    <w:rsid w:val="6B585015"/>
    <w:rsid w:val="6BB0103A"/>
    <w:rsid w:val="6C510ADE"/>
    <w:rsid w:val="6D384FB4"/>
    <w:rsid w:val="6DA966A4"/>
    <w:rsid w:val="6DAB4764"/>
    <w:rsid w:val="6E121651"/>
    <w:rsid w:val="6EC7630E"/>
    <w:rsid w:val="6F5C41AC"/>
    <w:rsid w:val="6F641127"/>
    <w:rsid w:val="6F904F30"/>
    <w:rsid w:val="6FAF6C78"/>
    <w:rsid w:val="707B4FC8"/>
    <w:rsid w:val="72114963"/>
    <w:rsid w:val="725B2AFC"/>
    <w:rsid w:val="73064ABA"/>
    <w:rsid w:val="7317C656"/>
    <w:rsid w:val="73254EB4"/>
    <w:rsid w:val="73437AB7"/>
    <w:rsid w:val="734ED73F"/>
    <w:rsid w:val="743866A4"/>
    <w:rsid w:val="743E040D"/>
    <w:rsid w:val="74472B51"/>
    <w:rsid w:val="746025FA"/>
    <w:rsid w:val="74A66204"/>
    <w:rsid w:val="752E443E"/>
    <w:rsid w:val="755D1C90"/>
    <w:rsid w:val="75884A9C"/>
    <w:rsid w:val="75AC7D00"/>
    <w:rsid w:val="75BB7EE9"/>
    <w:rsid w:val="76656AE7"/>
    <w:rsid w:val="767321C8"/>
    <w:rsid w:val="76F1011E"/>
    <w:rsid w:val="772B5869"/>
    <w:rsid w:val="779F61AE"/>
    <w:rsid w:val="77CE3C77"/>
    <w:rsid w:val="77FD8BE9"/>
    <w:rsid w:val="7828357F"/>
    <w:rsid w:val="7890212B"/>
    <w:rsid w:val="78D56006"/>
    <w:rsid w:val="78FF70C3"/>
    <w:rsid w:val="794436DC"/>
    <w:rsid w:val="79A9BD3F"/>
    <w:rsid w:val="7B7132FF"/>
    <w:rsid w:val="7BFFFDD0"/>
    <w:rsid w:val="7C336E5F"/>
    <w:rsid w:val="7C5E360B"/>
    <w:rsid w:val="7CAD6F43"/>
    <w:rsid w:val="7CFE150F"/>
    <w:rsid w:val="7D7A5F86"/>
    <w:rsid w:val="7DBB0560"/>
    <w:rsid w:val="7DD760BB"/>
    <w:rsid w:val="7E3E5BD2"/>
    <w:rsid w:val="7EB71F42"/>
    <w:rsid w:val="7ECD6BB1"/>
    <w:rsid w:val="7ED72505"/>
    <w:rsid w:val="7EEF5267"/>
    <w:rsid w:val="7F37BB4E"/>
    <w:rsid w:val="7F5C2305"/>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Char"/>
    <w:basedOn w:val="15"/>
    <w:link w:val="6"/>
    <w:qFormat/>
    <w:uiPriority w:val="0"/>
    <w:rPr>
      <w:rFonts w:ascii="Times New Roman" w:hAnsi="Times New Roman" w:eastAsia="宋体" w:cs="Times New Roman"/>
      <w:kern w:val="2"/>
      <w:sz w:val="18"/>
      <w:szCs w:val="18"/>
    </w:rPr>
  </w:style>
  <w:style w:type="character" w:customStyle="1" w:styleId="21">
    <w:name w:val="页眉 Char"/>
    <w:basedOn w:val="15"/>
    <w:link w:val="8"/>
    <w:qFormat/>
    <w:uiPriority w:val="0"/>
    <w:rPr>
      <w:rFonts w:ascii="Times New Roman" w:hAnsi="Times New Roman" w:eastAsia="宋体" w:cs="Times New Roman"/>
      <w:kern w:val="2"/>
      <w:sz w:val="18"/>
      <w:szCs w:val="18"/>
    </w:rPr>
  </w:style>
  <w:style w:type="character" w:customStyle="1" w:styleId="22">
    <w:name w:val="批注文字 Char"/>
    <w:basedOn w:val="15"/>
    <w:link w:val="4"/>
    <w:qFormat/>
    <w:uiPriority w:val="0"/>
    <w:rPr>
      <w:rFonts w:ascii="Times New Roman" w:hAnsi="Times New Roman" w:eastAsia="宋体" w:cs="Times New Roman"/>
      <w:kern w:val="2"/>
      <w:sz w:val="21"/>
      <w:szCs w:val="24"/>
    </w:rPr>
  </w:style>
  <w:style w:type="character" w:customStyle="1" w:styleId="23">
    <w:name w:val="批注主题 Char"/>
    <w:basedOn w:val="22"/>
    <w:link w:val="11"/>
    <w:qFormat/>
    <w:uiPriority w:val="0"/>
    <w:rPr>
      <w:rFonts w:ascii="Times New Roman" w:hAnsi="Times New Roman" w:eastAsia="宋体" w:cs="Times New Roman"/>
      <w:b/>
      <w:bCs/>
      <w:kern w:val="2"/>
      <w:sz w:val="21"/>
      <w:szCs w:val="24"/>
    </w:rPr>
  </w:style>
  <w:style w:type="paragraph" w:customStyle="1" w:styleId="24">
    <w:name w:val="闻政正文"/>
    <w:basedOn w:val="1"/>
    <w:qFormat/>
    <w:uiPriority w:val="99"/>
    <w:pPr>
      <w:spacing w:line="500" w:lineRule="exact"/>
      <w:ind w:firstLine="883" w:firstLineChars="200"/>
    </w:pPr>
    <w:rPr>
      <w:rFonts w:eastAsia="仿宋_GB2312"/>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9745</Words>
  <Characters>10102</Characters>
  <Lines>76</Lines>
  <Paragraphs>21</Paragraphs>
  <TotalTime>0</TotalTime>
  <ScaleCrop>false</ScaleCrop>
  <LinksUpToDate>false</LinksUpToDate>
  <CharactersWithSpaces>10116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2024-09-25T10:32:00Z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66FF0395377F4040AC679B57473C612E_13</vt:lpwstr>
  </property>
</Properties>
</file>