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both"/>
        <w:rPr>
          <w:rFonts w:hint="default" w:ascii="Times New Roman" w:hAnsi="Times New Roman" w:eastAsia="华文中宋" w:cs="Times New Roman"/>
          <w:b/>
          <w:kern w:val="0"/>
          <w:sz w:val="52"/>
          <w:szCs w:val="52"/>
        </w:rPr>
      </w:pPr>
    </w:p>
    <w:p>
      <w:pPr>
        <w:spacing w:line="540" w:lineRule="exact"/>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pStyle w:val="3"/>
        <w:bidi w:val="0"/>
        <w:jc w:val="center"/>
        <w:rPr>
          <w:rFonts w:hint="default"/>
        </w:rPr>
      </w:pPr>
      <w:r>
        <w:rPr>
          <w:rFonts w:hint="default"/>
          <w:lang w:val="en-US" w:eastAsia="zh-CN"/>
        </w:rPr>
        <w:t>项目前期费</w:t>
      </w:r>
      <w:bookmarkStart w:id="6" w:name="_GoBack"/>
      <w:bookmarkEnd w:id="6"/>
      <w:r>
        <w:rPr>
          <w:rFonts w:hint="default"/>
          <w:lang w:val="en-US" w:eastAsia="zh-CN"/>
        </w:rPr>
        <w:t>—哈密市第二中学室外配套基础设施建设</w:t>
      </w:r>
      <w:r>
        <w:rPr>
          <w:rFonts w:hint="default"/>
        </w:rPr>
        <w:t>项目支出绩效评价报告</w:t>
      </w: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 202</w:t>
      </w:r>
      <w:r>
        <w:rPr>
          <w:rFonts w:hint="eastAsia" w:eastAsia="仿宋_GB2312" w:cs="Times New Roman"/>
          <w:kern w:val="0"/>
          <w:sz w:val="36"/>
          <w:szCs w:val="36"/>
          <w:lang w:val="en-US" w:eastAsia="zh-CN"/>
        </w:rPr>
        <w:t>3</w:t>
      </w:r>
      <w:r>
        <w:rPr>
          <w:rFonts w:hint="default" w:ascii="Times New Roman" w:hAnsi="Times New Roman" w:eastAsia="仿宋_GB2312" w:cs="Times New Roman"/>
          <w:kern w:val="0"/>
          <w:sz w:val="36"/>
          <w:szCs w:val="36"/>
        </w:rPr>
        <w:t>年度）</w:t>
      </w: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pStyle w:val="11"/>
        <w:rPr>
          <w:rFonts w:hint="default" w:ascii="Times New Roman" w:hAnsi="Times New Roman" w:cs="Times New Roman"/>
        </w:rPr>
      </w:pPr>
    </w:p>
    <w:p>
      <w:pPr>
        <w:spacing w:line="540" w:lineRule="exact"/>
        <w:jc w:val="center"/>
        <w:rPr>
          <w:rFonts w:hint="default" w:ascii="Times New Roman" w:hAnsi="Times New Roman" w:eastAsia="仿宋_GB2312" w:cs="Times New Roman"/>
          <w:kern w:val="0"/>
          <w:sz w:val="30"/>
          <w:szCs w:val="30"/>
        </w:rPr>
      </w:pPr>
    </w:p>
    <w:p>
      <w:pPr>
        <w:spacing w:line="540" w:lineRule="exact"/>
        <w:rPr>
          <w:rFonts w:hint="default" w:ascii="Times New Roman" w:hAnsi="Times New Roman" w:eastAsia="仿宋_GB2312" w:cs="Times New Roman"/>
          <w:kern w:val="0"/>
          <w:sz w:val="30"/>
          <w:szCs w:val="30"/>
        </w:rPr>
      </w:pPr>
    </w:p>
    <w:p>
      <w:pPr>
        <w:spacing w:line="700" w:lineRule="exact"/>
        <w:ind w:firstLine="1440" w:firstLineChars="4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项目名称：项目前期费—哈密市第二中学室外配套基础设施建设项目</w:t>
      </w:r>
    </w:p>
    <w:p>
      <w:pPr>
        <w:spacing w:line="700" w:lineRule="exact"/>
        <w:ind w:firstLine="1440" w:firstLineChars="4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实施单位（公章）：</w:t>
      </w:r>
      <w:r>
        <w:rPr>
          <w:rFonts w:hint="eastAsia" w:eastAsia="仿宋_GB2312" w:cs="Times New Roman"/>
          <w:kern w:val="0"/>
          <w:sz w:val="36"/>
          <w:szCs w:val="36"/>
          <w:lang w:val="en-US" w:eastAsia="zh-CN"/>
        </w:rPr>
        <w:t>哈密市第二中学</w:t>
      </w:r>
    </w:p>
    <w:p>
      <w:pPr>
        <w:spacing w:line="700" w:lineRule="exact"/>
        <w:ind w:firstLine="1440" w:firstLineChars="4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主管部门（公章）：</w:t>
      </w:r>
      <w:r>
        <w:rPr>
          <w:rFonts w:hint="eastAsia" w:eastAsia="仿宋_GB2312" w:cs="Times New Roman"/>
          <w:kern w:val="0"/>
          <w:sz w:val="36"/>
          <w:szCs w:val="36"/>
          <w:lang w:val="en-US" w:eastAsia="zh-CN"/>
        </w:rPr>
        <w:t>哈密市</w:t>
      </w:r>
      <w:bookmarkStart w:id="0" w:name="OLE_LINK1"/>
      <w:r>
        <w:rPr>
          <w:rFonts w:hint="eastAsia" w:eastAsia="仿宋_GB2312" w:cs="Times New Roman"/>
          <w:kern w:val="0"/>
          <w:sz w:val="36"/>
          <w:szCs w:val="36"/>
          <w:lang w:val="en-US" w:eastAsia="zh-CN"/>
        </w:rPr>
        <w:t>第</w:t>
      </w:r>
      <w:bookmarkEnd w:id="0"/>
      <w:r>
        <w:rPr>
          <w:rFonts w:hint="eastAsia" w:eastAsia="仿宋_GB2312" w:cs="Times New Roman"/>
          <w:kern w:val="0"/>
          <w:sz w:val="36"/>
          <w:szCs w:val="36"/>
          <w:lang w:val="en-US" w:eastAsia="zh-CN"/>
        </w:rPr>
        <w:t>二中学</w:t>
      </w:r>
    </w:p>
    <w:p>
      <w:pPr>
        <w:spacing w:line="700" w:lineRule="exact"/>
        <w:ind w:firstLine="1440" w:firstLineChars="400"/>
        <w:jc w:val="left"/>
        <w:rPr>
          <w:rFonts w:hint="eastAsia"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项目负责人（签章）：</w:t>
      </w:r>
      <w:r>
        <w:rPr>
          <w:rFonts w:hint="eastAsia" w:eastAsia="仿宋_GB2312" w:cs="Times New Roman"/>
          <w:kern w:val="0"/>
          <w:sz w:val="36"/>
          <w:szCs w:val="36"/>
          <w:lang w:val="en-US" w:eastAsia="zh-CN"/>
        </w:rPr>
        <w:t>邢燕子</w:t>
      </w:r>
    </w:p>
    <w:p>
      <w:pPr>
        <w:spacing w:line="700" w:lineRule="exact"/>
        <w:ind w:firstLine="1440" w:firstLineChars="400"/>
        <w:jc w:val="left"/>
        <w:rPr>
          <w:rFonts w:hint="default" w:ascii="Times New Roman" w:hAnsi="Times New Roman" w:eastAsia="仿宋_GB2312" w:cs="Times New Roman"/>
          <w:kern w:val="0"/>
          <w:sz w:val="36"/>
          <w:szCs w:val="36"/>
          <w:lang w:val="en-US"/>
        </w:rPr>
      </w:pPr>
      <w:r>
        <w:rPr>
          <w:rFonts w:hint="default" w:ascii="Times New Roman" w:hAnsi="Times New Roman" w:eastAsia="仿宋_GB2312" w:cs="Times New Roman"/>
          <w:kern w:val="0"/>
          <w:sz w:val="36"/>
          <w:szCs w:val="36"/>
        </w:rPr>
        <w:t>填报时间：</w:t>
      </w:r>
      <w:r>
        <w:rPr>
          <w:rFonts w:hint="eastAsia" w:eastAsia="仿宋_GB2312" w:cs="Times New Roman"/>
          <w:kern w:val="0"/>
          <w:sz w:val="36"/>
          <w:szCs w:val="36"/>
          <w:lang w:val="en-US" w:eastAsia="zh-CN"/>
        </w:rPr>
        <w:t>2024年3月16日</w:t>
      </w:r>
    </w:p>
    <w:p>
      <w:pPr>
        <w:spacing w:line="540" w:lineRule="exact"/>
        <w:jc w:val="center"/>
        <w:rPr>
          <w:rFonts w:hint="default" w:ascii="Times New Roman" w:hAnsi="Times New Roman" w:eastAsia="仿宋_GB2312" w:cs="Times New Roman"/>
          <w:kern w:val="0"/>
          <w:sz w:val="30"/>
          <w:szCs w:val="30"/>
        </w:rPr>
      </w:pPr>
    </w:p>
    <w:p>
      <w:pPr>
        <w:spacing w:line="560" w:lineRule="exact"/>
        <w:rPr>
          <w:rFonts w:hint="default" w:ascii="Times New Roman" w:hAnsi="Times New Roman" w:eastAsia="黑体" w:cs="Times New Roman"/>
          <w:bCs/>
          <w:sz w:val="32"/>
          <w:szCs w:val="32"/>
        </w:rPr>
        <w:sectPr>
          <w:footerReference r:id="rId3" w:type="default"/>
          <w:pgSz w:w="11906" w:h="16838"/>
          <w:pgMar w:top="1440" w:right="1558" w:bottom="1440" w:left="1800" w:header="851" w:footer="992" w:gutter="0"/>
          <w:cols w:space="425" w:num="1"/>
          <w:docGrid w:type="lines" w:linePitch="312" w:charSpace="0"/>
        </w:sectPr>
      </w:pP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方正楷体_GB2312" w:hAnsi="方正楷体_GB2312" w:eastAsia="方正楷体_GB2312" w:cs="方正楷体_GB2312"/>
          <w:b/>
          <w:bCs/>
          <w:sz w:val="32"/>
          <w:szCs w:val="32"/>
        </w:rPr>
      </w:pPr>
      <w:r>
        <w:rPr>
          <w:rFonts w:hint="default" w:ascii="方正楷体_GB2312" w:hAnsi="方正楷体_GB2312" w:eastAsia="方正楷体_GB2312" w:cs="方正楷体_GB2312"/>
          <w:b/>
          <w:bCs/>
          <w:sz w:val="32"/>
          <w:szCs w:val="32"/>
        </w:rPr>
        <w:t>（一）项目概况</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pPr>
        <w:pStyle w:val="11"/>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333333"/>
          <w:kern w:val="0"/>
          <w:sz w:val="32"/>
          <w:szCs w:val="32"/>
          <w:shd w:val="clear" w:color="auto" w:fill="FFFFFF"/>
          <w:lang w:eastAsia="zh-CN" w:bidi="ar"/>
        </w:rPr>
      </w:pPr>
      <w:r>
        <w:rPr>
          <w:rFonts w:hint="eastAsia" w:ascii="仿宋_GB2312" w:hAnsi="仿宋_GB2312" w:eastAsia="仿宋_GB2312" w:cs="仿宋_GB2312"/>
          <w:b w:val="0"/>
          <w:bCs w:val="0"/>
          <w:color w:val="333333"/>
          <w:kern w:val="0"/>
          <w:sz w:val="32"/>
          <w:szCs w:val="32"/>
          <w:shd w:val="clear" w:color="auto" w:fill="FFFFFF"/>
          <w:lang w:bidi="ar"/>
        </w:rPr>
        <w:t>哈密市第二中学于2015年6月9日学校已由老校区整体搬迁至伊州大道新校区。校园主要建筑的建设均已经十分完善，但校园配套基础设施当时在实施过程中，管网回填覆土使用了大量的盐碱土，也未严格进行管网防腐处理，造成目前校园给排水管网和供热管网大量腐蚀破坏，室外管网经常出现跑、冒、滴、漏现象，造成校园内主要建筑经常断水、排水不畅和供热不足、地面沉降、开裂问题。由于校园配套管网经常出现故障，已经严重影响了学校的各项工作正常开展，也直接影响了学校的正常教学秩序。新建校园配套基础设施工程是在对哈密市第二中学配套基础管网设施现状问题深入调查的基础上，根据哈密市第二中学用地规划布局并结合修建性详细规划，科学制定项目区给水系统、排水系统、供热系统的各项指标，并合理安排</w:t>
      </w:r>
      <w:r>
        <w:rPr>
          <w:rFonts w:hint="eastAsia" w:ascii="仿宋_GB2312" w:hAnsi="仿宋_GB2312" w:eastAsia="仿宋_GB2312" w:cs="仿宋_GB2312"/>
          <w:b w:val="0"/>
          <w:bCs w:val="0"/>
          <w:color w:val="333333"/>
          <w:kern w:val="0"/>
          <w:sz w:val="32"/>
          <w:szCs w:val="32"/>
          <w:shd w:val="clear" w:color="auto" w:fill="FFFFFF"/>
          <w:lang w:eastAsia="zh-CN" w:bidi="ar"/>
        </w:rPr>
        <w:t>其他</w:t>
      </w:r>
      <w:r>
        <w:rPr>
          <w:rFonts w:hint="eastAsia" w:ascii="仿宋_GB2312" w:hAnsi="仿宋_GB2312" w:eastAsia="仿宋_GB2312" w:cs="仿宋_GB2312"/>
          <w:b w:val="0"/>
          <w:bCs w:val="0"/>
          <w:color w:val="333333"/>
          <w:kern w:val="0"/>
          <w:sz w:val="32"/>
          <w:szCs w:val="32"/>
          <w:shd w:val="clear" w:color="auto" w:fill="FFFFFF"/>
          <w:lang w:bidi="ar"/>
        </w:rPr>
        <w:t>各项建设内容，达到优化校园环境，促进哈密市第二中学建设可持续发展的目的</w:t>
      </w:r>
      <w:r>
        <w:rPr>
          <w:rFonts w:hint="eastAsia" w:ascii="仿宋_GB2312" w:hAnsi="仿宋_GB2312" w:eastAsia="仿宋_GB2312" w:cs="仿宋_GB2312"/>
          <w:b w:val="0"/>
          <w:bCs w:val="0"/>
          <w:color w:val="333333"/>
          <w:kern w:val="0"/>
          <w:sz w:val="32"/>
          <w:szCs w:val="32"/>
          <w:shd w:val="clear" w:color="auto" w:fill="FFFFFF"/>
          <w:lang w:eastAsia="zh-CN" w:bidi="ar"/>
        </w:rPr>
        <w:t>。</w:t>
      </w:r>
    </w:p>
    <w:p>
      <w:pPr>
        <w:pStyle w:val="11"/>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333333"/>
          <w:kern w:val="0"/>
          <w:sz w:val="32"/>
          <w:szCs w:val="32"/>
          <w:shd w:val="clear" w:color="auto" w:fill="FFFFFF"/>
          <w:lang w:bidi="ar"/>
        </w:rPr>
      </w:pPr>
      <w:r>
        <w:rPr>
          <w:rFonts w:hint="eastAsia" w:ascii="仿宋_GB2312" w:hAnsi="仿宋_GB2312" w:eastAsia="仿宋_GB2312" w:cs="仿宋_GB2312"/>
          <w:b w:val="0"/>
          <w:bCs w:val="0"/>
          <w:color w:val="333333"/>
          <w:kern w:val="0"/>
          <w:sz w:val="32"/>
          <w:szCs w:val="32"/>
          <w:shd w:val="clear" w:color="auto" w:fill="FFFFFF"/>
          <w:lang w:bidi="ar"/>
        </w:rPr>
        <w:t>学校地下管网改造项目的背景通常是为了改善学校的基础设施，保障学校的正常运行，提高师生的生活质量，同时满足节能环保和学校发展的需求。通过改造，可以提升管网的安全性、可靠性和效率，为学校的可持续发展提供有力支持。在进行地下管网改造项目时，充分考虑学校的实际情况，制定合理的改造方案，确保项目的顺利实施和取得良好的效果。</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eastAsia" w:eastAsia="仿宋_GB2312" w:cs="Times New Roman"/>
          <w:b/>
          <w:bCs/>
          <w:sz w:val="32"/>
          <w:szCs w:val="32"/>
          <w:lang w:val="en-US" w:eastAsia="zh-CN"/>
        </w:rPr>
        <w:t>2.</w:t>
      </w:r>
      <w:r>
        <w:rPr>
          <w:rFonts w:hint="default" w:ascii="Times New Roman" w:hAnsi="Times New Roman" w:eastAsia="仿宋_GB2312" w:cs="Times New Roman"/>
          <w:b/>
          <w:bCs/>
          <w:sz w:val="32"/>
          <w:szCs w:val="32"/>
        </w:rPr>
        <w:t>项目主要内容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color w:val="333333"/>
          <w:sz w:val="32"/>
          <w:szCs w:val="32"/>
          <w:shd w:val="clear" w:color="auto" w:fill="FFFFFF"/>
        </w:rPr>
        <w:t>因哈密市第二中学新校区为原哈密硫酸厂和哈密水泥厂旧场址，土壤呈强碱性、强酸性，腐蚀性极强，极易腐蚀管网，哈密市第二中学自2019年以来地下管网（主要是给水、消防管网）出现多次严重漏水现象，消防管网经常压力不足，导致学校消防存在重大安全隐患，在开挖维修过程中发现管网严重被腐蚀，另外漏水还使校园多处地面下陷，致使地面高低不平，影响了学校校园美观。</w:t>
      </w:r>
      <w:r>
        <w:rPr>
          <w:rFonts w:hint="eastAsia" w:ascii="仿宋_GB2312" w:hAnsi="仿宋_GB2312" w:eastAsia="仿宋_GB2312" w:cs="仿宋_GB2312"/>
          <w:color w:val="333333"/>
          <w:sz w:val="32"/>
          <w:szCs w:val="32"/>
          <w:shd w:val="clear" w:color="auto" w:fill="FFFFFF"/>
          <w:lang w:val="en-US" w:eastAsia="zh-CN"/>
        </w:rPr>
        <w:t>支付各项</w:t>
      </w:r>
      <w:r>
        <w:rPr>
          <w:rFonts w:hint="eastAsia" w:ascii="仿宋_GB2312" w:hAnsi="仿宋_GB2312" w:eastAsia="仿宋_GB2312" w:cs="仿宋_GB2312"/>
          <w:b w:val="0"/>
          <w:bCs w:val="0"/>
          <w:color w:val="333333"/>
          <w:kern w:val="0"/>
          <w:sz w:val="32"/>
          <w:szCs w:val="32"/>
          <w:shd w:val="clear" w:color="auto" w:fill="FFFFFF"/>
          <w:lang w:val="en-US" w:eastAsia="zh-CN" w:bidi="ar"/>
        </w:rPr>
        <w:t>外配套各项前期费用，监理费，造价</w:t>
      </w:r>
      <w:r>
        <w:rPr>
          <w:rFonts w:hint="eastAsia" w:ascii="仿宋_GB2312" w:hAnsi="仿宋_GB2312" w:eastAsia="仿宋_GB2312" w:cs="仿宋_GB2312"/>
          <w:sz w:val="32"/>
          <w:szCs w:val="32"/>
          <w:lang w:val="en-US" w:eastAsia="zh-CN"/>
        </w:rPr>
        <w:t>咨询</w:t>
      </w:r>
      <w:r>
        <w:rPr>
          <w:rFonts w:hint="eastAsia" w:ascii="仿宋_GB2312" w:hAnsi="仿宋_GB2312" w:eastAsia="仿宋_GB2312" w:cs="仿宋_GB2312"/>
          <w:b w:val="0"/>
          <w:bCs w:val="0"/>
          <w:color w:val="333333"/>
          <w:kern w:val="0"/>
          <w:sz w:val="32"/>
          <w:szCs w:val="32"/>
          <w:shd w:val="clear" w:color="auto" w:fill="FFFFFF"/>
          <w:lang w:val="en-US" w:eastAsia="zh-CN" w:bidi="ar"/>
        </w:rPr>
        <w:t>费等。</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rPr>
      </w:pPr>
      <w:r>
        <w:rPr>
          <w:rFonts w:hint="eastAsia" w:ascii="仿宋_GB2312" w:hAnsi="仿宋_GB2312" w:eastAsia="仿宋_GB2312" w:cs="仿宋_GB2312"/>
          <w:b/>
          <w:bCs/>
          <w:sz w:val="32"/>
          <w:szCs w:val="32"/>
        </w:rPr>
        <w:t>3</w:t>
      </w:r>
      <w:r>
        <w:rPr>
          <w:rFonts w:hint="eastAsia" w:ascii="仿宋_GB2312" w:hAnsi="仿宋_GB2312" w:eastAsia="仿宋_GB2312" w:cs="仿宋_GB2312"/>
          <w:b/>
          <w:bCs/>
          <w:sz w:val="32"/>
          <w:szCs w:val="32"/>
          <w:lang w:val="en-US" w:eastAsia="zh-CN"/>
        </w:rPr>
        <w:t>.</w:t>
      </w:r>
      <w:r>
        <w:rPr>
          <w:rFonts w:hint="eastAsia" w:ascii="仿宋_GB2312" w:hAnsi="仿宋_GB2312" w:eastAsia="仿宋_GB2312" w:cs="仿宋_GB2312"/>
          <w:b/>
          <w:bCs/>
          <w:sz w:val="32"/>
          <w:szCs w:val="32"/>
        </w:rPr>
        <w:t>资金投入和使用情况</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eastAsia="仿宋_GB2312" w:cs="Times New Roman"/>
          <w:b/>
          <w:bCs/>
          <w:sz w:val="32"/>
          <w:szCs w:val="32"/>
          <w:lang w:val="en-US" w:eastAsia="zh-CN"/>
        </w:rPr>
      </w:pPr>
      <w:r>
        <w:rPr>
          <w:rFonts w:hint="eastAsia" w:eastAsia="仿宋_GB2312" w:cs="Times New Roman"/>
          <w:b/>
          <w:bCs/>
          <w:sz w:val="32"/>
          <w:szCs w:val="32"/>
          <w:lang w:val="en-US" w:eastAsia="zh-CN"/>
        </w:rPr>
        <w:t>（1）资金投入情况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333333"/>
          <w:sz w:val="32"/>
          <w:szCs w:val="32"/>
          <w:shd w:val="clear" w:color="auto" w:fill="FFFFFF"/>
          <w:lang w:val="en-US" w:eastAsia="zh-CN"/>
        </w:rPr>
      </w:pPr>
      <w:r>
        <w:rPr>
          <w:rFonts w:hint="eastAsia" w:ascii="仿宋_GB2312" w:hAnsi="仿宋_GB2312" w:eastAsia="仿宋_GB2312" w:cs="仿宋_GB2312"/>
          <w:color w:val="333333"/>
          <w:sz w:val="32"/>
          <w:szCs w:val="32"/>
          <w:shd w:val="clear" w:color="auto" w:fill="FFFFFF"/>
          <w:lang w:val="en-US" w:eastAsia="zh-CN"/>
        </w:rPr>
        <w:t>项目前期费—哈密市第二中学室外配套基础设施建设项目2023年总预算资金19.43万元，项目资金为19.43哈密市本级财政资金，项目资金到位数19.43万元，资金到位率100%。</w:t>
      </w:r>
    </w:p>
    <w:p>
      <w:pPr>
        <w:pStyle w:val="11"/>
        <w:numPr>
          <w:ilvl w:val="0"/>
          <w:numId w:val="1"/>
        </w:numPr>
        <w:ind w:left="642" w:leftChars="0" w:firstLine="0" w:firstLineChars="0"/>
        <w:jc w:val="left"/>
        <w:rPr>
          <w:rFonts w:hint="eastAsia" w:eastAsia="仿宋_GB2312" w:cs="Times New Roman"/>
          <w:b/>
          <w:bCs/>
          <w:sz w:val="32"/>
          <w:szCs w:val="32"/>
          <w:lang w:val="en-US" w:eastAsia="zh-CN"/>
        </w:rPr>
      </w:pPr>
      <w:r>
        <w:rPr>
          <w:rFonts w:hint="eastAsia" w:eastAsia="仿宋_GB2312" w:cs="Times New Roman"/>
          <w:b/>
          <w:bCs/>
          <w:sz w:val="32"/>
          <w:szCs w:val="32"/>
          <w:lang w:val="en-US" w:eastAsia="zh-CN"/>
        </w:rPr>
        <w:t>资金使用情况</w:t>
      </w:r>
    </w:p>
    <w:p>
      <w:pPr>
        <w:numPr>
          <w:ilvl w:val="0"/>
          <w:numId w:val="0"/>
        </w:numPr>
        <w:rPr>
          <w:rFonts w:hint="default" w:ascii="仿宋_GB2312" w:hAnsi="仿宋_GB2312" w:eastAsia="仿宋_GB2312" w:cs="仿宋_GB2312"/>
          <w:color w:val="333333"/>
          <w:sz w:val="32"/>
          <w:szCs w:val="32"/>
          <w:shd w:val="clear" w:color="auto" w:fill="FFFFFF"/>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color w:val="333333"/>
          <w:sz w:val="32"/>
          <w:szCs w:val="32"/>
          <w:shd w:val="clear" w:color="auto" w:fill="FFFFFF"/>
          <w:lang w:val="en-US" w:eastAsia="zh-CN"/>
        </w:rPr>
        <w:t xml:space="preserve"> </w:t>
      </w:r>
      <w:r>
        <w:rPr>
          <w:rFonts w:hint="default" w:ascii="仿宋_GB2312" w:hAnsi="仿宋_GB2312" w:eastAsia="仿宋_GB2312" w:cs="仿宋_GB2312"/>
          <w:color w:val="333333"/>
          <w:sz w:val="32"/>
          <w:szCs w:val="32"/>
          <w:shd w:val="clear" w:color="auto" w:fill="FFFFFF"/>
          <w:lang w:val="en-US" w:eastAsia="zh-CN"/>
        </w:rPr>
        <w:t>项目前期费—哈密市第二中学室外配套基础设施建设</w:t>
      </w:r>
      <w:r>
        <w:rPr>
          <w:rFonts w:hint="eastAsia" w:ascii="仿宋_GB2312" w:hAnsi="仿宋_GB2312" w:eastAsia="仿宋_GB2312" w:cs="仿宋_GB2312"/>
          <w:color w:val="333333"/>
          <w:sz w:val="32"/>
          <w:szCs w:val="32"/>
          <w:shd w:val="clear" w:color="auto" w:fill="FFFFFF"/>
          <w:lang w:val="en-US" w:eastAsia="zh-CN"/>
        </w:rPr>
        <w:t>项目年初预算数19.43万元，全年预算数为19.43万元，截至2023年12月31日全年执行数19.43万元，预算执行率为100%，项目资金主要用于支付监理费，造价咨询费，检测费。</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4.</w:t>
      </w:r>
      <w:r>
        <w:rPr>
          <w:rFonts w:hint="default" w:ascii="Times New Roman" w:hAnsi="Times New Roman" w:eastAsia="仿宋_GB2312" w:cs="Times New Roman"/>
          <w:b/>
          <w:bCs/>
          <w:sz w:val="32"/>
          <w:szCs w:val="32"/>
        </w:rPr>
        <w:t>实施情况</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按进度拨付专项资金，上报校党委，财务分管领导、财务室审核后结算资金。实行专款专用，加强对资金使用情况的管理与检查，自觉接受审计、财政、教育局等部门的监督，杜绝挤占、截留、挪用现金的发生，提高资金使用效益。此项目按照政府会计制度执行，所有项目支出，严格按照财务制度报账，符合财务管理规定，账务处理及时规范，总务处对项目的实施严格管理。项目前期工作是指开工建设前的各个工作环节，咨询费、招标代理服务费、监理费、造价费、检测费、设计服务费等工作，2023年前期费用19.42万元，主要用于支付管理费、造价费、检测费。</w:t>
      </w:r>
    </w:p>
    <w:p>
      <w:pPr>
        <w:keepNext w:val="0"/>
        <w:keepLines w:val="0"/>
        <w:pageBreakBefore w:val="0"/>
        <w:kinsoku/>
        <w:wordWrap/>
        <w:overflowPunct/>
        <w:topLinePunct w:val="0"/>
        <w:autoSpaceDE/>
        <w:autoSpaceDN/>
        <w:bidi w:val="0"/>
        <w:adjustRightInd/>
        <w:snapToGrid/>
        <w:spacing w:line="560" w:lineRule="exact"/>
        <w:ind w:firstLine="321" w:firstLineChars="100"/>
        <w:textAlignment w:val="auto"/>
        <w:rPr>
          <w:rFonts w:hint="eastAsia" w:ascii="方正楷体_GB2312" w:hAnsi="方正楷体_GB2312" w:eastAsia="方正楷体_GB2312" w:cs="方正楷体_GB2312"/>
          <w:b/>
          <w:bCs/>
          <w:sz w:val="32"/>
          <w:szCs w:val="32"/>
        </w:rPr>
      </w:pPr>
      <w:r>
        <w:rPr>
          <w:rFonts w:hint="eastAsia" w:ascii="方正楷体_GB2312" w:hAnsi="方正楷体_GB2312" w:eastAsia="方正楷体_GB2312" w:cs="方正楷体_GB2312"/>
          <w:b/>
          <w:bCs/>
          <w:sz w:val="32"/>
          <w:szCs w:val="32"/>
        </w:rPr>
        <w:t>（二）项目绩效目标</w:t>
      </w:r>
    </w:p>
    <w:p>
      <w:pPr>
        <w:pStyle w:val="11"/>
        <w:keepNext w:val="0"/>
        <w:keepLines w:val="0"/>
        <w:pageBreakBefore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b w:val="0"/>
          <w:bCs w:val="0"/>
          <w:kern w:val="2"/>
          <w:sz w:val="32"/>
          <w:szCs w:val="32"/>
          <w:lang w:val="en-US" w:eastAsia="zh-CN"/>
        </w:rPr>
        <w:t>1.总体目标</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333333"/>
          <w:kern w:val="2"/>
          <w:sz w:val="32"/>
          <w:szCs w:val="32"/>
          <w:shd w:val="clear" w:color="auto" w:fill="FFFFFF"/>
          <w:lang w:val="en-US" w:eastAsia="zh-CN" w:bidi="ar-SA"/>
        </w:rPr>
      </w:pPr>
      <w:r>
        <w:rPr>
          <w:rFonts w:hint="eastAsia" w:ascii="仿宋_GB2312" w:hAnsi="仿宋_GB2312" w:eastAsia="仿宋_GB2312" w:cs="仿宋_GB2312"/>
          <w:color w:val="333333"/>
          <w:kern w:val="2"/>
          <w:sz w:val="32"/>
          <w:szCs w:val="32"/>
          <w:shd w:val="clear" w:color="auto" w:fill="FFFFFF"/>
          <w:lang w:val="en-US" w:eastAsia="zh-CN" w:bidi="ar-SA"/>
        </w:rPr>
        <w:t>哈密市第二中学新校区由于当初建设是统一规划、高标准设计、严要求施工的示范工程，校园的建筑群是哈密市城区的一道靓丽的景观。但是目前哈密市第二中学配套基础管网设施现状破损严重，导致校园的主要建筑供水压力不足，用水极为不便；室外管网排水不通畅，大部分教学楼及宿舍楼上的卫生间无法正常使用；供热也达不到标准室温，由此既显示了校园基础条件的落后，同时也反映了社会物质文明程度不高，进而导致了众多师生对学校生活的不满。为了哈密市第二中学各项教学工作的顺利开展和师生在校园拥有舒适的工作、学习、生活环境，哈密市第二中学决定重新建设校园破坏严重的供水、排水、供暖等配套基础设施，以方便校园内广大师生工作、学习和生活，改善师生的生活质量，这是促进哈密市第二中学社会物质文明发展的需要，也是促进学校可持续发展的需要。</w:t>
      </w:r>
    </w:p>
    <w:p>
      <w:pPr>
        <w:pStyle w:val="11"/>
        <w:keepNext w:val="0"/>
        <w:keepLines w:val="0"/>
        <w:pageBreakBefore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val="en-US" w:eastAsia="zh-CN"/>
        </w:rPr>
        <w:t>2.阶段性目标</w:t>
      </w:r>
    </w:p>
    <w:p>
      <w:pPr>
        <w:ind w:firstLine="960" w:firstLineChars="3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2023年5月支付前期费用17.63万元（监理费9.83万元，造价费2.8万元，检测费5万元）</w:t>
      </w:r>
    </w:p>
    <w:p>
      <w:pPr>
        <w:ind w:firstLine="960" w:firstLineChars="300"/>
        <w:rPr>
          <w:rFonts w:hint="eastAsia"/>
          <w:lang w:val="en-US" w:eastAsia="zh-CN"/>
        </w:rPr>
      </w:pPr>
      <w:r>
        <w:rPr>
          <w:rFonts w:hint="eastAsia" w:ascii="仿宋_GB2312" w:hAnsi="仿宋_GB2312" w:eastAsia="仿宋_GB2312" w:cs="仿宋_GB2312"/>
          <w:sz w:val="32"/>
          <w:szCs w:val="32"/>
          <w:lang w:val="en-US" w:eastAsia="zh-CN"/>
        </w:rPr>
        <w:t>2023年8月支付前期费用支付监理费1.8万元。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1</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绩效评价的目的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keepNext w:val="0"/>
        <w:keepLines w:val="0"/>
        <w:pageBreakBefore w:val="0"/>
        <w:numPr>
          <w:ilvl w:val="0"/>
          <w:numId w:val="2"/>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项目在实施前向项目负责人提供财政支出绩效方面的资金管理信息，促进项目支出严格按照资金管理规定进行。</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仿宋_GB2312" w:cs="Times New Roman"/>
          <w:sz w:val="32"/>
          <w:szCs w:val="32"/>
        </w:rPr>
        <w:t>（2）项目绩效管</w:t>
      </w:r>
      <w:r>
        <w:rPr>
          <w:rFonts w:hint="eastAsia" w:eastAsia="仿宋_GB2312" w:cs="Times New Roman"/>
          <w:sz w:val="32"/>
          <w:szCs w:val="32"/>
          <w:lang w:eastAsia="zh-CN"/>
        </w:rPr>
        <w:t>理为</w:t>
      </w:r>
      <w:r>
        <w:rPr>
          <w:rFonts w:hint="default" w:ascii="Times New Roman" w:hAnsi="Times New Roman" w:eastAsia="仿宋_GB2312" w:cs="Times New Roman"/>
          <w:sz w:val="32"/>
          <w:szCs w:val="32"/>
        </w:rPr>
        <w:t>财政支出运行提供及时、有效的信息。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绩效评价的对象</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rPr>
      </w:pPr>
      <w:r>
        <w:rPr>
          <w:rFonts w:hint="default" w:ascii="仿宋_GB2312" w:hAnsi="仿宋_GB2312" w:eastAsia="仿宋_GB2312" w:cs="仿宋_GB2312"/>
          <w:sz w:val="32"/>
          <w:szCs w:val="32"/>
          <w:lang w:val="en-US" w:eastAsia="zh-CN"/>
        </w:rPr>
        <w:t>项目前期费—哈密市第二中学室外配套基础设施建设</w:t>
      </w:r>
      <w:r>
        <w:rPr>
          <w:rFonts w:hint="default" w:ascii="Times New Roman" w:hAnsi="Times New Roman" w:eastAsia="仿宋_GB2312" w:cs="Times New Roman"/>
          <w:kern w:val="0"/>
          <w:sz w:val="32"/>
          <w:szCs w:val="32"/>
          <w:lang w:val="en-US" w:eastAsia="zh-CN" w:bidi="ar-SA"/>
        </w:rPr>
        <w:t>项目所包含</w:t>
      </w:r>
      <w:r>
        <w:rPr>
          <w:rFonts w:hint="default" w:ascii="Times New Roman" w:hAnsi="Times New Roman" w:eastAsia="仿宋_GB2312" w:cs="Times New Roman"/>
          <w:sz w:val="32"/>
          <w:szCs w:val="32"/>
        </w:rPr>
        <w:t>的全部项目内容。</w:t>
      </w:r>
      <w:r>
        <w:rPr>
          <w:rFonts w:hint="eastAsia" w:ascii="Times New Roman" w:hAnsi="Times New Roman" w:eastAsia="仿宋_GB2312" w:cstheme="minorBidi"/>
          <w:bCs/>
          <w:color w:val="auto"/>
          <w:kern w:val="2"/>
          <w:sz w:val="32"/>
          <w:szCs w:val="32"/>
          <w:lang w:val="en-US" w:eastAsia="zh-CN" w:bidi="ar-SA"/>
        </w:rPr>
        <w:t>对项目决策、项目过程、项目产出情况、项目效益情况等方面进行评价，包括项目立项、绩效目标、资金投入、资金管理、产出数量、产出质量、产出效率、产出成本、社会效益、群众满意度等。通过评价，客观反映出</w:t>
      </w:r>
      <w:r>
        <w:rPr>
          <w:rFonts w:hint="eastAsia" w:eastAsia="仿宋_GB2312" w:cstheme="minorBidi"/>
          <w:bCs/>
          <w:color w:val="auto"/>
          <w:kern w:val="2"/>
          <w:sz w:val="32"/>
          <w:szCs w:val="32"/>
          <w:lang w:val="en-US" w:eastAsia="zh-CN" w:bidi="ar-SA"/>
        </w:rPr>
        <w:t>该</w:t>
      </w:r>
      <w:r>
        <w:rPr>
          <w:rFonts w:hint="eastAsia" w:ascii="Times New Roman" w:hAnsi="Times New Roman" w:eastAsia="仿宋_GB2312" w:cstheme="minorBidi"/>
          <w:bCs/>
          <w:color w:val="auto"/>
          <w:kern w:val="2"/>
          <w:sz w:val="32"/>
          <w:szCs w:val="32"/>
          <w:lang w:val="en-US" w:eastAsia="zh-CN" w:bidi="ar-SA"/>
        </w:rPr>
        <w:t>项目实施情况，以及该项目实施以来所产生的社会效益、经济效益、生态效益、可持续影响效益。</w:t>
      </w:r>
    </w:p>
    <w:p>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绩效评价的范围</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本次评价从项目决策（包括绩效目标、决策过程）、项目管理（包括项目资金、项目实施）、项目产出（包括项目产出数量、产出质量、产出时效和产出成本）项目效益四个维度对</w:t>
      </w:r>
      <w:r>
        <w:rPr>
          <w:rFonts w:hint="default" w:ascii="仿宋_GB2312" w:hAnsi="仿宋_GB2312" w:eastAsia="仿宋_GB2312" w:cs="仿宋_GB2312"/>
          <w:sz w:val="32"/>
          <w:szCs w:val="32"/>
          <w:lang w:val="en-US" w:eastAsia="zh-CN"/>
        </w:rPr>
        <w:t>项目前期费—哈密市第二中学室外配套基础设施建设</w:t>
      </w:r>
      <w:r>
        <w:rPr>
          <w:rFonts w:hint="default" w:ascii="Times New Roman" w:hAnsi="Times New Roman" w:eastAsia="仿宋_GB2312" w:cs="Times New Roman"/>
          <w:sz w:val="32"/>
          <w:szCs w:val="32"/>
          <w:highlight w:val="none"/>
        </w:rPr>
        <w:t>项目进行评</w:t>
      </w:r>
      <w:r>
        <w:rPr>
          <w:rFonts w:hint="default" w:ascii="Times New Roman" w:hAnsi="Times New Roman" w:eastAsia="仿宋_GB2312" w:cs="Times New Roman"/>
          <w:sz w:val="32"/>
          <w:szCs w:val="32"/>
        </w:rPr>
        <w:t>价，评价核心为专项资金的支出完成情况和效果。</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1</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绩效评价原则</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本次项目绩效评价遵循以下基本原则：</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（1）科学公正。绩效评价应当运用科学合理的方法，按照规范的程序，对项目绩效进行客观、公正</w:t>
      </w:r>
      <w:r>
        <w:rPr>
          <w:rFonts w:hint="eastAsia" w:eastAsia="仿宋_GB2312" w:cs="Times New Roman"/>
          <w:sz w:val="32"/>
          <w:szCs w:val="32"/>
          <w:lang w:eastAsia="zh-CN"/>
        </w:rPr>
        <w:t>地</w:t>
      </w:r>
      <w:r>
        <w:rPr>
          <w:rFonts w:hint="default" w:ascii="Times New Roman" w:hAnsi="Times New Roman" w:eastAsia="仿宋_GB2312" w:cs="Times New Roman"/>
          <w:sz w:val="32"/>
          <w:szCs w:val="32"/>
        </w:rPr>
        <w:t>反映。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（2）统筹兼顾。单位自评、部门评价和财政评价应职责明确，各有侧重，相互衔接。单位自评应由项目单位自主实施，即“谁支出、谁自评”。部门评价和财政评价应在单位自评的基础上开展。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（3）激励约束。绩效评价结果应与预算安排、政策调整、改进管理实质性挂钩，体现奖优罚劣和激励相容导向，有效要安排、低效要压减、无效要问责。</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（4）公开透明。绩效评价结果应依法依规公开，并自觉接受社会监督。</w:t>
      </w:r>
    </w:p>
    <w:p>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评价指标体系</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绩效评价框架是开展绩效评价的核心。绩效评价框架包括评价准则、关键评价问题、评价指标、数据来源、数据收集方法等。指标体系建立过程如下：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（1）确定评价指标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（2）确定权重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确定各个指标相对于项目总体绩效的权重分值。在绩效评价指标体系中，项目决策权重为20分，项目过程权重为20分，项目产出权重为</w:t>
      </w: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rPr>
        <w:t>0分，</w:t>
      </w:r>
      <w:r>
        <w:rPr>
          <w:rFonts w:hint="eastAsia" w:eastAsia="仿宋_GB2312" w:cs="Times New Roman"/>
          <w:sz w:val="32"/>
          <w:szCs w:val="32"/>
          <w:lang w:eastAsia="zh-CN"/>
        </w:rPr>
        <w:t>项目成本权重为</w:t>
      </w:r>
      <w:r>
        <w:rPr>
          <w:rFonts w:hint="eastAsia" w:eastAsia="仿宋_GB2312" w:cs="Times New Roman"/>
          <w:sz w:val="32"/>
          <w:szCs w:val="32"/>
          <w:lang w:val="en-US" w:eastAsia="zh-CN"/>
        </w:rPr>
        <w:t>10分，</w:t>
      </w:r>
      <w:r>
        <w:rPr>
          <w:rFonts w:hint="default" w:ascii="Times New Roman" w:hAnsi="Times New Roman" w:eastAsia="仿宋_GB2312" w:cs="Times New Roman"/>
          <w:sz w:val="32"/>
          <w:szCs w:val="32"/>
        </w:rPr>
        <w:t>项目效益权重为20分。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（3）确定指标标准值</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指标标准值是绩效评价指标的尺度，既要反映同类项目的先进水平，又要符合项目的实际绩效水平。具体采用计划标准等确定此次绩效评价指标标准值。</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绩效评价总分值100分，根据综合评分结果，评价计分90分</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100分（含90分）对应的评分结果级别为优，80</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90分（含80分）对应的评分结果级别为良，60</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80分（含60分）对应的评分结果级别为中，60分以下对应的评分结果级别为差。具体评价指标体系详情见附件1</w:t>
      </w:r>
    </w:p>
    <w:p>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绩效评价从项目决策、项目过程、项目产出、项目效益四个维度进行评价。评价对象为项目目标实施情况，  评价核心为资金的支出完成情况和项目的产出效益。</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本次评价指标中，既有定性指标又有定量指标，各类指标因考核内容不同和客观标准不同存在较大差异，因此核定具体指标时采用了不同方法，具体评价方法如下：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成本效益分析法：</w:t>
      </w:r>
      <w:r>
        <w:rPr>
          <w:rFonts w:hint="eastAsia" w:ascii="仿宋_GB2312" w:hAnsi="仿宋_GB2312" w:eastAsia="仿宋_GB2312" w:cs="仿宋_GB2312"/>
          <w:color w:val="auto"/>
          <w:sz w:val="32"/>
          <w:szCs w:val="32"/>
          <w:lang w:val="en-US" w:eastAsia="zh-CN"/>
        </w:rPr>
        <w:t>将项目的预算支出安排与预期效益进行对比分析，以评价绩效目标的预期实现程度。</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4</w:t>
      </w:r>
      <w:r>
        <w:rPr>
          <w:rFonts w:hint="eastAsia" w:eastAsia="仿宋_GB2312" w:cs="Times New Roman"/>
          <w:b/>
          <w:bCs/>
          <w:sz w:val="32"/>
          <w:szCs w:val="32"/>
          <w:lang w:val="en-US" w:eastAsia="zh-CN"/>
        </w:rPr>
        <w:t>.</w:t>
      </w:r>
      <w:r>
        <w:rPr>
          <w:rFonts w:hint="default" w:ascii="Times New Roman" w:hAnsi="Times New Roman" w:eastAsia="仿宋_GB2312" w:cs="Times New Roman"/>
          <w:b/>
          <w:bCs/>
          <w:sz w:val="32"/>
          <w:szCs w:val="32"/>
        </w:rPr>
        <w:t>评价标准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绩效评价标准通常包括计划标准、行业标准、历史标准等，用于对绩效指标完成情况进行比较、分析、评价。本次评价主要采用了计划标准。</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bookmarkStart w:id="1" w:name="_Toc31464"/>
      <w:bookmarkStart w:id="2" w:name="_Toc17882"/>
      <w:r>
        <w:rPr>
          <w:rFonts w:hint="default" w:ascii="Times New Roman" w:hAnsi="Times New Roman" w:eastAsia="仿宋_GB2312" w:cs="Times New Roman"/>
          <w:b/>
          <w:bCs/>
          <w:sz w:val="32"/>
          <w:szCs w:val="32"/>
        </w:rPr>
        <w:t>计划标准：</w:t>
      </w:r>
      <w:r>
        <w:rPr>
          <w:rFonts w:hint="default" w:ascii="Times New Roman" w:hAnsi="Times New Roman" w:eastAsia="仿宋_GB2312" w:cs="Times New Roman"/>
          <w:sz w:val="32"/>
          <w:szCs w:val="32"/>
        </w:rPr>
        <w:t>指以预先制定的目标、计划、预算、定额等作为评价标准。</w:t>
      </w:r>
      <w:bookmarkEnd w:id="1"/>
      <w:bookmarkEnd w:id="2"/>
    </w:p>
    <w:p>
      <w:pPr>
        <w:pStyle w:val="11"/>
        <w:keepNext w:val="0"/>
        <w:keepLines w:val="0"/>
        <w:pageBreakBefore w:val="0"/>
        <w:numPr>
          <w:ilvl w:val="0"/>
          <w:numId w:val="3"/>
        </w:numPr>
        <w:kinsoku/>
        <w:wordWrap/>
        <w:overflowPunct/>
        <w:topLinePunct w:val="0"/>
        <w:autoSpaceDE/>
        <w:autoSpaceDN/>
        <w:bidi w:val="0"/>
        <w:adjustRightInd/>
        <w:snapToGrid/>
        <w:spacing w:before="0" w:after="0" w:line="560" w:lineRule="exact"/>
        <w:ind w:firstLine="711" w:firstLineChars="200"/>
        <w:jc w:val="both"/>
        <w:textAlignment w:val="auto"/>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eastAsia" w:eastAsia="仿宋_GB2312" w:cs="Times New Roman"/>
          <w:b/>
          <w:bCs/>
          <w:sz w:val="32"/>
          <w:szCs w:val="32"/>
          <w:lang w:val="en-US" w:eastAsia="zh-CN"/>
        </w:rPr>
        <w:t>1.</w:t>
      </w:r>
      <w:r>
        <w:rPr>
          <w:rFonts w:hint="default" w:ascii="Times New Roman" w:hAnsi="Times New Roman" w:eastAsia="仿宋_GB2312" w:cs="Times New Roman"/>
          <w:b/>
          <w:bCs/>
          <w:sz w:val="32"/>
          <w:szCs w:val="32"/>
        </w:rPr>
        <w:t>前期准备。</w:t>
      </w:r>
      <w:r>
        <w:rPr>
          <w:rFonts w:hint="default" w:ascii="Times New Roman" w:hAnsi="Times New Roman" w:eastAsia="仿宋_GB2312" w:cs="Times New Roman"/>
          <w:sz w:val="32"/>
          <w:szCs w:val="32"/>
        </w:rPr>
        <w:t>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sz w:val="32"/>
          <w:szCs w:val="32"/>
        </w:rPr>
        <w:t>组织实施。</w:t>
      </w:r>
      <w:r>
        <w:rPr>
          <w:rFonts w:hint="default" w:ascii="Times New Roman" w:hAnsi="Times New Roman" w:eastAsia="仿宋_GB2312" w:cs="Times New Roman"/>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3.</w:t>
      </w:r>
      <w:r>
        <w:rPr>
          <w:rFonts w:hint="default" w:ascii="Times New Roman" w:hAnsi="Times New Roman" w:eastAsia="仿宋_GB2312" w:cs="Times New Roman"/>
          <w:b/>
          <w:bCs/>
          <w:sz w:val="32"/>
          <w:szCs w:val="32"/>
        </w:rPr>
        <w:t>分析评价。</w:t>
      </w:r>
      <w:r>
        <w:rPr>
          <w:rFonts w:hint="default" w:ascii="Times New Roman" w:hAnsi="Times New Roman" w:eastAsia="仿宋_GB2312" w:cs="Times New Roman"/>
          <w:sz w:val="32"/>
          <w:szCs w:val="32"/>
        </w:rPr>
        <w:t>根据收集梳理的资料围绕项目立项、资金落实、业务管理、财务管理、项目产出、项目效益等内容，对照已确定的绩效评价指标进行详细全面的分析评价，逐项打分并形成绩效评价最终结果。</w:t>
      </w:r>
    </w:p>
    <w:p>
      <w:pPr>
        <w:keepNext w:val="0"/>
        <w:keepLines w:val="0"/>
        <w:pageBreakBefore w:val="0"/>
        <w:numPr>
          <w:ilvl w:val="0"/>
          <w:numId w:val="4"/>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pPr>
        <w:pStyle w:val="11"/>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项目总体组织规范，在项目实施过</w:t>
      </w:r>
      <w:r>
        <w:rPr>
          <w:rFonts w:hint="eastAsia" w:eastAsia="仿宋_GB2312" w:cs="Times New Roman"/>
          <w:b w:val="0"/>
          <w:bCs w:val="0"/>
          <w:kern w:val="28"/>
          <w:sz w:val="32"/>
          <w:szCs w:val="32"/>
          <w:lang w:val="en-US" w:eastAsia="zh-CN" w:bidi="ar-SA"/>
        </w:rPr>
        <w:t>程中</w:t>
      </w:r>
      <w:r>
        <w:rPr>
          <w:rFonts w:hint="default" w:ascii="Times New Roman" w:hAnsi="Times New Roman" w:eastAsia="仿宋_GB2312" w:cs="Times New Roman"/>
          <w:b w:val="0"/>
          <w:bCs w:val="0"/>
          <w:kern w:val="28"/>
          <w:sz w:val="32"/>
          <w:szCs w:val="32"/>
          <w:lang w:val="en-US" w:eastAsia="zh-CN" w:bidi="ar-SA"/>
        </w:rPr>
        <w:t>做到认真履职，监督到位。按照相关制度的要求，项目负责人对项目绩效监控执行情况进行跟踪监督，有效完成了本项目的工作目标，确保资金使用安全和最大效益</w:t>
      </w:r>
      <w:r>
        <w:rPr>
          <w:rFonts w:hint="eastAsia" w:eastAsia="仿宋_GB2312" w:cs="Times New Roman"/>
          <w:b w:val="0"/>
          <w:bCs w:val="0"/>
          <w:kern w:val="28"/>
          <w:sz w:val="32"/>
          <w:szCs w:val="32"/>
          <w:lang w:val="en-US" w:eastAsia="zh-CN" w:bidi="ar-SA"/>
        </w:rPr>
        <w:t>地</w:t>
      </w:r>
      <w:r>
        <w:rPr>
          <w:rFonts w:hint="default" w:ascii="Times New Roman" w:hAnsi="Times New Roman" w:eastAsia="仿宋_GB2312" w:cs="Times New Roman"/>
          <w:b w:val="0"/>
          <w:bCs w:val="0"/>
          <w:kern w:val="28"/>
          <w:sz w:val="32"/>
          <w:szCs w:val="32"/>
          <w:lang w:val="en-US" w:eastAsia="zh-CN" w:bidi="ar-SA"/>
        </w:rPr>
        <w:t>发挥，保障项目如期按要求完成。规范项目档案资料的整理。项目的实施达到预期效果。</w:t>
      </w:r>
    </w:p>
    <w:p>
      <w:pPr>
        <w:pStyle w:val="11"/>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 xml:space="preserve">总得分为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分，属于“</w:t>
      </w:r>
      <w:r>
        <w:rPr>
          <w:rFonts w:hint="eastAsia" w:ascii="Times New Roman" w:hAnsi="Times New Roman" w:eastAsia="仿宋_GB2312" w:cs="Times New Roman"/>
          <w:b w:val="0"/>
          <w:bCs w:val="0"/>
          <w:highlight w:val="none"/>
          <w:lang w:val="en-US" w:eastAsia="zh-CN"/>
        </w:rPr>
        <w:t>优秀</w:t>
      </w:r>
      <w:r>
        <w:rPr>
          <w:rFonts w:hint="default" w:ascii="Times New Roman" w:hAnsi="Times New Roman" w:eastAsia="仿宋_GB2312" w:cs="Times New Roman"/>
          <w:b w:val="0"/>
          <w:bCs w:val="0"/>
          <w:highlight w:val="none"/>
        </w:rPr>
        <w:t>”。其中，项目决策类指标权重为20分，得分为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w:t>
      </w:r>
      <w:r>
        <w:rPr>
          <w:rFonts w:hint="eastAsia"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val="0"/>
          <w:bCs w:val="0"/>
          <w:highlight w:val="none"/>
        </w:rPr>
        <w:t>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p>
    <w:p>
      <w:pPr>
        <w:pStyle w:val="11"/>
        <w:keepNext w:val="0"/>
        <w:keepLines w:val="0"/>
        <w:pageBreakBefore w:val="0"/>
        <w:widowControl w:val="0"/>
        <w:kinsoku/>
        <w:wordWrap/>
        <w:overflowPunct/>
        <w:topLinePunct w:val="0"/>
        <w:autoSpaceDE/>
        <w:autoSpaceDN/>
        <w:bidi w:val="0"/>
        <w:adjustRightInd/>
        <w:snapToGrid/>
        <w:spacing w:before="0" w:after="0" w:line="560" w:lineRule="exact"/>
        <w:jc w:val="both"/>
        <w:textAlignment w:val="auto"/>
        <w:outlineLvl w:val="9"/>
        <w:rPr>
          <w:rFonts w:hint="default" w:ascii="Times New Roman" w:hAnsi="Times New Roman" w:eastAsia="仿宋_GB2312" w:cs="Times New Roman"/>
          <w:b w:val="0"/>
          <w:bCs w:val="0"/>
          <w:lang w:eastAsia="zh-CN"/>
        </w:rPr>
      </w:pPr>
      <w:r>
        <w:rPr>
          <w:rFonts w:hint="eastAsia" w:ascii="Times New Roman" w:hAnsi="Times New Roman" w:eastAsia="仿宋_GB2312" w:cs="Times New Roman"/>
          <w:b w:val="0"/>
          <w:bCs w:val="0"/>
          <w:highlight w:val="none"/>
          <w:lang w:val="en-US" w:eastAsia="zh-CN"/>
        </w:rPr>
        <w:t>经济成本指标权重为20分，得分为20分，得分率为100%。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pPr>
        <w:pStyle w:val="11"/>
        <w:keepNext w:val="0"/>
        <w:keepLines w:val="0"/>
        <w:pageBreakBefore w:val="0"/>
        <w:widowControl/>
        <w:kinsoku/>
        <w:wordWrap/>
        <w:overflowPunct/>
        <w:topLinePunct w:val="0"/>
        <w:autoSpaceDE/>
        <w:autoSpaceDN/>
        <w:bidi w:val="0"/>
        <w:adjustRightInd/>
        <w:snapToGrid/>
        <w:spacing w:before="0" w:after="0" w:line="560" w:lineRule="exact"/>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表1综合评分表</w:t>
      </w:r>
    </w:p>
    <w:tbl>
      <w:tblPr>
        <w:tblStyle w:val="15"/>
        <w:tblW w:w="7583" w:type="dxa"/>
        <w:jc w:val="center"/>
        <w:tblInd w:w="0" w:type="dxa"/>
        <w:tblLayout w:type="fixed"/>
        <w:tblCellMar>
          <w:top w:w="0" w:type="dxa"/>
          <w:left w:w="108" w:type="dxa"/>
          <w:bottom w:w="0" w:type="dxa"/>
          <w:right w:w="108" w:type="dxa"/>
        </w:tblCellMar>
      </w:tblPr>
      <w:tblGrid>
        <w:gridCol w:w="3137"/>
        <w:gridCol w:w="2168"/>
        <w:gridCol w:w="2278"/>
      </w:tblGrid>
      <w:tr>
        <w:tblPrEx>
          <w:tblLayout w:type="fixed"/>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得分</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3</w:t>
            </w:r>
            <w:r>
              <w:rPr>
                <w:rFonts w:hint="default" w:ascii="Times New Roman" w:hAnsi="Times New Roman" w:cs="Times New Roman"/>
                <w:color w:val="000000"/>
                <w:sz w:val="22"/>
                <w:lang w:val="en-US" w:eastAsia="zh-CN"/>
              </w:rPr>
              <w:t>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30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经济成本</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lang w:val="en-US" w:eastAsia="zh-CN"/>
              </w:rPr>
            </w:pPr>
            <w:r>
              <w:rPr>
                <w:rFonts w:hint="eastAsia" w:cs="Times New Roman"/>
                <w:color w:val="000000"/>
                <w:sz w:val="22"/>
                <w:lang w:val="en-US" w:eastAsia="zh-CN"/>
              </w:rPr>
              <w:t>10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cs="Times New Roman"/>
                <w:color w:val="000000"/>
                <w:sz w:val="22"/>
                <w:lang w:val="en-US" w:eastAsia="zh-CN"/>
              </w:rPr>
            </w:pPr>
            <w:r>
              <w:rPr>
                <w:rFonts w:hint="eastAsia" w:cs="Times New Roman"/>
                <w:color w:val="000000"/>
                <w:sz w:val="22"/>
                <w:lang w:val="en-US" w:eastAsia="zh-CN"/>
              </w:rPr>
              <w:t>10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b/>
                <w:bCs/>
                <w:color w:val="000000"/>
                <w:sz w:val="22"/>
                <w:lang w:val="en-US" w:eastAsia="zh-CN"/>
              </w:rPr>
            </w:pPr>
            <w:r>
              <w:rPr>
                <w:rFonts w:hint="default" w:ascii="Times New Roman" w:hAnsi="Times New Roman" w:cs="Times New Roman"/>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b/>
                <w:bCs/>
                <w:color w:val="000000"/>
                <w:sz w:val="22"/>
                <w:lang w:val="en-US" w:eastAsia="zh-CN"/>
              </w:rPr>
            </w:pPr>
            <w:r>
              <w:rPr>
                <w:rFonts w:hint="eastAsia" w:cs="Times New Roman"/>
                <w:b/>
                <w:bCs/>
                <w:color w:val="000000"/>
                <w:sz w:val="22"/>
                <w:lang w:val="en-US" w:eastAsia="zh-CN"/>
              </w:rPr>
              <w:t>100</w:t>
            </w:r>
          </w:p>
        </w:tc>
      </w:tr>
    </w:tbl>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11"/>
        <w:keepNext w:val="0"/>
        <w:keepLines w:val="0"/>
        <w:pageBreakBefore w:val="0"/>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rPr>
      </w:pPr>
      <w:r>
        <w:rPr>
          <w:rFonts w:hint="default" w:ascii="Times New Roman" w:hAnsi="Times New Roman" w:eastAsia="楷体_GB2312" w:cs="Times New Roman"/>
        </w:rPr>
        <w:t>（一）项目决策情况</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default"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分，得分率为</w:t>
      </w:r>
      <w:r>
        <w:rPr>
          <w:rFonts w:hint="default"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color w:val="auto"/>
          <w:sz w:val="32"/>
          <w:szCs w:val="32"/>
          <w:lang w:val="en-US" w:eastAsia="zh-CN"/>
        </w:rPr>
        <w:t>该项目</w:t>
      </w:r>
      <w:r>
        <w:rPr>
          <w:rFonts w:hint="eastAsia" w:eastAsia="仿宋_GB2312" w:cs="Times New Roman"/>
          <w:color w:val="auto"/>
          <w:sz w:val="32"/>
          <w:szCs w:val="32"/>
          <w:lang w:val="en-US" w:eastAsia="zh-CN"/>
        </w:rPr>
        <w:t>依据相关</w:t>
      </w:r>
      <w:r>
        <w:rPr>
          <w:rFonts w:hint="eastAsia" w:ascii="仿宋_GB2312" w:hAnsi="仿宋_GB2312" w:eastAsia="仿宋_GB2312" w:cs="仿宋_GB2312"/>
          <w:b w:val="0"/>
          <w:bCs w:val="0"/>
          <w:color w:val="333333"/>
          <w:kern w:val="0"/>
          <w:sz w:val="32"/>
          <w:szCs w:val="32"/>
          <w:shd w:val="clear" w:color="auto" w:fill="FFFFFF"/>
          <w:lang w:val="en-US" w:eastAsia="zh-CN" w:bidi="ar"/>
        </w:rPr>
        <w:t>文件</w:t>
      </w:r>
      <w:r>
        <w:rPr>
          <w:rFonts w:hint="eastAsia" w:ascii="仿宋_GB2312" w:hAnsi="仿宋_GB2312" w:eastAsia="仿宋_GB2312" w:cs="仿宋_GB2312"/>
          <w:sz w:val="32"/>
          <w:szCs w:val="32"/>
          <w:lang w:val="en-US" w:eastAsia="zh-CN"/>
        </w:rPr>
        <w:t>进行立项，</w:t>
      </w:r>
      <w:r>
        <w:rPr>
          <w:rFonts w:hint="default" w:ascii="Times New Roman" w:hAnsi="Times New Roman" w:eastAsia="仿宋_GB2312" w:cs="Times New Roman"/>
          <w:color w:val="auto"/>
          <w:sz w:val="32"/>
          <w:szCs w:val="32"/>
          <w:lang w:val="en-US" w:eastAsia="zh-CN"/>
        </w:rPr>
        <w:t>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w:t>
      </w:r>
      <w:r>
        <w:rPr>
          <w:rFonts w:hint="eastAsia" w:eastAsia="仿宋_GB2312" w:cs="Times New Roman"/>
          <w:sz w:val="32"/>
          <w:szCs w:val="32"/>
          <w:lang w:val="en-US" w:eastAsia="zh-CN"/>
        </w:rPr>
        <w:t>的</w:t>
      </w:r>
      <w:r>
        <w:rPr>
          <w:rFonts w:hint="default" w:ascii="Times New Roman" w:hAnsi="Times New Roman" w:eastAsia="仿宋_GB2312" w:cs="Times New Roman"/>
          <w:sz w:val="32"/>
          <w:szCs w:val="32"/>
          <w:lang w:val="en-US" w:eastAsia="zh-CN"/>
        </w:rPr>
        <w:t>细化情况。绩效目标表经过审核，绩效目标与实际工作内容具有相关性，预算与确定的项目投资额相匹配，对项目任务进行了详细分解。项目预期产出效益及效果符合正常的业绩水平。</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预算编制经过科学论证，提供充分的测算依据佐证资料，预算内容与项目内容相匹配。项目投资额与工作任务相匹配。</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（2）资金分配合理性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资金分配额度与项目单位实际工作内容相适应，资金分配额度合理，资金分配依据充分。</w:t>
      </w:r>
    </w:p>
    <w:p>
      <w:pPr>
        <w:pStyle w:val="11"/>
        <w:keepNext w:val="0"/>
        <w:keepLines w:val="0"/>
        <w:pageBreakBefore w:val="0"/>
        <w:numPr>
          <w:ilvl w:val="0"/>
          <w:numId w:val="5"/>
        </w:numPr>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 w:cs="Times New Roman"/>
        </w:rPr>
      </w:pPr>
      <w:r>
        <w:rPr>
          <w:rFonts w:hint="default" w:ascii="Times New Roman" w:hAnsi="Times New Roman" w:eastAsia="楷体" w:cs="Times New Roman"/>
        </w:rPr>
        <w:t>项目过程情况</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w:t>
      </w:r>
      <w:r>
        <w:rPr>
          <w:rFonts w:hint="default" w:ascii="Times New Roman" w:hAnsi="Times New Roman" w:eastAsia="仿宋_GB2312" w:cs="Times New Roman"/>
          <w:sz w:val="32"/>
          <w:szCs w:val="32"/>
          <w:highlight w:val="none"/>
          <w:lang w:val="en-US" w:eastAsia="zh-CN"/>
        </w:rPr>
        <w:t>和组织实施两方面的内容，有</w:t>
      </w:r>
      <w:r>
        <w:rPr>
          <w:rFonts w:hint="eastAsia"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个三级指标构成，权重分值为20分，实际得分</w:t>
      </w:r>
      <w:r>
        <w:rPr>
          <w:rFonts w:hint="default"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default"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w:t>
      </w:r>
      <w:r>
        <w:rPr>
          <w:rFonts w:hint="default" w:ascii="Times New Roman" w:hAnsi="Times New Roman" w:eastAsia="仿宋_GB2312" w:cs="Times New Roman"/>
          <w:sz w:val="32"/>
          <w:szCs w:val="32"/>
          <w:highlight w:val="none"/>
          <w:lang w:val="en-US" w:eastAsia="zh-CN"/>
        </w:rPr>
        <w:t>目总投资</w:t>
      </w:r>
      <w:r>
        <w:rPr>
          <w:rFonts w:hint="default" w:eastAsia="仿宋_GB2312" w:cs="Times New Roman"/>
          <w:b w:val="0"/>
          <w:bCs w:val="0"/>
          <w:kern w:val="2"/>
          <w:sz w:val="32"/>
          <w:szCs w:val="32"/>
          <w:lang w:val="en-US" w:eastAsia="zh-CN" w:bidi="ar-SA"/>
        </w:rPr>
        <w:t>19.43</w:t>
      </w:r>
      <w:r>
        <w:rPr>
          <w:rFonts w:hint="default" w:ascii="Times New Roman" w:hAnsi="Times New Roman" w:eastAsia="仿宋_GB2312" w:cs="Times New Roman"/>
          <w:sz w:val="32"/>
          <w:szCs w:val="32"/>
          <w:highlight w:val="none"/>
          <w:lang w:val="en-US" w:eastAsia="zh-CN"/>
        </w:rPr>
        <w:t>万元，财政资金及时足额到位，到位率</w:t>
      </w:r>
      <w:r>
        <w:rPr>
          <w:rFonts w:hint="default"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w:t>
      </w:r>
      <w:r>
        <w:rPr>
          <w:rFonts w:hint="default" w:ascii="Times New Roman" w:hAnsi="Times New Roman" w:eastAsia="仿宋_GB2312" w:cs="Times New Roman"/>
          <w:sz w:val="32"/>
          <w:szCs w:val="32"/>
          <w:lang w:val="en-US" w:eastAsia="zh-CN"/>
        </w:rPr>
        <w:t>计划进度执行。</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w:t>
      </w:r>
      <w:r>
        <w:rPr>
          <w:rFonts w:hint="default" w:eastAsia="仿宋_GB2312" w:cs="Times New Roman"/>
          <w:b w:val="0"/>
          <w:bCs w:val="0"/>
          <w:kern w:val="2"/>
          <w:sz w:val="32"/>
          <w:szCs w:val="32"/>
          <w:highlight w:val="none"/>
          <w:lang w:val="en-US" w:eastAsia="zh-CN" w:bidi="ar-SA"/>
        </w:rPr>
        <w:t>19.43</w:t>
      </w:r>
      <w:r>
        <w:rPr>
          <w:rFonts w:hint="default" w:ascii="Times New Roman" w:hAnsi="Times New Roman" w:eastAsia="仿宋_GB2312" w:cs="Times New Roman"/>
          <w:sz w:val="32"/>
          <w:szCs w:val="32"/>
          <w:highlight w:val="none"/>
          <w:lang w:val="en-US" w:eastAsia="zh-CN"/>
        </w:rPr>
        <w:t>万元，预算执行率为</w:t>
      </w:r>
      <w:r>
        <w:rPr>
          <w:rFonts w:hint="default"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w:t>
      </w:r>
    </w:p>
    <w:p>
      <w:pPr>
        <w:pStyle w:val="13"/>
        <w:keepNext w:val="0"/>
        <w:keepLines w:val="0"/>
        <w:pageBreakBefore w:val="0"/>
        <w:numPr>
          <w:ilvl w:val="0"/>
          <w:numId w:val="5"/>
        </w:numPr>
        <w:kinsoku/>
        <w:wordWrap/>
        <w:overflowPunct/>
        <w:topLinePunct w:val="0"/>
        <w:autoSpaceDE/>
        <w:autoSpaceDN/>
        <w:bidi w:val="0"/>
        <w:adjustRightInd/>
        <w:snapToGrid/>
        <w:spacing w:line="560" w:lineRule="exact"/>
        <w:ind w:firstLine="643"/>
        <w:textAlignment w:val="auto"/>
        <w:rPr>
          <w:rFonts w:hint="eastAsia" w:ascii="方正楷体_GB2312" w:hAnsi="方正楷体_GB2312" w:eastAsia="方正楷体_GB2312" w:cs="方正楷体_GB2312"/>
          <w:b/>
          <w:bCs/>
          <w:sz w:val="32"/>
          <w:szCs w:val="32"/>
        </w:rPr>
      </w:pPr>
      <w:r>
        <w:rPr>
          <w:rFonts w:hint="eastAsia" w:ascii="方正楷体_GB2312" w:hAnsi="方正楷体_GB2312" w:eastAsia="方正楷体_GB2312" w:cs="方正楷体_GB2312"/>
          <w:b/>
          <w:bCs/>
          <w:sz w:val="32"/>
          <w:szCs w:val="32"/>
        </w:rPr>
        <w:t>项目产出</w:t>
      </w:r>
      <w:r>
        <w:rPr>
          <w:rFonts w:hint="eastAsia" w:ascii="方正楷体_GB2312" w:hAnsi="方正楷体_GB2312" w:eastAsia="方正楷体_GB2312" w:cs="方正楷体_GB2312"/>
          <w:b/>
          <w:bCs/>
          <w:sz w:val="32"/>
          <w:szCs w:val="32"/>
          <w:lang w:val="en-US" w:eastAsia="zh-CN"/>
        </w:rPr>
        <w:t>情况</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w:t>
      </w:r>
      <w:r>
        <w:rPr>
          <w:rFonts w:hint="eastAsia" w:eastAsia="仿宋_GB2312" w:cs="Times New Roman"/>
          <w:sz w:val="32"/>
          <w:szCs w:val="32"/>
          <w:lang w:val="en-US" w:eastAsia="zh-CN"/>
        </w:rPr>
        <w:t>三</w:t>
      </w:r>
      <w:r>
        <w:rPr>
          <w:rFonts w:hint="default" w:ascii="Times New Roman" w:hAnsi="Times New Roman" w:eastAsia="仿宋_GB2312" w:cs="Times New Roman"/>
          <w:sz w:val="32"/>
          <w:szCs w:val="32"/>
          <w:lang w:val="en-US" w:eastAsia="zh-CN"/>
        </w:rPr>
        <w:t>方面的内容，</w:t>
      </w:r>
      <w:r>
        <w:rPr>
          <w:rFonts w:hint="default" w:ascii="Times New Roman" w:hAnsi="Times New Roman" w:eastAsia="仿宋_GB2312" w:cs="Times New Roman"/>
          <w:sz w:val="32"/>
          <w:szCs w:val="32"/>
          <w:highlight w:val="none"/>
          <w:lang w:val="en-US" w:eastAsia="zh-CN"/>
        </w:rPr>
        <w:t>由</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个三级指标构成，权重分为</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0分，实际得分</w:t>
      </w:r>
      <w:r>
        <w:rPr>
          <w:rFonts w:hint="eastAsia" w:eastAsia="仿宋_GB2312" w:cs="Times New Roman"/>
          <w:sz w:val="32"/>
          <w:szCs w:val="32"/>
          <w:highlight w:val="none"/>
          <w:lang w:val="en-US" w:eastAsia="zh-CN"/>
        </w:rPr>
        <w:t>30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产出指标完成情况如下：</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Times New Roman" w:hAnsi="Times New Roman" w:eastAsia="宋体" w:cs="Times New Roman"/>
          <w:color w:val="000000" w:themeColor="text1"/>
          <w:sz w:val="30"/>
          <w:szCs w:val="24"/>
          <w:lang w:val="en-US" w:eastAsia="zh-CN"/>
          <w14:textFill>
            <w14:solidFill>
              <w14:schemeClr w14:val="tx1"/>
            </w14:solidFill>
          </w14:textFill>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出具监理合同，目标值=1份，实际完成值1份，完成率100%</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出具委托检测合同，目标值=1份，实际完成值1份，完成率100%.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color w:val="000000" w:themeColor="text1"/>
          <w:sz w:val="30"/>
          <w:szCs w:val="24"/>
          <w:lang w:val="en-US" w:eastAsia="zh-CN"/>
          <w14:textFill>
            <w14:solidFill>
              <w14:schemeClr w14:val="tx1"/>
            </w14:solidFill>
          </w14:textFill>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出具建设工程造价咨询合同，目标值=1份，实际完成值1份，完成率100%</w:t>
      </w:r>
      <w:r>
        <w:rPr>
          <w:rFonts w:hint="eastAsia" w:eastAsia="仿宋_GB2312" w:cs="Times New Roman"/>
          <w:color w:val="000000" w:themeColor="text1"/>
          <w:sz w:val="30"/>
          <w:szCs w:val="24"/>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000000" w:themeColor="text1"/>
          <w:sz w:val="30"/>
          <w:szCs w:val="24"/>
          <w:lang w:val="en-US" w:eastAsia="zh-CN"/>
          <w14:textFill>
            <w14:solidFill>
              <w14:schemeClr w14:val="tx1"/>
            </w14:solidFill>
          </w14:textFill>
        </w:rPr>
      </w:pPr>
      <w:r>
        <w:rPr>
          <w:rFonts w:hint="default" w:ascii="Times New Roman" w:hAnsi="Times New Roman" w:eastAsia="仿宋_GB2312" w:cs="Times New Roman"/>
          <w:sz w:val="32"/>
          <w:szCs w:val="32"/>
          <w:highlight w:val="none"/>
        </w:rPr>
        <w:t>指标1：</w:t>
      </w:r>
      <w:r>
        <w:rPr>
          <w:rFonts w:hint="eastAsia" w:eastAsia="仿宋_GB2312" w:cs="Times New Roman"/>
          <w:b w:val="0"/>
          <w:bCs w:val="0"/>
          <w:sz w:val="32"/>
          <w:szCs w:val="32"/>
          <w:highlight w:val="none"/>
          <w:lang w:val="en-US" w:eastAsia="zh-CN"/>
        </w:rPr>
        <w:t>报告编制合规率</w:t>
      </w:r>
      <w:r>
        <w:rPr>
          <w:rFonts w:hint="eastAsia" w:eastAsia="仿宋_GB2312" w:cs="Times New Roman"/>
          <w:b/>
          <w:bCs/>
          <w:sz w:val="32"/>
          <w:szCs w:val="32"/>
          <w:highlight w:val="none"/>
          <w:lang w:val="en-US" w:eastAsia="zh-CN"/>
        </w:rPr>
        <w:t>，</w:t>
      </w:r>
      <w:r>
        <w:rPr>
          <w:rFonts w:hint="eastAsia" w:eastAsia="仿宋_GB2312" w:cs="Times New Roman"/>
          <w:sz w:val="32"/>
          <w:szCs w:val="32"/>
          <w:highlight w:val="none"/>
          <w:lang w:val="en-US" w:eastAsia="zh-CN"/>
        </w:rPr>
        <w:t>目标值&gt;=95%，实际完成值95%，完成率100%.</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000000" w:themeColor="text1"/>
          <w:sz w:val="30"/>
          <w:szCs w:val="24"/>
          <w:lang w:val="en-US" w:eastAsia="zh-CN"/>
          <w14:textFill>
            <w14:solidFill>
              <w14:schemeClr w14:val="tx1"/>
            </w14:solidFill>
          </w14:textFill>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编制报告及时率，目标值&gt;=95%，实际完成值95%，完成率100%</w:t>
      </w:r>
    </w:p>
    <w:p>
      <w:pPr>
        <w:keepNext w:val="0"/>
        <w:keepLines w:val="0"/>
        <w:pageBreakBefore w:val="0"/>
        <w:shd w:val="clear"/>
        <w:kinsoku/>
        <w:wordWrap/>
        <w:overflowPunct/>
        <w:topLinePunct w:val="0"/>
        <w:autoSpaceDE/>
        <w:autoSpaceDN/>
        <w:bidi w:val="0"/>
        <w:adjustRightInd/>
        <w:snapToGrid/>
        <w:spacing w:line="560" w:lineRule="exact"/>
        <w:ind w:firstLine="643" w:firstLineChars="200"/>
        <w:textAlignment w:val="auto"/>
        <w:outlineLvl w:val="0"/>
        <w:rPr>
          <w:rFonts w:hint="eastAsia" w:ascii="华文楷体" w:hAnsi="华文楷体" w:eastAsia="华文楷体" w:cs="华文楷体"/>
          <w:b/>
          <w:bCs/>
          <w:sz w:val="32"/>
          <w:szCs w:val="32"/>
          <w:highlight w:val="none"/>
          <w:lang w:val="en-US" w:eastAsia="zh-CN"/>
        </w:rPr>
      </w:pPr>
      <w:r>
        <w:rPr>
          <w:rFonts w:hint="eastAsia" w:ascii="华文楷体" w:hAnsi="华文楷体" w:eastAsia="华文楷体" w:cs="华文楷体"/>
          <w:b/>
          <w:bCs/>
          <w:sz w:val="32"/>
          <w:szCs w:val="32"/>
          <w:highlight w:val="none"/>
          <w:lang w:val="en-US" w:eastAsia="zh-CN"/>
        </w:rPr>
        <w:t>（四）项目成本情况</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项目成本指标包括经济成本指标、社会成本指标、生态环境成本指标三方面的内容，由3个三级指标构成，权重分为10分，实际得分10分，得分率为100%，具体成本指标情况如下：</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eastAsia" w:ascii="Times New Roman" w:hAnsi="Times New Roman" w:eastAsia="仿宋_GB2312" w:cs="Times New Roman"/>
          <w:sz w:val="32"/>
          <w:szCs w:val="32"/>
          <w:highlight w:val="none"/>
          <w:lang w:val="en-US" w:eastAsia="zh-CN"/>
        </w:rPr>
        <w:t>经济</w:t>
      </w:r>
      <w:r>
        <w:rPr>
          <w:rFonts w:hint="default" w:ascii="Times New Roman" w:hAnsi="Times New Roman" w:eastAsia="仿宋_GB2312" w:cs="Times New Roman"/>
          <w:sz w:val="32"/>
          <w:szCs w:val="32"/>
          <w:highlight w:val="none"/>
        </w:rPr>
        <w:t>成本指标：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监理费，目标值&lt;=11.63万元，实际完成值11.63万元，完成率100%.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造价咨询费，目标值&lt;=2.8万元，实际完成值2.8万元，完成率100%.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检测费，目标值&lt;=5万元，实际完成值5万元，完成率100%.</w:t>
      </w:r>
    </w:p>
    <w:p>
      <w:pPr>
        <w:pStyle w:val="13"/>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方正楷体_GB2312" w:hAnsi="方正楷体_GB2312" w:eastAsia="方正楷体_GB2312" w:cs="方正楷体_GB2312"/>
          <w:b/>
          <w:bCs/>
          <w:sz w:val="32"/>
          <w:szCs w:val="32"/>
          <w:lang w:val="en-US" w:eastAsia="zh-CN"/>
        </w:rPr>
      </w:pPr>
      <w:r>
        <w:rPr>
          <w:rFonts w:hint="eastAsia" w:ascii="方正楷体_GB2312" w:hAnsi="方正楷体_GB2312" w:eastAsia="方正楷体_GB2312" w:cs="方正楷体_GB2312"/>
          <w:b/>
          <w:bCs/>
          <w:sz w:val="32"/>
          <w:szCs w:val="32"/>
          <w:lang w:val="en-US" w:eastAsia="zh-CN"/>
        </w:rPr>
        <w:t>（五）项目效益情况</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个三级指标构成，权重分为</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0分，实际得分</w:t>
      </w:r>
      <w:r>
        <w:rPr>
          <w:rFonts w:hint="eastAsia" w:eastAsia="仿宋_GB2312" w:cs="Times New Roman"/>
          <w:sz w:val="32"/>
          <w:szCs w:val="32"/>
          <w:highlight w:val="none"/>
          <w:lang w:val="en-US" w:eastAsia="zh-CN"/>
        </w:rPr>
        <w:t>30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效益指标及满意度指标完成情况如下：</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经济效益指标：</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②</w:t>
      </w:r>
      <w:r>
        <w:rPr>
          <w:rFonts w:hint="default" w:ascii="Times New Roman" w:hAnsi="Times New Roman" w:eastAsia="仿宋_GB2312" w:cs="Times New Roman"/>
          <w:sz w:val="32"/>
          <w:szCs w:val="32"/>
          <w:highlight w:val="none"/>
        </w:rPr>
        <w:t>社会效益指标：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工程管理规范化，目标值有效提升，实际完成值有效提升，完成率100%</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③生态效益指标：</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满意度指标：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使用人员满意度，目标值&gt;95%，实际完成值95%，完成率100%.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Style w:val="19"/>
          <w:rFonts w:hint="default" w:ascii="Times New Roman" w:hAnsi="Times New Roman" w:cs="Times New Roman"/>
          <w:color w:val="auto"/>
        </w:rPr>
      </w:pPr>
      <w:r>
        <w:rPr>
          <w:rFonts w:hint="default" w:ascii="Times New Roman" w:hAnsi="Times New Roman" w:eastAsia="黑体" w:cs="Times New Roman"/>
          <w:sz w:val="32"/>
          <w:szCs w:val="32"/>
          <w:lang w:val="en-US" w:eastAsia="zh-CN"/>
        </w:rPr>
        <w:t>五</w:t>
      </w:r>
      <w:r>
        <w:rPr>
          <w:rFonts w:hint="default" w:ascii="Times New Roman" w:hAnsi="Times New Roman" w:eastAsia="黑体" w:cs="Times New Roman"/>
          <w:sz w:val="32"/>
          <w:szCs w:val="32"/>
        </w:rPr>
        <w:t>、主要经验及做法、存在的问题及原因分析</w:t>
      </w:r>
    </w:p>
    <w:p>
      <w:pPr>
        <w:keepNext w:val="0"/>
        <w:keepLines w:val="0"/>
        <w:pageBreakBefore w:val="0"/>
        <w:kinsoku/>
        <w:wordWrap/>
        <w:overflowPunct/>
        <w:topLinePunct w:val="0"/>
        <w:autoSpaceDE/>
        <w:autoSpaceDN/>
        <w:bidi w:val="0"/>
        <w:adjustRightInd/>
        <w:snapToGrid/>
        <w:spacing w:line="560" w:lineRule="exact"/>
        <w:ind w:firstLine="627" w:firstLineChars="200"/>
        <w:textAlignment w:val="auto"/>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pPr>
        <w:keepNext w:val="0"/>
        <w:keepLines w:val="0"/>
        <w:pageBreakBefore w:val="0"/>
        <w:kinsoku/>
        <w:wordWrap/>
        <w:overflowPunct/>
        <w:topLinePunct w:val="0"/>
        <w:autoSpaceDE/>
        <w:autoSpaceDN/>
        <w:bidi w:val="0"/>
        <w:adjustRightInd/>
        <w:snapToGrid/>
        <w:spacing w:line="560" w:lineRule="exact"/>
        <w:ind w:firstLine="624" w:firstLineChars="200"/>
        <w:textAlignment w:val="auto"/>
        <w:rPr>
          <w:rFonts w:hint="eastAsia" w:ascii="仿宋_GB2312" w:hAnsi="仿宋_GB2312" w:eastAsia="仿宋_GB2312" w:cs="仿宋_GB2312"/>
          <w:b w:val="0"/>
          <w:bCs/>
          <w:spacing w:val="-4"/>
          <w:sz w:val="32"/>
          <w:szCs w:val="32"/>
          <w:lang w:eastAsia="zh-CN"/>
        </w:rPr>
      </w:pPr>
      <w:r>
        <w:rPr>
          <w:rFonts w:hint="eastAsia" w:ascii="仿宋_GB2312" w:hAnsi="仿宋_GB2312" w:eastAsia="仿宋_GB2312" w:cs="仿宋_GB2312"/>
          <w:b w:val="0"/>
          <w:bCs/>
          <w:spacing w:val="-4"/>
          <w:sz w:val="32"/>
          <w:szCs w:val="32"/>
          <w:lang w:eastAsia="zh-CN"/>
        </w:rPr>
        <w:t>（</w:t>
      </w:r>
      <w:r>
        <w:rPr>
          <w:rFonts w:hint="eastAsia" w:ascii="仿宋_GB2312" w:hAnsi="仿宋_GB2312" w:eastAsia="仿宋_GB2312" w:cs="仿宋_GB2312"/>
          <w:b w:val="0"/>
          <w:bCs/>
          <w:spacing w:val="-4"/>
          <w:sz w:val="32"/>
          <w:szCs w:val="32"/>
          <w:lang w:val="en-US" w:eastAsia="zh-CN"/>
        </w:rPr>
        <w:t>从财务管理、业务管理、绩效管理和档案管理等方面描述项目实施过程中有哪些比较好的经验做法</w:t>
      </w:r>
      <w:r>
        <w:rPr>
          <w:rFonts w:hint="eastAsia" w:ascii="仿宋_GB2312" w:hAnsi="仿宋_GB2312" w:eastAsia="仿宋_GB2312" w:cs="仿宋_GB2312"/>
          <w:b w:val="0"/>
          <w:bCs/>
          <w:spacing w:val="-4"/>
          <w:sz w:val="32"/>
          <w:szCs w:val="32"/>
          <w:lang w:eastAsia="zh-CN"/>
        </w:rPr>
        <w:t>）</w:t>
      </w:r>
    </w:p>
    <w:p>
      <w:pPr>
        <w:spacing w:line="56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1"/>
        <w:spacing w:before="0" w:after="0" w:line="560" w:lineRule="exact"/>
        <w:ind w:firstLine="640" w:firstLineChars="200"/>
        <w:jc w:val="left"/>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0" w:firstLineChars="200"/>
        <w:jc w:val="both"/>
        <w:textAlignment w:val="baseline"/>
        <w:outlineLvl w:val="9"/>
        <w:rPr>
          <w:rFonts w:hint="eastAsia"/>
          <w:lang w:eastAsia="zh-CN"/>
        </w:rPr>
      </w:pPr>
      <w:r>
        <w:rPr>
          <w:rFonts w:hint="eastAsia" w:ascii="仿宋_GB2312" w:hAnsi="仿宋_GB2312" w:eastAsia="仿宋_GB2312" w:cs="仿宋_GB2312"/>
          <w:b w:val="0"/>
          <w:bCs w:val="0"/>
          <w:color w:val="auto"/>
          <w:sz w:val="32"/>
          <w:szCs w:val="32"/>
          <w:u w:val="none" w:color="auto"/>
          <w:lang w:val="en-US" w:eastAsia="zh-CN"/>
        </w:rPr>
        <w:t>项目资金管理：制定项目资金使用制度；财政安排项目资金到位后，须制定资金使用计划，报学校会议研究，作为今后使用资金的依据；项目资金做到专款专用、专人负责，不占</w:t>
      </w:r>
      <w:r>
        <w:rPr>
          <w:rFonts w:hint="eastAsia" w:ascii="仿宋_GB2312" w:hAnsi="仿宋_GB2312" w:eastAsia="仿宋_GB2312" w:cs="仿宋_GB2312"/>
          <w:sz w:val="32"/>
          <w:szCs w:val="32"/>
          <w:highlight w:val="none"/>
          <w:lang w:val="en-US" w:eastAsia="zh-CN"/>
        </w:rPr>
        <w:t>用、挪用项目资金；项目资金使用落实责任人，压实工作责任，使用必须按要求和规范进行。</w:t>
      </w:r>
    </w:p>
    <w:p>
      <w:pPr>
        <w:keepNext w:val="0"/>
        <w:keepLines w:val="0"/>
        <w:pageBreakBefore w:val="0"/>
        <w:numPr>
          <w:ilvl w:val="0"/>
          <w:numId w:val="6"/>
        </w:numPr>
        <w:kinsoku/>
        <w:wordWrap/>
        <w:overflowPunct/>
        <w:topLinePunct w:val="0"/>
        <w:autoSpaceDE/>
        <w:autoSpaceDN/>
        <w:bidi w:val="0"/>
        <w:adjustRightInd/>
        <w:snapToGrid/>
        <w:spacing w:line="560" w:lineRule="exact"/>
        <w:ind w:left="3" w:leftChars="0" w:firstLine="627" w:firstLineChars="0"/>
        <w:textAlignment w:val="auto"/>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存在的问题及原因分析</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outlineLvl w:val="0"/>
        <w:rPr>
          <w:rFonts w:hint="eastAsia" w:ascii="Times New Roman" w:hAnsi="Times New Roman" w:eastAsia="仿宋_GB2312"/>
          <w:bCs/>
          <w:color w:val="auto"/>
          <w:sz w:val="28"/>
          <w:szCs w:val="28"/>
          <w:lang w:val="en-US" w:eastAsia="zh-CN"/>
        </w:rPr>
      </w:pPr>
      <w:r>
        <w:rPr>
          <w:rFonts w:hint="eastAsia" w:ascii="Times New Roman" w:hAnsi="Times New Roman" w:eastAsia="仿宋_GB2312"/>
          <w:b w:val="0"/>
          <w:bCs/>
          <w:color w:val="auto"/>
          <w:sz w:val="28"/>
          <w:szCs w:val="28"/>
          <w:lang w:val="en-US" w:eastAsia="zh-CN"/>
        </w:rPr>
        <w:t>进一步加强对绩效管理工作的组织领导，提高对预算绩效管理工作重要性的认识，总结经验查找问题，完善的</w:t>
      </w:r>
      <w:r>
        <w:rPr>
          <w:rFonts w:hint="eastAsia" w:ascii="Times New Roman" w:hAnsi="Times New Roman" w:eastAsia="仿宋_GB2312"/>
          <w:bCs/>
          <w:color w:val="auto"/>
          <w:sz w:val="28"/>
          <w:szCs w:val="28"/>
          <w:lang w:val="en-US" w:eastAsia="zh-CN"/>
        </w:rPr>
        <w:t>绩效评价管理办法。对绩效管理工作认识不到位，认为只要资金使用合规合法就可以，对绩效工作认识不够，工作缺乏主动性。</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outlineLvl w:val="0"/>
        <w:rPr>
          <w:rFonts w:hint="eastAsia" w:ascii="Times New Roman" w:hAnsi="Times New Roman" w:eastAsia="楷体" w:cs="Times New Roman"/>
          <w:b/>
          <w:spacing w:val="-4"/>
          <w:sz w:val="32"/>
          <w:szCs w:val="32"/>
          <w:lang w:val="en-US" w:eastAsia="zh-CN"/>
        </w:rPr>
      </w:pPr>
      <w:r>
        <w:rPr>
          <w:rFonts w:hint="eastAsia" w:ascii="Times New Roman" w:hAnsi="Times New Roman" w:eastAsia="仿宋_GB2312"/>
          <w:bCs/>
          <w:color w:val="auto"/>
          <w:sz w:val="28"/>
          <w:szCs w:val="28"/>
          <w:lang w:val="en-US" w:eastAsia="zh-CN"/>
        </w:rPr>
        <w:t>结合实际建立绩效工作考核制度，加大全局对全面实施预算绩效管理</w:t>
      </w:r>
      <w:r>
        <w:rPr>
          <w:rFonts w:hint="eastAsia" w:eastAsia="仿宋_GB2312"/>
          <w:bCs/>
          <w:color w:val="auto"/>
          <w:sz w:val="28"/>
          <w:szCs w:val="28"/>
          <w:lang w:val="en-US" w:eastAsia="zh-CN"/>
        </w:rPr>
        <w:t>和</w:t>
      </w:r>
      <w:r>
        <w:rPr>
          <w:rFonts w:hint="eastAsia" w:ascii="Times New Roman" w:hAnsi="Times New Roman" w:eastAsia="仿宋_GB2312"/>
          <w:bCs/>
          <w:color w:val="auto"/>
          <w:sz w:val="28"/>
          <w:szCs w:val="28"/>
          <w:lang w:val="en-US" w:eastAsia="zh-CN"/>
        </w:rPr>
        <w:t>进一步加强对绩效管理工作的组织领导，提高对预算绩效管理工作重要性的认识，总结经验查找问题，完善的绩效评价管理办法。对绩效管理工作认识不到位，认为只要资金使用合规合法就可以，对绩效工作认识不够，工作缺乏主动性。</w:t>
      </w:r>
    </w:p>
    <w:p>
      <w:pPr>
        <w:keepNext w:val="0"/>
        <w:keepLines w:val="0"/>
        <w:pageBreakBefore w:val="0"/>
        <w:numPr>
          <w:ilvl w:val="0"/>
          <w:numId w:val="7"/>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有关建议</w:t>
      </w:r>
    </w:p>
    <w:p>
      <w:pPr>
        <w:keepNext w:val="0"/>
        <w:keepLines w:val="0"/>
        <w:pageBreakBefore w:val="0"/>
        <w:numPr>
          <w:ilvl w:val="0"/>
          <w:numId w:val="8"/>
        </w:numPr>
        <w:kinsoku/>
        <w:wordWrap/>
        <w:overflowPunct/>
        <w:topLinePunct w:val="0"/>
        <w:autoSpaceDE/>
        <w:autoSpaceDN/>
        <w:bidi w:val="0"/>
        <w:adjustRightInd/>
        <w:snapToGrid/>
        <w:spacing w:line="560" w:lineRule="exact"/>
        <w:textAlignment w:val="auto"/>
        <w:rPr>
          <w:rFonts w:hint="eastAsia" w:eastAsia="黑体" w:cs="Times New Roman"/>
          <w:sz w:val="32"/>
          <w:szCs w:val="32"/>
          <w:highlight w:val="none"/>
          <w:lang w:eastAsia="zh-CN"/>
        </w:rPr>
      </w:pPr>
      <w:r>
        <w:rPr>
          <w:rFonts w:hint="eastAsia" w:eastAsia="仿宋_GB2312" w:cs="Times New Roman"/>
          <w:color w:val="000000" w:themeColor="text1"/>
          <w:sz w:val="32"/>
          <w:szCs w:val="32"/>
          <w:highlight w:val="none"/>
          <w:lang w:val="en-US" w:eastAsia="zh-CN"/>
          <w14:textFill>
            <w14:solidFill>
              <w14:schemeClr w14:val="tx1"/>
            </w14:solidFill>
          </w14:textFill>
        </w:rPr>
        <w:t>加强</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绩效管理工作培训，进一步夯实业务基础，提高我单位绩效</w:t>
      </w:r>
      <w:r>
        <w:rPr>
          <w:rFonts w:hint="eastAsia" w:eastAsia="仿宋_GB2312" w:cs="Times New Roman"/>
          <w:color w:val="000000" w:themeColor="text1"/>
          <w:sz w:val="32"/>
          <w:szCs w:val="32"/>
          <w:highlight w:val="none"/>
          <w:lang w:val="en-US" w:eastAsia="zh-CN"/>
          <w14:textFill>
            <w14:solidFill>
              <w14:schemeClr w14:val="tx1"/>
            </w14:solidFill>
          </w14:textFill>
        </w:rPr>
        <w:t>管理水平</w:t>
      </w:r>
      <w:r>
        <w:rPr>
          <w:rFonts w:hint="eastAsia" w:eastAsia="黑体" w:cs="Times New Roman"/>
          <w:sz w:val="32"/>
          <w:szCs w:val="32"/>
          <w:highlight w:val="none"/>
          <w:lang w:eastAsia="zh-CN"/>
        </w:rPr>
        <w:t>。</w:t>
      </w:r>
    </w:p>
    <w:p>
      <w:pPr>
        <w:shd w:val="clear"/>
        <w:spacing w:line="600" w:lineRule="exact"/>
        <w:outlineLvl w:val="0"/>
        <w:rPr>
          <w:rFonts w:hint="default" w:ascii="Times New Roman" w:hAnsi="Times New Roman" w:eastAsia="黑体" w:cs="Times New Roman"/>
          <w:sz w:val="32"/>
          <w:szCs w:val="32"/>
        </w:rPr>
      </w:pPr>
      <w:r>
        <w:rPr>
          <w:rFonts w:hint="eastAsia" w:ascii="仿宋_GB2312" w:hAnsi="仿宋_GB2312" w:eastAsia="仿宋_GB2312" w:cs="仿宋_GB2312"/>
          <w:sz w:val="32"/>
          <w:szCs w:val="32"/>
          <w:highlight w:val="none"/>
          <w:lang w:val="en-US" w:eastAsia="zh-CN"/>
        </w:rPr>
        <w:t>2.进一步加强对绩效管理工作的组织领导，提高对预算绩效管理工作重要性的认识，总结经验查找问题，完善的绩效评价管理办法。加大全局对全面实施预算绩效管理和绩效管理工作的学习力度，让“花钱必问效，无效必问责”的理念深入工作每个环节。</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pPr>
      <w:r>
        <w:rPr>
          <w:rFonts w:hint="default" w:ascii="Times New Roman" w:hAnsi="Times New Roman" w:eastAsia="黑体" w:cs="Times New Roman"/>
          <w:sz w:val="32"/>
          <w:szCs w:val="32"/>
          <w:lang w:val="en-US" w:eastAsia="zh-CN"/>
        </w:rPr>
        <w:t>七</w:t>
      </w:r>
      <w:r>
        <w:rPr>
          <w:rFonts w:hint="default" w:ascii="Times New Roman" w:hAnsi="Times New Roman" w:eastAsia="黑体" w:cs="Times New Roman"/>
          <w:sz w:val="32"/>
          <w:szCs w:val="32"/>
          <w:lang w:eastAsia="zh-Hans"/>
        </w:rPr>
        <w:t>、</w:t>
      </w:r>
      <w:r>
        <w:rPr>
          <w:rFonts w:hint="default" w:ascii="Times New Roman" w:hAnsi="Times New Roman" w:eastAsia="黑体" w:cs="Times New Roman"/>
          <w:sz w:val="32"/>
          <w:szCs w:val="32"/>
        </w:rPr>
        <w:t>其他需</w:t>
      </w:r>
      <w:bookmarkStart w:id="3" w:name="page8"/>
      <w:bookmarkEnd w:id="3"/>
      <w:r>
        <w:rPr>
          <w:rFonts w:hint="default" w:ascii="Times New Roman" w:hAnsi="Times New Roman" w:eastAsia="黑体" w:cs="Times New Roman"/>
          <w:sz w:val="32"/>
          <w:szCs w:val="32"/>
          <w:lang w:val="en-US" w:eastAsia="zh-CN"/>
        </w:rPr>
        <w:t>要说明的问题</w:t>
      </w:r>
    </w:p>
    <w:p>
      <w:pPr>
        <w:pStyle w:val="2"/>
        <w:rPr>
          <w:rFonts w:hint="default"/>
          <w:lang w:val="en-US" w:eastAsia="zh-CN"/>
        </w:rPr>
      </w:pPr>
    </w:p>
    <w:p>
      <w:pPr>
        <w:pStyle w:val="11"/>
        <w:keepNext w:val="0"/>
        <w:keepLines w:val="0"/>
        <w:pageBreakBefore w:val="0"/>
        <w:widowControl w:val="0"/>
        <w:kinsoku/>
        <w:wordWrap/>
        <w:overflowPunct/>
        <w:topLinePunct w:val="0"/>
        <w:autoSpaceDE/>
        <w:autoSpaceDN/>
        <w:bidi w:val="0"/>
        <w:adjustRightInd/>
        <w:snapToGrid/>
        <w:spacing w:before="0" w:after="0"/>
        <w:ind w:firstLine="600" w:firstLineChars="200"/>
        <w:jc w:val="left"/>
        <w:textAlignment w:val="auto"/>
        <w:rPr>
          <w:rFonts w:hint="eastAsia" w:ascii="仿宋_GB2312" w:hAnsi="Times New Roman" w:eastAsia="仿宋_GB2312" w:cs="Times New Roman"/>
          <w:b w:val="0"/>
          <w:bCs w:val="0"/>
          <w:kern w:val="2"/>
          <w:sz w:val="30"/>
          <w:szCs w:val="24"/>
          <w:lang w:val="en-US" w:eastAsia="zh-CN" w:bidi="ar-SA"/>
        </w:rPr>
      </w:pPr>
      <w:r>
        <w:rPr>
          <w:rFonts w:hint="eastAsia" w:ascii="仿宋_GB2312" w:hAnsi="Times New Roman" w:eastAsia="仿宋_GB2312" w:cs="Times New Roman"/>
          <w:b w:val="0"/>
          <w:bCs w:val="0"/>
          <w:kern w:val="2"/>
          <w:sz w:val="30"/>
          <w:szCs w:val="24"/>
          <w:lang w:val="en-US" w:eastAsia="zh-CN" w:bidi="ar-SA"/>
        </w:rPr>
        <w:t>1、该项目在财政的指导和帮助下，项目在资金申请前置条件的落实上，发挥了积极的“花钱必问效，无效必问责”的项目绩效管理和实施的理念引导；</w:t>
      </w:r>
    </w:p>
    <w:p>
      <w:pPr>
        <w:pStyle w:val="11"/>
        <w:keepNext w:val="0"/>
        <w:keepLines w:val="0"/>
        <w:pageBreakBefore w:val="0"/>
        <w:widowControl w:val="0"/>
        <w:kinsoku/>
        <w:wordWrap/>
        <w:overflowPunct/>
        <w:topLinePunct w:val="0"/>
        <w:autoSpaceDE/>
        <w:autoSpaceDN/>
        <w:bidi w:val="0"/>
        <w:adjustRightInd/>
        <w:snapToGrid/>
        <w:spacing w:before="0" w:after="0"/>
        <w:ind w:firstLine="600" w:firstLineChars="200"/>
        <w:jc w:val="left"/>
        <w:textAlignment w:val="auto"/>
        <w:rPr>
          <w:rFonts w:hint="eastAsia" w:ascii="仿宋_GB2312" w:hAnsi="Times New Roman" w:eastAsia="仿宋_GB2312" w:cs="Times New Roman"/>
          <w:b w:val="0"/>
          <w:bCs w:val="0"/>
          <w:kern w:val="2"/>
          <w:sz w:val="30"/>
          <w:szCs w:val="24"/>
          <w:lang w:val="en-US" w:eastAsia="zh-CN" w:bidi="ar-SA"/>
        </w:rPr>
      </w:pPr>
      <w:r>
        <w:rPr>
          <w:rFonts w:hint="eastAsia" w:ascii="仿宋_GB2312" w:hAnsi="Times New Roman" w:eastAsia="仿宋_GB2312" w:cs="Times New Roman"/>
          <w:b w:val="0"/>
          <w:bCs w:val="0"/>
          <w:kern w:val="2"/>
          <w:sz w:val="30"/>
          <w:szCs w:val="24"/>
          <w:lang w:val="en-US" w:eastAsia="zh-CN" w:bidi="ar-SA"/>
        </w:rPr>
        <w:t>2、项目在实施的过程中进行了绩效的全过程管理，资金使用流程严谨合规，确保资金用途显效、高效；</w:t>
      </w:r>
    </w:p>
    <w:p>
      <w:pPr>
        <w:pStyle w:val="2"/>
        <w:rPr>
          <w:rFonts w:hint="default"/>
          <w:lang w:val="en-US" w:eastAsia="zh-CN"/>
        </w:rPr>
      </w:pPr>
    </w:p>
    <w:p>
      <w:pPr>
        <w:pStyle w:val="2"/>
        <w:rPr>
          <w:rFonts w:hint="default"/>
          <w:lang w:val="en-US" w:eastAsia="zh-CN"/>
        </w:rPr>
      </w:pPr>
    </w:p>
    <w:p>
      <w:pPr>
        <w:pStyle w:val="2"/>
        <w:rPr>
          <w:rFonts w:hint="default"/>
          <w:lang w:val="en-US" w:eastAsia="zh-CN"/>
        </w:rPr>
        <w:sectPr>
          <w:pgSz w:w="11906" w:h="16838"/>
          <w:pgMar w:top="1440" w:right="1558" w:bottom="1440" w:left="1800" w:header="851" w:footer="992" w:gutter="0"/>
          <w:cols w:space="425" w:num="1"/>
          <w:docGrid w:type="lines" w:linePitch="312" w:charSpace="0"/>
        </w:sectPr>
      </w:pPr>
    </w:p>
    <w:p>
      <w:pPr>
        <w:spacing w:line="600" w:lineRule="exact"/>
        <w:rPr>
          <w:rFonts w:hint="default" w:ascii="Times New Roman" w:hAnsi="Times New Roman" w:eastAsia="黑体" w:cs="Times New Roman"/>
          <w:b/>
          <w:bCs w:val="0"/>
          <w:sz w:val="32"/>
          <w:szCs w:val="32"/>
        </w:rPr>
      </w:pPr>
      <w:r>
        <w:rPr>
          <w:rFonts w:hint="default" w:ascii="Times New Roman" w:hAnsi="Times New Roman" w:eastAsia="黑体" w:cs="Times New Roman"/>
          <w:b/>
          <w:bCs w:val="0"/>
          <w:sz w:val="32"/>
          <w:szCs w:val="32"/>
        </w:rPr>
        <w:t>附件1</w:t>
      </w:r>
    </w:p>
    <w:p>
      <w:pPr>
        <w:pStyle w:val="20"/>
        <w:ind w:firstLine="562"/>
        <w:jc w:val="center"/>
        <w:rPr>
          <w:rFonts w:hint="default" w:ascii="Times New Roman" w:hAnsi="Times New Roman" w:eastAsia="仿宋_GB2312" w:cs="Times New Roman"/>
          <w:b/>
          <w:bCs/>
          <w:color w:val="auto"/>
          <w:sz w:val="32"/>
          <w:szCs w:val="32"/>
        </w:rPr>
      </w:pPr>
      <w:bookmarkStart w:id="4" w:name="_Toc26499_WPSOffice_Level2"/>
      <w:bookmarkStart w:id="5" w:name="_Toc30064_WPSOffice_Level1"/>
      <w:r>
        <w:rPr>
          <w:rFonts w:hint="default" w:ascii="Times New Roman" w:hAnsi="Times New Roman" w:eastAsia="仿宋_GB2312" w:cs="Times New Roman"/>
          <w:b/>
          <w:bCs/>
          <w:color w:val="auto"/>
          <w:sz w:val="32"/>
          <w:szCs w:val="32"/>
          <w:lang w:val="en-US" w:eastAsia="zh-CN"/>
        </w:rPr>
        <w:t>项目前期费—哈密市第二中学室外配套基础设施建设</w:t>
      </w:r>
      <w:r>
        <w:rPr>
          <w:rFonts w:hint="default" w:ascii="Times New Roman" w:hAnsi="Times New Roman" w:eastAsia="仿宋_GB2312" w:cs="Times New Roman"/>
          <w:b/>
          <w:bCs/>
          <w:color w:val="auto"/>
          <w:sz w:val="32"/>
          <w:szCs w:val="32"/>
        </w:rPr>
        <w:t>项目绩效评价指标体系及综合评分表</w:t>
      </w:r>
      <w:bookmarkEnd w:id="4"/>
      <w:bookmarkEnd w:id="5"/>
    </w:p>
    <w:tbl>
      <w:tblPr>
        <w:tblStyle w:val="15"/>
        <w:tblW w:w="12683"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32"/>
        <w:gridCol w:w="764"/>
        <w:gridCol w:w="873"/>
        <w:gridCol w:w="2353"/>
        <w:gridCol w:w="519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692" w:hRule="atLeast"/>
          <w:tblHeader/>
          <w:jc w:val="center"/>
        </w:trPr>
        <w:tc>
          <w:tcPr>
            <w:tcW w:w="832"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一级指标</w:t>
            </w:r>
          </w:p>
        </w:tc>
        <w:tc>
          <w:tcPr>
            <w:tcW w:w="764"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二级指标</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三级指标</w:t>
            </w:r>
          </w:p>
        </w:tc>
        <w:tc>
          <w:tcPr>
            <w:tcW w:w="235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指标解释</w:t>
            </w:r>
          </w:p>
        </w:tc>
        <w:tc>
          <w:tcPr>
            <w:tcW w:w="5198"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指标说明</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权重</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919" w:hRule="atLeast"/>
          <w:jc w:val="center"/>
        </w:trPr>
        <w:tc>
          <w:tcPr>
            <w:tcW w:w="832"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p>
          <w:p>
            <w:pPr>
              <w:widowControl/>
              <w:spacing w:line="0" w:lineRule="atLeast"/>
              <w:jc w:val="center"/>
              <w:rPr>
                <w:rFonts w:hint="default" w:ascii="Times New Roman" w:hAnsi="Times New Roman" w:eastAsia="仿宋_GB2312" w:cs="Times New Roman"/>
                <w:color w:val="000000"/>
                <w:kern w:val="0"/>
                <w:sz w:val="22"/>
                <w:szCs w:val="22"/>
              </w:rPr>
            </w:pPr>
          </w:p>
          <w:p>
            <w:pPr>
              <w:widowControl/>
              <w:spacing w:line="0" w:lineRule="atLeast"/>
              <w:jc w:val="center"/>
              <w:rPr>
                <w:rFonts w:hint="default" w:ascii="Times New Roman" w:hAnsi="Times New Roman" w:eastAsia="仿宋_GB2312" w:cs="Times New Roman"/>
                <w:color w:val="000000"/>
                <w:kern w:val="0"/>
                <w:sz w:val="22"/>
                <w:szCs w:val="22"/>
              </w:rPr>
            </w:pPr>
          </w:p>
          <w:p>
            <w:pPr>
              <w:widowControl/>
              <w:spacing w:line="0" w:lineRule="atLeast"/>
              <w:jc w:val="center"/>
              <w:rPr>
                <w:rFonts w:hint="default" w:ascii="Times New Roman" w:hAnsi="Times New Roman" w:eastAsia="仿宋_GB2312" w:cs="Times New Roman"/>
                <w:color w:val="000000"/>
                <w:kern w:val="0"/>
                <w:sz w:val="22"/>
                <w:szCs w:val="22"/>
              </w:rPr>
            </w:pPr>
          </w:p>
          <w:p>
            <w:pPr>
              <w:widowControl/>
              <w:spacing w:line="0" w:lineRule="atLeast"/>
              <w:jc w:val="center"/>
              <w:rPr>
                <w:rFonts w:hint="default" w:ascii="Times New Roman" w:hAnsi="Times New Roman" w:eastAsia="仿宋_GB2312" w:cs="Times New Roman"/>
                <w:color w:val="000000"/>
                <w:kern w:val="0"/>
                <w:sz w:val="22"/>
                <w:szCs w:val="22"/>
              </w:rPr>
            </w:pPr>
          </w:p>
          <w:p>
            <w:pPr>
              <w:widowControl/>
              <w:spacing w:line="0" w:lineRule="atLeast"/>
              <w:jc w:val="center"/>
              <w:rPr>
                <w:rFonts w:hint="default" w:ascii="Times New Roman" w:hAnsi="Times New Roman" w:eastAsia="仿宋_GB2312" w:cs="Times New Roman"/>
                <w:color w:val="000000"/>
                <w:kern w:val="0"/>
                <w:sz w:val="22"/>
                <w:szCs w:val="22"/>
              </w:rPr>
            </w:pP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决策　</w:t>
            </w:r>
          </w:p>
        </w:tc>
        <w:tc>
          <w:tcPr>
            <w:tcW w:w="764"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　</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立项依据</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充分性</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项目立项是否符合法律法规、相关政策、发展规划以及部门职责，用以反映和考核项目立项依据情况。</w:t>
            </w:r>
          </w:p>
        </w:tc>
        <w:tc>
          <w:tcPr>
            <w:tcW w:w="5198" w:type="dxa"/>
            <w:shd w:val="clear" w:color="auto" w:fill="auto"/>
            <w:vAlign w:val="center"/>
          </w:tcPr>
          <w:p>
            <w:pPr>
              <w:widowControl/>
              <w:spacing w:line="0" w:lineRule="atLeast"/>
              <w:jc w:val="left"/>
              <w:rPr>
                <w:rFonts w:hint="eastAsia" w:ascii="Times New Roman" w:hAnsi="Times New Roman" w:eastAsia="仿宋_GB2312" w:cs="Times New Roman"/>
                <w:color w:val="000000"/>
                <w:kern w:val="0"/>
                <w:sz w:val="22"/>
                <w:szCs w:val="22"/>
                <w:lang w:eastAsia="zh-CN"/>
              </w:rPr>
            </w:pPr>
            <w:r>
              <w:rPr>
                <w:rFonts w:hint="default" w:ascii="Times New Roman" w:hAnsi="Times New Roman" w:eastAsia="仿宋_GB2312" w:cs="Times New Roman"/>
                <w:color w:val="000000"/>
                <w:kern w:val="0"/>
                <w:sz w:val="22"/>
                <w:szCs w:val="22"/>
              </w:rPr>
              <w:t>评价要点：</w:t>
            </w:r>
          </w:p>
          <w:p>
            <w:pPr>
              <w:widowControl/>
              <w:spacing w:line="0" w:lineRule="atLeast"/>
              <w:jc w:val="left"/>
              <w:rPr>
                <w:rFonts w:hint="eastAsia" w:ascii="Times New Roman" w:hAnsi="Times New Roman" w:eastAsia="仿宋_GB2312" w:cs="Times New Roman"/>
                <w:color w:val="000000"/>
                <w:kern w:val="0"/>
                <w:sz w:val="22"/>
                <w:szCs w:val="22"/>
                <w:lang w:eastAsia="zh-CN"/>
              </w:rPr>
            </w:pPr>
            <w:r>
              <w:rPr>
                <w:rFonts w:hint="default" w:ascii="Times New Roman" w:hAnsi="Times New Roman" w:eastAsia="仿宋_GB2312" w:cs="Times New Roman"/>
                <w:color w:val="000000"/>
                <w:kern w:val="0"/>
                <w:sz w:val="22"/>
                <w:szCs w:val="22"/>
              </w:rPr>
              <w:t>①项目立项是否符合国家法律法规、国民经济发展规划和相关政策；</w:t>
            </w:r>
          </w:p>
          <w:p>
            <w:pPr>
              <w:widowControl/>
              <w:spacing w:line="0" w:lineRule="atLeast"/>
              <w:jc w:val="left"/>
              <w:rPr>
                <w:rFonts w:hint="eastAsia" w:ascii="Times New Roman" w:hAnsi="Times New Roman" w:eastAsia="仿宋_GB2312" w:cs="Times New Roman"/>
                <w:color w:val="000000"/>
                <w:kern w:val="0"/>
                <w:sz w:val="22"/>
                <w:szCs w:val="22"/>
                <w:lang w:eastAsia="zh-CN"/>
              </w:rPr>
            </w:pPr>
            <w:r>
              <w:rPr>
                <w:rFonts w:hint="default" w:ascii="Times New Roman" w:hAnsi="Times New Roman" w:eastAsia="仿宋_GB2312" w:cs="Times New Roman"/>
                <w:color w:val="000000"/>
                <w:kern w:val="0"/>
                <w:sz w:val="22"/>
                <w:szCs w:val="22"/>
              </w:rPr>
              <w:t>②项目立项是否符合行业发展规划和政策要求；</w:t>
            </w:r>
          </w:p>
          <w:p>
            <w:pPr>
              <w:widowControl/>
              <w:spacing w:line="0" w:lineRule="atLeast"/>
              <w:jc w:val="left"/>
              <w:rPr>
                <w:rFonts w:hint="eastAsia" w:ascii="Times New Roman" w:hAnsi="Times New Roman" w:eastAsia="仿宋_GB2312" w:cs="Times New Roman"/>
                <w:color w:val="000000"/>
                <w:kern w:val="0"/>
                <w:sz w:val="22"/>
                <w:szCs w:val="22"/>
                <w:lang w:eastAsia="zh-CN"/>
              </w:rPr>
            </w:pPr>
            <w:r>
              <w:rPr>
                <w:rFonts w:hint="default" w:ascii="Times New Roman" w:hAnsi="Times New Roman" w:eastAsia="仿宋_GB2312" w:cs="Times New Roman"/>
                <w:color w:val="000000"/>
                <w:kern w:val="0"/>
                <w:sz w:val="22"/>
                <w:szCs w:val="22"/>
              </w:rPr>
              <w:t>③项目立项是否与部门职责范围相符，属于部门履职所需；</w:t>
            </w:r>
          </w:p>
          <w:p>
            <w:pPr>
              <w:widowControl/>
              <w:spacing w:line="0" w:lineRule="atLeast"/>
              <w:jc w:val="left"/>
              <w:rPr>
                <w:rFonts w:hint="eastAsia" w:ascii="Times New Roman" w:hAnsi="Times New Roman" w:eastAsia="仿宋_GB2312" w:cs="Times New Roman"/>
                <w:color w:val="000000"/>
                <w:kern w:val="0"/>
                <w:sz w:val="22"/>
                <w:szCs w:val="22"/>
                <w:lang w:eastAsia="zh-CN"/>
              </w:rPr>
            </w:pPr>
            <w:r>
              <w:rPr>
                <w:rFonts w:hint="default" w:ascii="Times New Roman" w:hAnsi="Times New Roman" w:eastAsia="仿宋_GB2312" w:cs="Times New Roman"/>
                <w:color w:val="000000"/>
                <w:kern w:val="0"/>
                <w:sz w:val="22"/>
                <w:szCs w:val="22"/>
              </w:rPr>
              <w:t>④项目是否属于公共财政支持范围，是否符合中央、地方事权支出责任划分原则；</w:t>
            </w:r>
          </w:p>
          <w:p>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⑤项目是否与相关部门同类项目或部门内部相关项目重复。</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jc w:val="center"/>
        </w:trPr>
        <w:tc>
          <w:tcPr>
            <w:tcW w:w="832" w:type="dxa"/>
            <w:vMerge w:val="continue"/>
            <w:shd w:val="clear" w:color="auto" w:fill="auto"/>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立项程序</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规范性</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项目申请、设立过程是否符合相关要求，用以反映和考核项目立项的规范情况。</w:t>
            </w:r>
          </w:p>
        </w:tc>
        <w:tc>
          <w:tcPr>
            <w:tcW w:w="5198" w:type="dxa"/>
            <w:shd w:val="clear" w:color="auto" w:fill="auto"/>
            <w:vAlign w:val="center"/>
          </w:tcPr>
          <w:p>
            <w:pPr>
              <w:widowControl/>
              <w:spacing w:line="0" w:lineRule="atLeast"/>
              <w:jc w:val="left"/>
              <w:rPr>
                <w:rFonts w:hint="eastAsia" w:ascii="Times New Roman" w:hAnsi="Times New Roman" w:eastAsia="仿宋_GB2312" w:cs="Times New Roman"/>
                <w:color w:val="000000"/>
                <w:kern w:val="0"/>
                <w:sz w:val="22"/>
                <w:szCs w:val="22"/>
                <w:lang w:eastAsia="zh-CN"/>
              </w:rPr>
            </w:pPr>
            <w:r>
              <w:rPr>
                <w:rFonts w:hint="default" w:ascii="Times New Roman" w:hAnsi="Times New Roman" w:eastAsia="仿宋_GB2312" w:cs="Times New Roman"/>
                <w:color w:val="000000"/>
                <w:kern w:val="0"/>
                <w:sz w:val="22"/>
                <w:szCs w:val="22"/>
              </w:rPr>
              <w:t>评价要点：</w:t>
            </w:r>
          </w:p>
          <w:p>
            <w:pPr>
              <w:widowControl/>
              <w:spacing w:line="0" w:lineRule="atLeast"/>
              <w:jc w:val="left"/>
              <w:rPr>
                <w:rFonts w:hint="eastAsia" w:ascii="Times New Roman" w:hAnsi="Times New Roman" w:eastAsia="仿宋_GB2312" w:cs="Times New Roman"/>
                <w:color w:val="000000"/>
                <w:kern w:val="0"/>
                <w:sz w:val="22"/>
                <w:szCs w:val="22"/>
                <w:lang w:eastAsia="zh-CN"/>
              </w:rPr>
            </w:pPr>
            <w:r>
              <w:rPr>
                <w:rFonts w:hint="default" w:ascii="Times New Roman" w:hAnsi="Times New Roman" w:eastAsia="仿宋_GB2312" w:cs="Times New Roman"/>
                <w:color w:val="000000"/>
                <w:kern w:val="0"/>
                <w:sz w:val="22"/>
                <w:szCs w:val="22"/>
              </w:rPr>
              <w:t>①项目是否按照规定的程序申请设立；</w:t>
            </w:r>
          </w:p>
          <w:p>
            <w:pPr>
              <w:widowControl/>
              <w:spacing w:line="0" w:lineRule="atLeast"/>
              <w:jc w:val="left"/>
              <w:rPr>
                <w:rFonts w:hint="eastAsia" w:ascii="Times New Roman" w:hAnsi="Times New Roman" w:eastAsia="仿宋_GB2312" w:cs="Times New Roman"/>
                <w:color w:val="000000"/>
                <w:kern w:val="0"/>
                <w:sz w:val="22"/>
                <w:szCs w:val="22"/>
                <w:lang w:eastAsia="zh-CN"/>
              </w:rPr>
            </w:pPr>
            <w:r>
              <w:rPr>
                <w:rFonts w:hint="default" w:ascii="Times New Roman" w:hAnsi="Times New Roman" w:eastAsia="仿宋_GB2312" w:cs="Times New Roman"/>
                <w:color w:val="000000"/>
                <w:kern w:val="0"/>
                <w:sz w:val="22"/>
                <w:szCs w:val="22"/>
              </w:rPr>
              <w:t>②审批文件、材料是否符合相关要求；</w:t>
            </w:r>
          </w:p>
          <w:p>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③事前是否已经过必要的可行性研究、专家论证、风险评估、绩效评估、集体决策。</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jc w:val="center"/>
        </w:trPr>
        <w:tc>
          <w:tcPr>
            <w:tcW w:w="832" w:type="dxa"/>
            <w:vMerge w:val="continue"/>
            <w:shd w:val="clear" w:color="auto" w:fill="auto"/>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　</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项目所设定的绩效目标是否依据充分，是否符合客观实际，用以反映和考核项目绩效目标与项目实施的相符情况。</w:t>
            </w:r>
          </w:p>
        </w:tc>
        <w:tc>
          <w:tcPr>
            <w:tcW w:w="5198" w:type="dxa"/>
            <w:shd w:val="clear" w:color="auto" w:fill="auto"/>
            <w:vAlign w:val="center"/>
          </w:tcPr>
          <w:p>
            <w:pPr>
              <w:widowControl/>
              <w:spacing w:line="0" w:lineRule="atLeast"/>
              <w:jc w:val="left"/>
              <w:rPr>
                <w:rFonts w:hint="eastAsia" w:ascii="Times New Roman" w:hAnsi="Times New Roman" w:eastAsia="仿宋_GB2312" w:cs="Times New Roman"/>
                <w:color w:val="000000"/>
                <w:kern w:val="0"/>
                <w:sz w:val="22"/>
                <w:szCs w:val="22"/>
                <w:lang w:eastAsia="zh-CN"/>
              </w:rPr>
            </w:pPr>
            <w:r>
              <w:rPr>
                <w:rFonts w:hint="default" w:ascii="Times New Roman" w:hAnsi="Times New Roman" w:eastAsia="仿宋_GB2312" w:cs="Times New Roman"/>
                <w:color w:val="000000"/>
                <w:kern w:val="0"/>
                <w:sz w:val="22"/>
                <w:szCs w:val="22"/>
              </w:rPr>
              <w:t>评价要点：</w:t>
            </w:r>
          </w:p>
          <w:p>
            <w:pPr>
              <w:widowControl/>
              <w:spacing w:line="0" w:lineRule="atLeast"/>
              <w:jc w:val="left"/>
              <w:rPr>
                <w:rFonts w:hint="eastAsia" w:ascii="Times New Roman" w:hAnsi="Times New Roman" w:eastAsia="仿宋_GB2312" w:cs="Times New Roman"/>
                <w:color w:val="000000"/>
                <w:kern w:val="0"/>
                <w:sz w:val="22"/>
                <w:szCs w:val="22"/>
                <w:lang w:eastAsia="zh-CN"/>
              </w:rPr>
            </w:pPr>
            <w:r>
              <w:rPr>
                <w:rFonts w:hint="default" w:ascii="Times New Roman" w:hAnsi="Times New Roman" w:eastAsia="仿宋_GB2312" w:cs="Times New Roman"/>
                <w:color w:val="000000"/>
                <w:kern w:val="0"/>
                <w:sz w:val="22"/>
                <w:szCs w:val="22"/>
              </w:rPr>
              <w:t>（如未设定预算绩效目标，也可考核其他工作任务目标）</w:t>
            </w:r>
          </w:p>
          <w:p>
            <w:pPr>
              <w:widowControl/>
              <w:spacing w:line="0" w:lineRule="atLeast"/>
              <w:jc w:val="left"/>
              <w:rPr>
                <w:rFonts w:hint="eastAsia" w:ascii="Times New Roman" w:hAnsi="Times New Roman" w:eastAsia="仿宋_GB2312" w:cs="Times New Roman"/>
                <w:color w:val="000000"/>
                <w:kern w:val="0"/>
                <w:sz w:val="22"/>
                <w:szCs w:val="22"/>
                <w:lang w:eastAsia="zh-CN"/>
              </w:rPr>
            </w:pPr>
            <w:r>
              <w:rPr>
                <w:rFonts w:hint="default" w:ascii="Times New Roman" w:hAnsi="Times New Roman" w:eastAsia="仿宋_GB2312" w:cs="Times New Roman"/>
                <w:color w:val="000000"/>
                <w:kern w:val="0"/>
                <w:sz w:val="22"/>
                <w:szCs w:val="22"/>
              </w:rPr>
              <w:t>①项目是否有绩效目标；</w:t>
            </w:r>
          </w:p>
          <w:p>
            <w:pPr>
              <w:widowControl/>
              <w:spacing w:line="0" w:lineRule="atLeast"/>
              <w:jc w:val="left"/>
              <w:rPr>
                <w:rFonts w:hint="eastAsia" w:ascii="Times New Roman" w:hAnsi="Times New Roman" w:eastAsia="仿宋_GB2312" w:cs="Times New Roman"/>
                <w:color w:val="000000"/>
                <w:kern w:val="0"/>
                <w:sz w:val="22"/>
                <w:szCs w:val="22"/>
                <w:lang w:eastAsia="zh-CN"/>
              </w:rPr>
            </w:pPr>
            <w:r>
              <w:rPr>
                <w:rFonts w:hint="default" w:ascii="Times New Roman" w:hAnsi="Times New Roman" w:eastAsia="仿宋_GB2312" w:cs="Times New Roman"/>
                <w:color w:val="000000"/>
                <w:kern w:val="0"/>
                <w:sz w:val="22"/>
                <w:szCs w:val="22"/>
              </w:rPr>
              <w:t>②项目绩效目标与实际工作内容是否具有相关性；</w:t>
            </w:r>
          </w:p>
          <w:p>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④是否与预算确定的项目投资额或资金量相匹配。</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832"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绩效指标</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明确性</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依据绩效目标设定的绩效指标是否清晰、细化、可衡量等，用以反映和考核项目绩效目标的明细化情况。</w:t>
            </w:r>
          </w:p>
        </w:tc>
        <w:tc>
          <w:tcPr>
            <w:tcW w:w="5198" w:type="dxa"/>
            <w:shd w:val="clear" w:color="auto" w:fill="auto"/>
            <w:vAlign w:val="center"/>
          </w:tcPr>
          <w:p>
            <w:pPr>
              <w:widowControl/>
              <w:spacing w:line="0" w:lineRule="atLeast"/>
              <w:rPr>
                <w:rFonts w:hint="eastAsia" w:ascii="Times New Roman" w:hAnsi="Times New Roman" w:eastAsia="仿宋_GB2312" w:cs="Times New Roman"/>
                <w:color w:val="000000"/>
                <w:kern w:val="0"/>
                <w:sz w:val="22"/>
                <w:szCs w:val="22"/>
                <w:lang w:eastAsia="zh-CN"/>
              </w:rPr>
            </w:pPr>
            <w:r>
              <w:rPr>
                <w:rFonts w:hint="default" w:ascii="Times New Roman" w:hAnsi="Times New Roman" w:eastAsia="仿宋_GB2312" w:cs="Times New Roman"/>
                <w:color w:val="000000"/>
                <w:kern w:val="0"/>
                <w:sz w:val="22"/>
                <w:szCs w:val="22"/>
              </w:rPr>
              <w:t>评价要点：</w:t>
            </w:r>
          </w:p>
          <w:p>
            <w:pPr>
              <w:widowControl/>
              <w:spacing w:line="0" w:lineRule="atLeast"/>
              <w:rPr>
                <w:rFonts w:hint="eastAsia" w:ascii="Times New Roman" w:hAnsi="Times New Roman" w:eastAsia="仿宋_GB2312" w:cs="Times New Roman"/>
                <w:color w:val="000000"/>
                <w:kern w:val="0"/>
                <w:sz w:val="22"/>
                <w:szCs w:val="22"/>
                <w:lang w:eastAsia="zh-CN"/>
              </w:rPr>
            </w:pPr>
            <w:r>
              <w:rPr>
                <w:rFonts w:hint="default" w:ascii="Times New Roman" w:hAnsi="Times New Roman" w:eastAsia="仿宋_GB2312" w:cs="Times New Roman"/>
                <w:color w:val="000000"/>
                <w:kern w:val="0"/>
                <w:sz w:val="22"/>
                <w:szCs w:val="22"/>
              </w:rPr>
              <w:t>①是否将项目绩效目标细化分解为具体的绩效指标；</w:t>
            </w:r>
          </w:p>
          <w:p>
            <w:pPr>
              <w:widowControl/>
              <w:spacing w:line="0" w:lineRule="atLeast"/>
              <w:rPr>
                <w:rFonts w:hint="eastAsia" w:ascii="Times New Roman" w:hAnsi="Times New Roman" w:eastAsia="仿宋_GB2312" w:cs="Times New Roman"/>
                <w:color w:val="000000"/>
                <w:kern w:val="0"/>
                <w:sz w:val="22"/>
                <w:szCs w:val="22"/>
                <w:lang w:eastAsia="zh-CN"/>
              </w:rPr>
            </w:pPr>
            <w:r>
              <w:rPr>
                <w:rFonts w:hint="default" w:ascii="Times New Roman" w:hAnsi="Times New Roman" w:eastAsia="仿宋_GB2312" w:cs="Times New Roman"/>
                <w:color w:val="000000"/>
                <w:kern w:val="0"/>
                <w:sz w:val="22"/>
                <w:szCs w:val="22"/>
              </w:rPr>
              <w:t>②是否通过清晰、可衡量的指标值予以体现；</w:t>
            </w:r>
          </w:p>
          <w:p>
            <w:pPr>
              <w:widowControl/>
              <w:spacing w:line="0" w:lineRule="atLeast"/>
              <w:rPr>
                <w:rFonts w:hint="eastAsia" w:ascii="Times New Roman" w:hAnsi="Times New Roman" w:eastAsia="仿宋_GB2312" w:cs="Times New Roman"/>
                <w:color w:val="000000"/>
                <w:kern w:val="0"/>
                <w:sz w:val="22"/>
                <w:szCs w:val="22"/>
                <w:lang w:eastAsia="zh-CN"/>
              </w:rPr>
            </w:pPr>
            <w:r>
              <w:rPr>
                <w:rFonts w:hint="default" w:ascii="Times New Roman" w:hAnsi="Times New Roman" w:eastAsia="仿宋_GB2312" w:cs="Times New Roman"/>
                <w:color w:val="000000"/>
                <w:kern w:val="0"/>
                <w:sz w:val="22"/>
                <w:szCs w:val="22"/>
              </w:rPr>
              <w:t>③是否与项目目标任务数或计划数相对应。</w:t>
            </w:r>
          </w:p>
          <w:p>
            <w:pPr>
              <w:widowControl/>
              <w:spacing w:line="0" w:lineRule="atLeast"/>
              <w:rPr>
                <w:rFonts w:hint="eastAsia" w:ascii="Times New Roman" w:hAnsi="Times New Roman" w:eastAsia="仿宋_GB2312" w:cs="Times New Roman"/>
                <w:color w:val="000000"/>
                <w:kern w:val="0"/>
                <w:sz w:val="22"/>
                <w:szCs w:val="22"/>
                <w:lang w:eastAsia="zh-CN"/>
              </w:rPr>
            </w:pP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832" w:type="dxa"/>
            <w:vMerge w:val="continue"/>
            <w:shd w:val="clear" w:color="auto" w:fill="auto"/>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资金投入</w:t>
            </w:r>
          </w:p>
          <w:p>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预算编制</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科学性</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auto"/>
            <w:vAlign w:val="center"/>
          </w:tcPr>
          <w:p>
            <w:pPr>
              <w:widowControl/>
              <w:spacing w:line="0" w:lineRule="atLeast"/>
              <w:rPr>
                <w:rFonts w:hint="eastAsia" w:ascii="Times New Roman" w:hAnsi="Times New Roman" w:eastAsia="仿宋_GB2312" w:cs="Times New Roman"/>
                <w:color w:val="000000"/>
                <w:kern w:val="0"/>
                <w:sz w:val="22"/>
                <w:szCs w:val="22"/>
                <w:lang w:eastAsia="zh-CN"/>
              </w:rPr>
            </w:pPr>
            <w:r>
              <w:rPr>
                <w:rFonts w:hint="default" w:ascii="Times New Roman" w:hAnsi="Times New Roman" w:eastAsia="仿宋_GB2312" w:cs="Times New Roman"/>
                <w:color w:val="000000"/>
                <w:kern w:val="0"/>
                <w:sz w:val="22"/>
                <w:szCs w:val="22"/>
              </w:rPr>
              <w:t>评价要点：</w:t>
            </w:r>
          </w:p>
          <w:p>
            <w:pPr>
              <w:widowControl/>
              <w:spacing w:line="0" w:lineRule="atLeast"/>
              <w:rPr>
                <w:rFonts w:hint="eastAsia" w:ascii="Times New Roman" w:hAnsi="Times New Roman" w:eastAsia="仿宋_GB2312" w:cs="Times New Roman"/>
                <w:color w:val="000000"/>
                <w:kern w:val="0"/>
                <w:sz w:val="22"/>
                <w:szCs w:val="22"/>
                <w:lang w:eastAsia="zh-CN"/>
              </w:rPr>
            </w:pPr>
            <w:r>
              <w:rPr>
                <w:rFonts w:hint="default" w:ascii="Times New Roman" w:hAnsi="Times New Roman" w:eastAsia="仿宋_GB2312" w:cs="Times New Roman"/>
                <w:color w:val="000000"/>
                <w:kern w:val="0"/>
                <w:sz w:val="22"/>
                <w:szCs w:val="22"/>
              </w:rPr>
              <w:t>①预算编制是否经过科学论证；</w:t>
            </w:r>
          </w:p>
          <w:p>
            <w:pPr>
              <w:widowControl/>
              <w:spacing w:line="0" w:lineRule="atLeast"/>
              <w:rPr>
                <w:rFonts w:hint="eastAsia" w:ascii="Times New Roman" w:hAnsi="Times New Roman" w:eastAsia="仿宋_GB2312" w:cs="Times New Roman"/>
                <w:color w:val="000000"/>
                <w:kern w:val="0"/>
                <w:sz w:val="22"/>
                <w:szCs w:val="22"/>
                <w:lang w:eastAsia="zh-CN"/>
              </w:rPr>
            </w:pPr>
            <w:r>
              <w:rPr>
                <w:rFonts w:hint="default" w:ascii="Times New Roman" w:hAnsi="Times New Roman" w:eastAsia="仿宋_GB2312" w:cs="Times New Roman"/>
                <w:color w:val="000000"/>
                <w:kern w:val="0"/>
                <w:sz w:val="22"/>
                <w:szCs w:val="22"/>
              </w:rPr>
              <w:t>②预算内容与项目内容是否匹配；</w:t>
            </w:r>
          </w:p>
          <w:p>
            <w:pPr>
              <w:widowControl/>
              <w:spacing w:line="0" w:lineRule="atLeast"/>
              <w:rPr>
                <w:rFonts w:hint="eastAsia" w:ascii="Times New Roman" w:hAnsi="Times New Roman" w:eastAsia="仿宋_GB2312" w:cs="Times New Roman"/>
                <w:color w:val="000000"/>
                <w:kern w:val="0"/>
                <w:sz w:val="22"/>
                <w:szCs w:val="22"/>
                <w:lang w:eastAsia="zh-CN"/>
              </w:rPr>
            </w:pPr>
            <w:r>
              <w:rPr>
                <w:rFonts w:hint="default" w:ascii="Times New Roman" w:hAnsi="Times New Roman" w:eastAsia="仿宋_GB2312" w:cs="Times New Roman"/>
                <w:color w:val="000000"/>
                <w:kern w:val="0"/>
                <w:sz w:val="22"/>
                <w:szCs w:val="22"/>
              </w:rPr>
              <w:t>③预算额度测算依据是否充分，是否按照标准编制；</w:t>
            </w:r>
          </w:p>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④预算确定的项目投资额或资金量是否与工作任务相匹配。</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832"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资金分配</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auto"/>
            <w:vAlign w:val="center"/>
          </w:tcPr>
          <w:p>
            <w:pPr>
              <w:widowControl/>
              <w:spacing w:line="0" w:lineRule="atLeast"/>
              <w:rPr>
                <w:rFonts w:hint="eastAsia" w:ascii="Times New Roman" w:hAnsi="Times New Roman" w:eastAsia="仿宋_GB2312" w:cs="Times New Roman"/>
                <w:color w:val="000000"/>
                <w:kern w:val="0"/>
                <w:sz w:val="22"/>
                <w:szCs w:val="22"/>
                <w:lang w:eastAsia="zh-CN"/>
              </w:rPr>
            </w:pPr>
            <w:r>
              <w:rPr>
                <w:rFonts w:hint="default" w:ascii="Times New Roman" w:hAnsi="Times New Roman" w:eastAsia="仿宋_GB2312" w:cs="Times New Roman"/>
                <w:color w:val="000000"/>
                <w:kern w:val="0"/>
                <w:sz w:val="22"/>
                <w:szCs w:val="22"/>
              </w:rPr>
              <w:t>评价要点：</w:t>
            </w:r>
          </w:p>
          <w:p>
            <w:pPr>
              <w:widowControl/>
              <w:spacing w:line="0" w:lineRule="atLeast"/>
              <w:rPr>
                <w:rFonts w:hint="eastAsia" w:ascii="Times New Roman" w:hAnsi="Times New Roman" w:eastAsia="仿宋_GB2312" w:cs="Times New Roman"/>
                <w:color w:val="000000"/>
                <w:kern w:val="0"/>
                <w:sz w:val="22"/>
                <w:szCs w:val="22"/>
                <w:lang w:eastAsia="zh-CN"/>
              </w:rPr>
            </w:pPr>
            <w:r>
              <w:rPr>
                <w:rFonts w:hint="default" w:ascii="Times New Roman" w:hAnsi="Times New Roman" w:eastAsia="仿宋_GB2312" w:cs="Times New Roman"/>
                <w:color w:val="000000"/>
                <w:kern w:val="0"/>
                <w:sz w:val="22"/>
                <w:szCs w:val="22"/>
              </w:rPr>
              <w:t>①预算资金分配依据是否充分；</w:t>
            </w:r>
          </w:p>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②资金分配额度是否合理，与项目单位或地方实际是否相适应。</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832" w:type="dxa"/>
            <w:vMerge w:val="restart"/>
            <w:shd w:val="clear" w:color="auto" w:fill="auto"/>
            <w:vAlign w:val="center"/>
          </w:tcPr>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过程</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764"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实际到位资金与预算资金的比率，用以反映和考核资金落实情况对项目实施的总体保障程度。</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资金到位率=（实际到位资金/预算资金）×100%。</w:t>
            </w:r>
          </w:p>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预算资金：一定时期（本年度或项目期）内预算安排到具体项目的资金。</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832" w:type="dxa"/>
            <w:vMerge w:val="continue"/>
            <w:shd w:val="clear" w:color="auto" w:fill="auto"/>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项目预算资金是否按照计划执行，用以反映或考核项目预算执行情况。</w:t>
            </w:r>
          </w:p>
        </w:tc>
        <w:tc>
          <w:tcPr>
            <w:tcW w:w="5198" w:type="dxa"/>
            <w:shd w:val="clear" w:color="auto" w:fill="auto"/>
            <w:vAlign w:val="center"/>
          </w:tcPr>
          <w:p>
            <w:pPr>
              <w:widowControl/>
              <w:spacing w:line="0" w:lineRule="atLeast"/>
              <w:rPr>
                <w:rFonts w:hint="eastAsia" w:ascii="Times New Roman" w:hAnsi="Times New Roman" w:eastAsia="仿宋_GB2312" w:cs="Times New Roman"/>
                <w:color w:val="000000"/>
                <w:kern w:val="0"/>
                <w:sz w:val="22"/>
                <w:szCs w:val="22"/>
                <w:lang w:eastAsia="zh-CN"/>
              </w:rPr>
            </w:pPr>
            <w:r>
              <w:rPr>
                <w:rFonts w:hint="default" w:ascii="Times New Roman" w:hAnsi="Times New Roman" w:eastAsia="仿宋_GB2312" w:cs="Times New Roman"/>
                <w:color w:val="000000"/>
                <w:kern w:val="0"/>
                <w:sz w:val="22"/>
                <w:szCs w:val="22"/>
              </w:rPr>
              <w:t>预算执行率=（实际支出资金/实际到位资金）×100%。</w:t>
            </w:r>
          </w:p>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实际支出资金：一定时期（本年度或项目期）内项目实际拨付的资金。</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default" w:ascii="Times New Roman" w:hAnsi="Times New Roman" w:eastAsia="仿宋_GB2312" w:cs="Times New Roman"/>
                <w:b/>
                <w:bCs/>
                <w:color w:val="000000"/>
                <w:kern w:val="0"/>
                <w:sz w:val="22"/>
                <w:szCs w:val="22"/>
                <w:lang w:val="en-US" w:eastAsia="zh-CN"/>
              </w:rPr>
              <w:t>4</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eastAsia" w:eastAsia="仿宋_GB2312" w:cs="Times New Roman"/>
                <w:b/>
                <w:bCs/>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2" w:type="dxa"/>
            <w:vMerge w:val="continue"/>
            <w:shd w:val="clear" w:color="auto" w:fill="auto"/>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资金使用</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合规性</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项目资金使用是否符合相关的财务管理制度规定，用以反映和考核项目资金的规范运行情况。</w:t>
            </w:r>
          </w:p>
        </w:tc>
        <w:tc>
          <w:tcPr>
            <w:tcW w:w="5198" w:type="dxa"/>
            <w:shd w:val="clear" w:color="auto" w:fill="auto"/>
            <w:vAlign w:val="center"/>
          </w:tcPr>
          <w:p>
            <w:pPr>
              <w:widowControl/>
              <w:spacing w:line="0" w:lineRule="atLeast"/>
              <w:rPr>
                <w:rFonts w:hint="eastAsia" w:ascii="Times New Roman" w:hAnsi="Times New Roman" w:eastAsia="仿宋_GB2312" w:cs="Times New Roman"/>
                <w:color w:val="000000"/>
                <w:kern w:val="0"/>
                <w:sz w:val="22"/>
                <w:szCs w:val="22"/>
                <w:lang w:eastAsia="zh-CN"/>
              </w:rPr>
            </w:pPr>
            <w:r>
              <w:rPr>
                <w:rFonts w:hint="default" w:ascii="Times New Roman" w:hAnsi="Times New Roman" w:eastAsia="仿宋_GB2312" w:cs="Times New Roman"/>
                <w:color w:val="000000"/>
                <w:kern w:val="0"/>
                <w:sz w:val="22"/>
                <w:szCs w:val="22"/>
              </w:rPr>
              <w:t>评价要点：</w:t>
            </w:r>
          </w:p>
          <w:p>
            <w:pPr>
              <w:widowControl/>
              <w:spacing w:line="0" w:lineRule="atLeast"/>
              <w:rPr>
                <w:rFonts w:hint="eastAsia" w:ascii="Times New Roman" w:hAnsi="Times New Roman" w:eastAsia="仿宋_GB2312" w:cs="Times New Roman"/>
                <w:color w:val="000000"/>
                <w:kern w:val="0"/>
                <w:sz w:val="22"/>
                <w:szCs w:val="22"/>
                <w:lang w:eastAsia="zh-CN"/>
              </w:rPr>
            </w:pPr>
            <w:r>
              <w:rPr>
                <w:rFonts w:hint="default" w:ascii="Times New Roman" w:hAnsi="Times New Roman" w:eastAsia="仿宋_GB2312" w:cs="Times New Roman"/>
                <w:color w:val="000000"/>
                <w:kern w:val="0"/>
                <w:sz w:val="22"/>
                <w:szCs w:val="22"/>
              </w:rPr>
              <w:t>①是否符合国家财经法规和财务管理制度以及有关专项资金管理办法的规定；</w:t>
            </w:r>
          </w:p>
          <w:p>
            <w:pPr>
              <w:widowControl/>
              <w:spacing w:line="0" w:lineRule="atLeast"/>
              <w:rPr>
                <w:rFonts w:hint="eastAsia" w:ascii="Times New Roman" w:hAnsi="Times New Roman" w:eastAsia="仿宋_GB2312" w:cs="Times New Roman"/>
                <w:color w:val="000000"/>
                <w:kern w:val="0"/>
                <w:sz w:val="22"/>
                <w:szCs w:val="22"/>
                <w:lang w:eastAsia="zh-CN"/>
              </w:rPr>
            </w:pPr>
            <w:r>
              <w:rPr>
                <w:rFonts w:hint="default" w:ascii="Times New Roman" w:hAnsi="Times New Roman" w:eastAsia="仿宋_GB2312" w:cs="Times New Roman"/>
                <w:color w:val="000000"/>
                <w:kern w:val="0"/>
                <w:sz w:val="22"/>
                <w:szCs w:val="22"/>
              </w:rPr>
              <w:t>②资金的拨付是否有完整的审批程序和手续；</w:t>
            </w:r>
          </w:p>
          <w:p>
            <w:pPr>
              <w:widowControl/>
              <w:spacing w:line="0" w:lineRule="atLeast"/>
              <w:rPr>
                <w:rFonts w:hint="eastAsia" w:ascii="Times New Roman" w:hAnsi="Times New Roman" w:eastAsia="仿宋_GB2312" w:cs="Times New Roman"/>
                <w:color w:val="000000"/>
                <w:kern w:val="0"/>
                <w:sz w:val="22"/>
                <w:szCs w:val="22"/>
                <w:lang w:eastAsia="zh-CN"/>
              </w:rPr>
            </w:pPr>
            <w:r>
              <w:rPr>
                <w:rFonts w:hint="default" w:ascii="Times New Roman" w:hAnsi="Times New Roman" w:eastAsia="仿宋_GB2312" w:cs="Times New Roman"/>
                <w:color w:val="000000"/>
                <w:kern w:val="0"/>
                <w:sz w:val="22"/>
                <w:szCs w:val="22"/>
              </w:rPr>
              <w:t>③是否符合项目预算批复或合同规定的用途；</w:t>
            </w:r>
          </w:p>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④是否存在截留、挤占、挪用、虚列支出等情况。</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832" w:type="dxa"/>
            <w:vMerge w:val="continue"/>
            <w:shd w:val="clear" w:color="auto" w:fill="auto"/>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组织实施</w:t>
            </w:r>
          </w:p>
          <w:p>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管理制度</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健全性</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项目实施单位的财务和业务管理制度是否健全，用以反映和考核财务和业务管理制度对项目顺利实施的保障情况。</w:t>
            </w:r>
          </w:p>
        </w:tc>
        <w:tc>
          <w:tcPr>
            <w:tcW w:w="5198" w:type="dxa"/>
            <w:shd w:val="clear" w:color="auto" w:fill="auto"/>
            <w:vAlign w:val="center"/>
          </w:tcPr>
          <w:p>
            <w:pPr>
              <w:widowControl/>
              <w:spacing w:line="0" w:lineRule="atLeast"/>
              <w:rPr>
                <w:rFonts w:hint="eastAsia" w:ascii="Times New Roman" w:hAnsi="Times New Roman" w:eastAsia="仿宋_GB2312" w:cs="Times New Roman"/>
                <w:color w:val="000000"/>
                <w:kern w:val="0"/>
                <w:sz w:val="22"/>
                <w:szCs w:val="22"/>
                <w:lang w:eastAsia="zh-CN"/>
              </w:rPr>
            </w:pPr>
            <w:r>
              <w:rPr>
                <w:rFonts w:hint="default" w:ascii="Times New Roman" w:hAnsi="Times New Roman" w:eastAsia="仿宋_GB2312" w:cs="Times New Roman"/>
                <w:color w:val="000000"/>
                <w:kern w:val="0"/>
                <w:sz w:val="22"/>
                <w:szCs w:val="22"/>
              </w:rPr>
              <w:t>评价要点：</w:t>
            </w:r>
          </w:p>
          <w:p>
            <w:pPr>
              <w:widowControl/>
              <w:spacing w:line="0" w:lineRule="atLeast"/>
              <w:rPr>
                <w:rFonts w:hint="eastAsia" w:ascii="Times New Roman" w:hAnsi="Times New Roman" w:eastAsia="仿宋_GB2312" w:cs="Times New Roman"/>
                <w:color w:val="000000"/>
                <w:kern w:val="0"/>
                <w:sz w:val="22"/>
                <w:szCs w:val="22"/>
                <w:lang w:eastAsia="zh-CN"/>
              </w:rPr>
            </w:pPr>
            <w:r>
              <w:rPr>
                <w:rFonts w:hint="default" w:ascii="Times New Roman" w:hAnsi="Times New Roman" w:eastAsia="仿宋_GB2312" w:cs="Times New Roman"/>
                <w:color w:val="000000"/>
                <w:kern w:val="0"/>
                <w:sz w:val="22"/>
                <w:szCs w:val="22"/>
              </w:rPr>
              <w:t>①是否已制定或具有相应的财务和业务管理制度；</w:t>
            </w:r>
          </w:p>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②财务和业务管理制度是否合法、合规、完整。</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832"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制度执行</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有效性</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项目实施是否符合相关管理规定，用以反映和考核相关管理制度的有效执行情况。</w:t>
            </w:r>
          </w:p>
        </w:tc>
        <w:tc>
          <w:tcPr>
            <w:tcW w:w="5198" w:type="dxa"/>
            <w:shd w:val="clear" w:color="auto" w:fill="auto"/>
            <w:vAlign w:val="center"/>
          </w:tcPr>
          <w:p>
            <w:pPr>
              <w:widowControl/>
              <w:spacing w:line="0" w:lineRule="atLeast"/>
              <w:rPr>
                <w:rFonts w:hint="eastAsia" w:ascii="Times New Roman" w:hAnsi="Times New Roman" w:eastAsia="仿宋_GB2312" w:cs="Times New Roman"/>
                <w:color w:val="000000"/>
                <w:kern w:val="0"/>
                <w:sz w:val="22"/>
                <w:szCs w:val="22"/>
                <w:lang w:eastAsia="zh-CN"/>
              </w:rPr>
            </w:pPr>
            <w:r>
              <w:rPr>
                <w:rFonts w:hint="default" w:ascii="Times New Roman" w:hAnsi="Times New Roman" w:eastAsia="仿宋_GB2312" w:cs="Times New Roman"/>
                <w:color w:val="000000"/>
                <w:kern w:val="0"/>
                <w:sz w:val="22"/>
                <w:szCs w:val="22"/>
              </w:rPr>
              <w:t>评价要点：</w:t>
            </w:r>
          </w:p>
          <w:p>
            <w:pPr>
              <w:widowControl/>
              <w:spacing w:line="0" w:lineRule="atLeast"/>
              <w:rPr>
                <w:rFonts w:hint="eastAsia" w:ascii="Times New Roman" w:hAnsi="Times New Roman" w:eastAsia="仿宋_GB2312" w:cs="Times New Roman"/>
                <w:color w:val="000000"/>
                <w:kern w:val="0"/>
                <w:sz w:val="22"/>
                <w:szCs w:val="22"/>
                <w:lang w:eastAsia="zh-CN"/>
              </w:rPr>
            </w:pPr>
            <w:r>
              <w:rPr>
                <w:rFonts w:hint="default" w:ascii="Times New Roman" w:hAnsi="Times New Roman" w:eastAsia="仿宋_GB2312" w:cs="Times New Roman"/>
                <w:color w:val="000000"/>
                <w:kern w:val="0"/>
                <w:sz w:val="22"/>
                <w:szCs w:val="22"/>
              </w:rPr>
              <w:t>①是否遵守相关法律法规和相关管理规定；</w:t>
            </w:r>
          </w:p>
          <w:p>
            <w:pPr>
              <w:widowControl/>
              <w:spacing w:line="0" w:lineRule="atLeast"/>
              <w:rPr>
                <w:rFonts w:hint="eastAsia" w:ascii="Times New Roman" w:hAnsi="Times New Roman" w:eastAsia="仿宋_GB2312" w:cs="Times New Roman"/>
                <w:color w:val="000000"/>
                <w:kern w:val="0"/>
                <w:sz w:val="22"/>
                <w:szCs w:val="22"/>
                <w:lang w:eastAsia="zh-CN"/>
              </w:rPr>
            </w:pPr>
            <w:r>
              <w:rPr>
                <w:rFonts w:hint="default" w:ascii="Times New Roman" w:hAnsi="Times New Roman" w:eastAsia="仿宋_GB2312" w:cs="Times New Roman"/>
                <w:color w:val="000000"/>
                <w:kern w:val="0"/>
                <w:sz w:val="22"/>
                <w:szCs w:val="22"/>
              </w:rPr>
              <w:t>②项目调整及支出调整手续是否完备；</w:t>
            </w:r>
          </w:p>
          <w:p>
            <w:pPr>
              <w:widowControl/>
              <w:spacing w:line="0" w:lineRule="atLeast"/>
              <w:rPr>
                <w:rFonts w:hint="eastAsia" w:ascii="Times New Roman" w:hAnsi="Times New Roman" w:eastAsia="仿宋_GB2312" w:cs="Times New Roman"/>
                <w:color w:val="000000"/>
                <w:kern w:val="0"/>
                <w:sz w:val="22"/>
                <w:szCs w:val="22"/>
                <w:lang w:eastAsia="zh-CN"/>
              </w:rPr>
            </w:pPr>
            <w:r>
              <w:rPr>
                <w:rFonts w:hint="default" w:ascii="Times New Roman" w:hAnsi="Times New Roman" w:eastAsia="仿宋_GB2312" w:cs="Times New Roman"/>
                <w:color w:val="000000"/>
                <w:kern w:val="0"/>
                <w:sz w:val="22"/>
                <w:szCs w:val="22"/>
              </w:rPr>
              <w:t>③项目合同书、验收报告、技术鉴定等资料是否齐全并及时归档；</w:t>
            </w:r>
          </w:p>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④项目实施的人员条件、场地设备、信息支撑等是否落实到位。</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32"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w:t>
            </w:r>
          </w:p>
        </w:tc>
        <w:tc>
          <w:tcPr>
            <w:tcW w:w="764"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产出数量</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项目实施的实际产出数与计划产出数的比率，用以反映和考核项目产出数量目标的实现程度。</w:t>
            </w:r>
          </w:p>
        </w:tc>
        <w:tc>
          <w:tcPr>
            <w:tcW w:w="5198" w:type="dxa"/>
            <w:shd w:val="clear" w:color="auto" w:fill="auto"/>
            <w:vAlign w:val="center"/>
          </w:tcPr>
          <w:p>
            <w:pPr>
              <w:widowControl/>
              <w:spacing w:line="0" w:lineRule="atLeast"/>
              <w:rPr>
                <w:rFonts w:hint="eastAsia" w:ascii="Times New Roman" w:hAnsi="Times New Roman" w:eastAsia="仿宋_GB2312" w:cs="Times New Roman"/>
                <w:color w:val="000000"/>
                <w:kern w:val="0"/>
                <w:sz w:val="22"/>
                <w:szCs w:val="22"/>
                <w:lang w:eastAsia="zh-CN"/>
              </w:rPr>
            </w:pPr>
            <w:r>
              <w:rPr>
                <w:rFonts w:hint="default" w:ascii="Times New Roman" w:hAnsi="Times New Roman" w:eastAsia="仿宋_GB2312" w:cs="Times New Roman"/>
                <w:color w:val="000000"/>
                <w:kern w:val="0"/>
                <w:sz w:val="22"/>
                <w:szCs w:val="22"/>
              </w:rPr>
              <w:t>实际完成率=（实际产出数/计划产出数）×100%。</w:t>
            </w:r>
          </w:p>
          <w:p>
            <w:pPr>
              <w:widowControl/>
              <w:spacing w:line="0" w:lineRule="atLeast"/>
              <w:rPr>
                <w:rFonts w:hint="eastAsia" w:ascii="Times New Roman" w:hAnsi="Times New Roman" w:eastAsia="仿宋_GB2312" w:cs="Times New Roman"/>
                <w:color w:val="000000"/>
                <w:kern w:val="0"/>
                <w:sz w:val="22"/>
                <w:szCs w:val="22"/>
                <w:lang w:eastAsia="zh-CN"/>
              </w:rPr>
            </w:pPr>
            <w:r>
              <w:rPr>
                <w:rFonts w:hint="default" w:ascii="Times New Roman" w:hAnsi="Times New Roman" w:eastAsia="仿宋_GB2312" w:cs="Times New Roman"/>
                <w:color w:val="000000"/>
                <w:kern w:val="0"/>
                <w:sz w:val="22"/>
                <w:szCs w:val="22"/>
              </w:rPr>
              <w:t>实际产出数：一定时期（本年度或项目期）内项目实际产出的产品或提供的服务数量。</w:t>
            </w:r>
          </w:p>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计划产出数：项目绩效目标确定的在一定时期（本年度或项目期）内计划产出的产品或提供的服务数量。</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832"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产出质量</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项目完成的质量达标产出数与实际产出数的比率，用以反映和考核项目产出质量目标的实现程度。</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质量达标率=（质量达标产出数/实际产出数）×100%。</w:t>
            </w:r>
          </w:p>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832" w:type="dxa"/>
            <w:vMerge w:val="continue"/>
            <w:shd w:val="clear" w:color="auto" w:fill="auto"/>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产出时效</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完成及时性</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项目实际完成时间与计划完成时间的比较，用以反映和考核项目产出时效目标的实现程度。</w:t>
            </w:r>
          </w:p>
        </w:tc>
        <w:tc>
          <w:tcPr>
            <w:tcW w:w="5198" w:type="dxa"/>
            <w:shd w:val="clear" w:color="auto" w:fill="auto"/>
            <w:vAlign w:val="center"/>
          </w:tcPr>
          <w:p>
            <w:pPr>
              <w:widowControl/>
              <w:spacing w:line="0" w:lineRule="atLeast"/>
              <w:rPr>
                <w:rFonts w:hint="eastAsia" w:ascii="Times New Roman" w:hAnsi="Times New Roman" w:eastAsia="仿宋_GB2312" w:cs="Times New Roman"/>
                <w:color w:val="000000"/>
                <w:kern w:val="0"/>
                <w:sz w:val="22"/>
                <w:szCs w:val="22"/>
                <w:lang w:eastAsia="zh-CN"/>
              </w:rPr>
            </w:pPr>
            <w:r>
              <w:rPr>
                <w:rFonts w:hint="default" w:ascii="Times New Roman" w:hAnsi="Times New Roman" w:eastAsia="仿宋_GB2312" w:cs="Times New Roman"/>
                <w:color w:val="000000"/>
                <w:kern w:val="0"/>
                <w:sz w:val="22"/>
                <w:szCs w:val="22"/>
              </w:rPr>
              <w:t>实际完成时间：项目实施单位完成该项目实际所耗用的时间。</w:t>
            </w:r>
          </w:p>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计划完成时间：按照项目实施计划或相关规定完成该项目所需的时间。</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2"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产出成本</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成本节约率</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完成项目计划工作目标的实际节约成本与计划成本的比率，用以反映和考核项目的成本节约程度。</w:t>
            </w:r>
          </w:p>
        </w:tc>
        <w:tc>
          <w:tcPr>
            <w:tcW w:w="5198" w:type="dxa"/>
            <w:shd w:val="clear" w:color="auto" w:fill="auto"/>
            <w:vAlign w:val="center"/>
          </w:tcPr>
          <w:p>
            <w:pPr>
              <w:widowControl/>
              <w:spacing w:line="0" w:lineRule="atLeast"/>
              <w:rPr>
                <w:rFonts w:hint="eastAsia" w:ascii="Times New Roman" w:hAnsi="Times New Roman" w:eastAsia="仿宋_GB2312" w:cs="Times New Roman"/>
                <w:color w:val="000000"/>
                <w:kern w:val="0"/>
                <w:sz w:val="22"/>
                <w:szCs w:val="22"/>
                <w:lang w:eastAsia="zh-CN"/>
              </w:rPr>
            </w:pPr>
          </w:p>
          <w:p>
            <w:pPr>
              <w:widowControl/>
              <w:spacing w:line="0" w:lineRule="atLeast"/>
              <w:rPr>
                <w:rFonts w:hint="eastAsia" w:ascii="Times New Roman" w:hAnsi="Times New Roman" w:eastAsia="仿宋_GB2312" w:cs="Times New Roman"/>
                <w:color w:val="000000"/>
                <w:kern w:val="0"/>
                <w:sz w:val="22"/>
                <w:szCs w:val="22"/>
                <w:lang w:eastAsia="zh-CN"/>
              </w:rPr>
            </w:pPr>
            <w:r>
              <w:rPr>
                <w:rFonts w:hint="default" w:ascii="Times New Roman" w:hAnsi="Times New Roman" w:eastAsia="仿宋_GB2312" w:cs="Times New Roman"/>
                <w:color w:val="000000"/>
                <w:kern w:val="0"/>
                <w:sz w:val="22"/>
                <w:szCs w:val="22"/>
              </w:rPr>
              <w:t>成本节约率=[（计划成本-实际成本）/计划成本]×100%。</w:t>
            </w:r>
          </w:p>
          <w:p>
            <w:pPr>
              <w:widowControl/>
              <w:spacing w:line="0" w:lineRule="atLeast"/>
              <w:rPr>
                <w:rFonts w:hint="eastAsia" w:ascii="Times New Roman" w:hAnsi="Times New Roman" w:eastAsia="仿宋_GB2312" w:cs="Times New Roman"/>
                <w:color w:val="000000"/>
                <w:kern w:val="0"/>
                <w:sz w:val="22"/>
                <w:szCs w:val="22"/>
                <w:lang w:eastAsia="zh-CN"/>
              </w:rPr>
            </w:pPr>
            <w:r>
              <w:rPr>
                <w:rFonts w:hint="default" w:ascii="Times New Roman" w:hAnsi="Times New Roman" w:eastAsia="仿宋_GB2312" w:cs="Times New Roman"/>
                <w:color w:val="000000"/>
                <w:kern w:val="0"/>
                <w:sz w:val="22"/>
                <w:szCs w:val="22"/>
              </w:rPr>
              <w:t>实际成本：项目实施单位如期、保质、保量完成既定工作目标实际所耗费的支出。</w:t>
            </w:r>
          </w:p>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计划成本：项目实施单位为完成工作目标计划安排的支出，一般以项目预算为参考。</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832"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效益　</w:t>
            </w:r>
          </w:p>
        </w:tc>
        <w:tc>
          <w:tcPr>
            <w:tcW w:w="764"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项目效益　</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实施效益</w:t>
            </w:r>
          </w:p>
        </w:tc>
        <w:tc>
          <w:tcPr>
            <w:tcW w:w="2353" w:type="dxa"/>
            <w:shd w:val="clear" w:color="auto" w:fill="auto"/>
            <w:vAlign w:val="center"/>
          </w:tcPr>
          <w:p>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项目实施所产生的效益。</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项目实施所产生的社会效益、经济效益、生态效益、可持续影响等。可根据项目实际情况有选择地设置和细化。</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832"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满意度</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社会公众或服务对象对项目实施效果的满意程度。</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社会公众或服务对象是指因该项目实施而受到影响的部门（单位）、群体或个人。一般采取社会调查的方式。</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bl>
    <w:p>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楷体_GB2312">
    <w:altName w:val="宋体"/>
    <w:panose1 w:val="02000000000000000000"/>
    <w:charset w:val="86"/>
    <w:family w:val="auto"/>
    <w:pitch w:val="default"/>
    <w:sig w:usb0="00000000" w:usb1="00000000" w:usb2="00000000" w:usb3="00000000" w:csb0="00000000" w:csb1="00000000"/>
  </w:font>
  <w:font w:name="楷体_GB2312">
    <w:altName w:val="楷体"/>
    <w:panose1 w:val="02010609030101010101"/>
    <w:charset w:val="86"/>
    <w:family w:val="auto"/>
    <w:pitch w:val="default"/>
    <w:sig w:usb0="00000000" w:usb1="0000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8"/>
          <w:jc w:val="center"/>
        </w:pPr>
        <w:r>
          <w:fldChar w:fldCharType="begin"/>
        </w:r>
        <w:r>
          <w:instrText xml:space="preserve">PAGE   \* MERGEFORMAT</w:instrText>
        </w:r>
        <w:r>
          <w:fldChar w:fldCharType="separate"/>
        </w:r>
        <w:r>
          <w:rPr>
            <w:lang w:val="zh-CN"/>
          </w:rPr>
          <w:t>13</w:t>
        </w:r>
        <w:r>
          <w:fldChar w:fldCharType="end"/>
        </w:r>
      </w:p>
    </w:sdtContent>
  </w:sdt>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08B698"/>
    <w:multiLevelType w:val="singleLevel"/>
    <w:tmpl w:val="A308B698"/>
    <w:lvl w:ilvl="0" w:tentative="0">
      <w:start w:val="2"/>
      <w:numFmt w:val="decimal"/>
      <w:suff w:val="nothing"/>
      <w:lvlText w:val="（%1）"/>
      <w:lvlJc w:val="left"/>
      <w:pPr>
        <w:ind w:left="642" w:leftChars="0" w:firstLine="0" w:firstLineChars="0"/>
      </w:pPr>
    </w:lvl>
  </w:abstractNum>
  <w:abstractNum w:abstractNumId="1">
    <w:nsid w:val="DEF60FE1"/>
    <w:multiLevelType w:val="singleLevel"/>
    <w:tmpl w:val="DEF60FE1"/>
    <w:lvl w:ilvl="0" w:tentative="0">
      <w:start w:val="1"/>
      <w:numFmt w:val="decimal"/>
      <w:suff w:val="nothing"/>
      <w:lvlText w:val="（%1）"/>
      <w:lvlJc w:val="left"/>
    </w:lvl>
  </w:abstractNum>
  <w:abstractNum w:abstractNumId="2">
    <w:nsid w:val="F3B5AAF3"/>
    <w:multiLevelType w:val="singleLevel"/>
    <w:tmpl w:val="F3B5AAF3"/>
    <w:lvl w:ilvl="0" w:tentative="0">
      <w:start w:val="1"/>
      <w:numFmt w:val="decimal"/>
      <w:lvlText w:val="%1."/>
      <w:lvlJc w:val="left"/>
      <w:pPr>
        <w:tabs>
          <w:tab w:val="left" w:pos="312"/>
        </w:tabs>
      </w:p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4A35B86"/>
    <w:multiLevelType w:val="singleLevel"/>
    <w:tmpl w:val="24A35B86"/>
    <w:lvl w:ilvl="0" w:tentative="0">
      <w:start w:val="6"/>
      <w:numFmt w:val="chineseCounting"/>
      <w:suff w:val="nothing"/>
      <w:lvlText w:val="%1、"/>
      <w:lvlJc w:val="left"/>
      <w:rPr>
        <w:rFonts w:hint="eastAsia"/>
      </w:rPr>
    </w:lvl>
  </w:abstractNum>
  <w:abstractNum w:abstractNumId="5">
    <w:nsid w:val="27813159"/>
    <w:multiLevelType w:val="singleLevel"/>
    <w:tmpl w:val="27813159"/>
    <w:lvl w:ilvl="0" w:tentative="0">
      <w:start w:val="3"/>
      <w:numFmt w:val="chineseCounting"/>
      <w:suff w:val="nothing"/>
      <w:lvlText w:val="（%1）"/>
      <w:lvlJc w:val="left"/>
      <w:rPr>
        <w:rFonts w:hint="eastAsia"/>
      </w:rPr>
    </w:lvl>
  </w:abstractNum>
  <w:abstractNum w:abstractNumId="6">
    <w:nsid w:val="53C532CA"/>
    <w:multiLevelType w:val="singleLevel"/>
    <w:tmpl w:val="53C532CA"/>
    <w:lvl w:ilvl="0" w:tentative="0">
      <w:start w:val="2"/>
      <w:numFmt w:val="chineseCounting"/>
      <w:suff w:val="nothing"/>
      <w:lvlText w:val="（%1）"/>
      <w:lvlJc w:val="left"/>
      <w:pPr>
        <w:ind w:left="3"/>
      </w:pPr>
      <w:rPr>
        <w:rFonts w:hint="eastAsia"/>
      </w:rPr>
    </w:lvl>
  </w:abstractNum>
  <w:abstractNum w:abstractNumId="7">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1"/>
  </w:num>
  <w:num w:numId="3">
    <w:abstractNumId w:val="5"/>
  </w:num>
  <w:num w:numId="4">
    <w:abstractNumId w:val="3"/>
  </w:num>
  <w:num w:numId="5">
    <w:abstractNumId w:val="7"/>
  </w:num>
  <w:num w:numId="6">
    <w:abstractNumId w:val="6"/>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zYTUzZWU5NjcwMTQwY2YwMDczOTAyZDAxNWRiMzEifQ=="/>
  </w:docVars>
  <w:rsids>
    <w:rsidRoot w:val="FF6C4049"/>
    <w:rsid w:val="006F7242"/>
    <w:rsid w:val="007B168A"/>
    <w:rsid w:val="008B2CFE"/>
    <w:rsid w:val="00F26FF6"/>
    <w:rsid w:val="04833EE3"/>
    <w:rsid w:val="048C0C43"/>
    <w:rsid w:val="07397B77"/>
    <w:rsid w:val="0CF06BCC"/>
    <w:rsid w:val="11185AC7"/>
    <w:rsid w:val="12557034"/>
    <w:rsid w:val="13471461"/>
    <w:rsid w:val="13B90F01"/>
    <w:rsid w:val="13F0493A"/>
    <w:rsid w:val="15076509"/>
    <w:rsid w:val="173C454B"/>
    <w:rsid w:val="181066D2"/>
    <w:rsid w:val="183823A6"/>
    <w:rsid w:val="1A6D2419"/>
    <w:rsid w:val="1B145EA6"/>
    <w:rsid w:val="1C671E73"/>
    <w:rsid w:val="1D466CB6"/>
    <w:rsid w:val="1D867AA9"/>
    <w:rsid w:val="1E031321"/>
    <w:rsid w:val="1E65182C"/>
    <w:rsid w:val="1E702A00"/>
    <w:rsid w:val="1F475FCF"/>
    <w:rsid w:val="22844E44"/>
    <w:rsid w:val="274F0D9D"/>
    <w:rsid w:val="2D814EDC"/>
    <w:rsid w:val="326802B9"/>
    <w:rsid w:val="38AE4447"/>
    <w:rsid w:val="38CA40DD"/>
    <w:rsid w:val="395F2B56"/>
    <w:rsid w:val="3BECE841"/>
    <w:rsid w:val="3CD27F5E"/>
    <w:rsid w:val="3DE77067"/>
    <w:rsid w:val="3FF7797D"/>
    <w:rsid w:val="44123E6F"/>
    <w:rsid w:val="447B120C"/>
    <w:rsid w:val="467D2387"/>
    <w:rsid w:val="4A185268"/>
    <w:rsid w:val="4A4276D3"/>
    <w:rsid w:val="4F2E04FF"/>
    <w:rsid w:val="4F662F21"/>
    <w:rsid w:val="507C7959"/>
    <w:rsid w:val="54C7116A"/>
    <w:rsid w:val="58490059"/>
    <w:rsid w:val="592128E1"/>
    <w:rsid w:val="5BFF6039"/>
    <w:rsid w:val="5CEC7901"/>
    <w:rsid w:val="5D435C2E"/>
    <w:rsid w:val="5D76A616"/>
    <w:rsid w:val="5D7F20B9"/>
    <w:rsid w:val="5D9460E9"/>
    <w:rsid w:val="5DAC7D0E"/>
    <w:rsid w:val="5F98B5AF"/>
    <w:rsid w:val="5FFE8511"/>
    <w:rsid w:val="5FFEACE2"/>
    <w:rsid w:val="643EE26D"/>
    <w:rsid w:val="651B5F9F"/>
    <w:rsid w:val="664E156C"/>
    <w:rsid w:val="6CC4425E"/>
    <w:rsid w:val="6F5C41AC"/>
    <w:rsid w:val="6FAF6C78"/>
    <w:rsid w:val="72257E5F"/>
    <w:rsid w:val="7317C656"/>
    <w:rsid w:val="734ED73F"/>
    <w:rsid w:val="750F5106"/>
    <w:rsid w:val="772B5869"/>
    <w:rsid w:val="77FD8BE9"/>
    <w:rsid w:val="78AF2D06"/>
    <w:rsid w:val="79A9BD3F"/>
    <w:rsid w:val="79DB2FA8"/>
    <w:rsid w:val="7BFFFDD0"/>
    <w:rsid w:val="7C336E5F"/>
    <w:rsid w:val="7D7A5F86"/>
    <w:rsid w:val="7E1F0FEF"/>
    <w:rsid w:val="7ECF4235"/>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5">
    <w:name w:val="annotation text"/>
    <w:basedOn w:val="1"/>
    <w:link w:val="23"/>
    <w:qFormat/>
    <w:uiPriority w:val="0"/>
    <w:pPr>
      <w:jc w:val="left"/>
    </w:pPr>
  </w:style>
  <w:style w:type="paragraph" w:styleId="6">
    <w:name w:val="Body Text Indent"/>
    <w:basedOn w:val="1"/>
    <w:qFormat/>
    <w:uiPriority w:val="0"/>
    <w:pPr>
      <w:spacing w:after="120"/>
      <w:ind w:left="420" w:leftChars="200"/>
    </w:pPr>
    <w:rPr>
      <w:rFonts w:ascii="Calibri" w:hAnsi="Calibri"/>
    </w:rPr>
  </w:style>
  <w:style w:type="paragraph" w:styleId="7">
    <w:name w:val="Balloon Text"/>
    <w:basedOn w:val="1"/>
    <w:link w:val="21"/>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0">
    <w:name w:val="Subtitle"/>
    <w:basedOn w:val="1"/>
    <w:next w:val="1"/>
    <w:qFormat/>
    <w:uiPriority w:val="11"/>
    <w:pPr>
      <w:spacing w:before="240" w:after="60" w:line="312" w:lineRule="auto"/>
      <w:jc w:val="center"/>
      <w:outlineLvl w:val="1"/>
    </w:pPr>
    <w:rPr>
      <w:b/>
      <w:bCs/>
      <w:kern w:val="28"/>
      <w:sz w:val="32"/>
      <w:szCs w:val="32"/>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annotation subject"/>
    <w:basedOn w:val="5"/>
    <w:next w:val="5"/>
    <w:link w:val="24"/>
    <w:qFormat/>
    <w:uiPriority w:val="0"/>
    <w:rPr>
      <w:b/>
      <w:bCs/>
    </w:rPr>
  </w:style>
  <w:style w:type="paragraph" w:styleId="13">
    <w:name w:val="Body Text First Indent"/>
    <w:basedOn w:val="2"/>
    <w:qFormat/>
    <w:uiPriority w:val="0"/>
    <w:pPr>
      <w:spacing w:after="0"/>
      <w:ind w:firstLine="200" w:firstLineChars="200"/>
    </w:pPr>
  </w:style>
  <w:style w:type="paragraph" w:styleId="14">
    <w:name w:val="Body Text First Indent 2"/>
    <w:basedOn w:val="6"/>
    <w:qFormat/>
    <w:uiPriority w:val="0"/>
    <w:pPr>
      <w:ind w:firstLine="420" w:firstLineChars="200"/>
    </w:pPr>
  </w:style>
  <w:style w:type="character" w:styleId="17">
    <w:name w:val="Strong"/>
    <w:basedOn w:val="16"/>
    <w:qFormat/>
    <w:uiPriority w:val="0"/>
    <w:rPr>
      <w:b/>
      <w:bCs/>
    </w:rPr>
  </w:style>
  <w:style w:type="character" w:styleId="18">
    <w:name w:val="annotation reference"/>
    <w:basedOn w:val="16"/>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6"/>
    <w:link w:val="7"/>
    <w:qFormat/>
    <w:uiPriority w:val="0"/>
    <w:rPr>
      <w:rFonts w:ascii="Times New Roman" w:hAnsi="Times New Roman" w:eastAsia="宋体" w:cs="Times New Roman"/>
      <w:kern w:val="2"/>
      <w:sz w:val="18"/>
      <w:szCs w:val="18"/>
    </w:rPr>
  </w:style>
  <w:style w:type="character" w:customStyle="1" w:styleId="22">
    <w:name w:val="页眉 字符"/>
    <w:basedOn w:val="16"/>
    <w:link w:val="9"/>
    <w:qFormat/>
    <w:uiPriority w:val="0"/>
    <w:rPr>
      <w:rFonts w:ascii="Times New Roman" w:hAnsi="Times New Roman" w:eastAsia="宋体" w:cs="Times New Roman"/>
      <w:kern w:val="2"/>
      <w:sz w:val="18"/>
      <w:szCs w:val="18"/>
    </w:rPr>
  </w:style>
  <w:style w:type="character" w:customStyle="1" w:styleId="23">
    <w:name w:val="批注文字 字符"/>
    <w:basedOn w:val="16"/>
    <w:link w:val="5"/>
    <w:qFormat/>
    <w:uiPriority w:val="0"/>
    <w:rPr>
      <w:rFonts w:ascii="Times New Roman" w:hAnsi="Times New Roman" w:eastAsia="宋体" w:cs="Times New Roman"/>
      <w:kern w:val="2"/>
      <w:sz w:val="21"/>
      <w:szCs w:val="24"/>
    </w:rPr>
  </w:style>
  <w:style w:type="character" w:customStyle="1" w:styleId="24">
    <w:name w:val="批注主题 字符"/>
    <w:basedOn w:val="23"/>
    <w:link w:val="12"/>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8808</Words>
  <Characters>9101</Characters>
  <Lines>58</Lines>
  <Paragraphs>16</Paragraphs>
  <TotalTime>0</TotalTime>
  <ScaleCrop>false</ScaleCrop>
  <LinksUpToDate>false</LinksUpToDate>
  <CharactersWithSpaces>9117</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2024-09-25T03:37:59Z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6379F9D4F9904F19A29E9C82C48AFD6F_13</vt:lpwstr>
  </property>
</Properties>
</file>