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pStyle w:val="3"/>
        <w:bidi w:val="0"/>
        <w:ind w:firstLine="442" w:firstLineChars="100"/>
        <w:rPr>
          <w:rFonts w:hint="default" w:ascii="Times New Roman" w:hAnsi="Times New Roman" w:eastAsia="华文中宋" w:cs="Times New Roman"/>
          <w:b/>
          <w:kern w:val="0"/>
          <w:sz w:val="52"/>
          <w:szCs w:val="52"/>
        </w:rPr>
      </w:pPr>
      <w:r>
        <w:rPr>
          <w:rFonts w:hint="eastAsia"/>
        </w:rPr>
        <w:t>教育教学设备购置</w:t>
      </w:r>
      <w:r>
        <w:rPr>
          <w:rFonts w:hint="eastAsia"/>
          <w:lang w:val="en-US" w:eastAsia="zh-CN"/>
        </w:rPr>
        <w:t>项目支出绩效</w:t>
      </w:r>
      <w:r>
        <w:rPr>
          <w:rFonts w:hint="default"/>
        </w:rPr>
        <w:t>评价报告</w:t>
      </w: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w:t>
      </w:r>
      <w:r>
        <w:rPr>
          <w:rFonts w:hint="eastAsia"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年</w:t>
      </w:r>
      <w:bookmarkStart w:id="5" w:name="_GoBack"/>
      <w:bookmarkEnd w:id="5"/>
      <w:r>
        <w:rPr>
          <w:rFonts w:hint="default" w:ascii="Times New Roman" w:hAnsi="Times New Roman" w:eastAsia="仿宋_GB2312" w:cs="Times New Roman"/>
          <w:kern w:val="0"/>
          <w:sz w:val="36"/>
          <w:szCs w:val="36"/>
        </w:rPr>
        <w:t>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pStyle w:val="11"/>
        <w:rPr>
          <w:rFonts w:hint="default" w:ascii="Times New Roman" w:hAnsi="Times New Roman" w:cs="Times New Roman"/>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w:t>
      </w:r>
      <w:r>
        <w:rPr>
          <w:rFonts w:hint="eastAsia" w:ascii="Times New Roman" w:hAnsi="Times New Roman" w:eastAsia="仿宋_GB2312" w:cs="Times New Roman"/>
          <w:kern w:val="0"/>
          <w:sz w:val="36"/>
          <w:szCs w:val="36"/>
        </w:rPr>
        <w:t>教育教学设备购置</w:t>
      </w:r>
    </w:p>
    <w:p>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val="en-US" w:eastAsia="zh-CN"/>
        </w:rPr>
        <w:t>哈密市第二中学</w:t>
      </w:r>
    </w:p>
    <w:p>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w:t>
      </w:r>
      <w:r>
        <w:rPr>
          <w:rFonts w:hint="eastAsia" w:eastAsia="仿宋_GB2312" w:cs="Times New Roman"/>
          <w:kern w:val="0"/>
          <w:sz w:val="36"/>
          <w:szCs w:val="36"/>
          <w:lang w:val="en-US" w:eastAsia="zh-CN"/>
        </w:rPr>
        <w:t>哈密市第二中学</w:t>
      </w:r>
    </w:p>
    <w:p>
      <w:pPr>
        <w:spacing w:line="700" w:lineRule="exact"/>
        <w:ind w:firstLine="1440" w:firstLineChars="400"/>
        <w:jc w:val="left"/>
        <w:rPr>
          <w:rFonts w:hint="eastAsia"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val="en-US" w:eastAsia="zh-CN"/>
        </w:rPr>
        <w:t>邢燕子</w:t>
      </w:r>
    </w:p>
    <w:p>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16</w:t>
      </w:r>
      <w:r>
        <w:rPr>
          <w:rFonts w:hint="default" w:ascii="Times New Roman" w:hAnsi="Times New Roman" w:eastAsia="仿宋_GB2312" w:cs="Times New Roman"/>
          <w:kern w:val="0"/>
          <w:sz w:val="36"/>
          <w:szCs w:val="36"/>
        </w:rPr>
        <w:t>日</w:t>
      </w:r>
    </w:p>
    <w:p>
      <w:pPr>
        <w:spacing w:line="540" w:lineRule="exact"/>
        <w:jc w:val="center"/>
        <w:rPr>
          <w:rFonts w:hint="default" w:ascii="Times New Roman" w:hAnsi="Times New Roman" w:eastAsia="仿宋_GB2312" w:cs="Times New Roman"/>
          <w:kern w:val="0"/>
          <w:sz w:val="30"/>
          <w:szCs w:val="30"/>
        </w:rPr>
      </w:pPr>
    </w:p>
    <w:p>
      <w:pPr>
        <w:spacing w:line="560" w:lineRule="exact"/>
        <w:rPr>
          <w:rFonts w:hint="default" w:ascii="Times New Roman" w:hAnsi="Times New Roman" w:eastAsia="黑体" w:cs="Times New Roman"/>
          <w:bCs/>
          <w:sz w:val="32"/>
          <w:szCs w:val="32"/>
        </w:rPr>
        <w:sectPr>
          <w:footerReference r:id="rId3" w:type="default"/>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方正楷体_GB2312" w:hAnsi="方正楷体_GB2312" w:eastAsia="方正楷体_GB2312" w:cs="方正楷体_GB2312"/>
          <w:b/>
          <w:bCs/>
          <w:sz w:val="32"/>
          <w:szCs w:val="32"/>
        </w:rPr>
      </w:pPr>
      <w:r>
        <w:rPr>
          <w:rFonts w:hint="default" w:ascii="方正楷体_GB2312" w:hAnsi="方正楷体_GB2312" w:eastAsia="方正楷体_GB2312" w:cs="方正楷体_GB2312"/>
          <w:b/>
          <w:bCs/>
          <w:sz w:val="32"/>
          <w:szCs w:val="32"/>
        </w:rPr>
        <w:t>（一）项目概况</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pStyle w:val="11"/>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rPr>
      </w:pPr>
      <w:r>
        <w:rPr>
          <w:rFonts w:hint="eastAsia" w:ascii="仿宋_GB2312" w:hAnsi="仿宋_GB2312" w:eastAsia="仿宋_GB2312" w:cs="仿宋_GB2312"/>
          <w:b w:val="0"/>
          <w:bCs w:val="0"/>
        </w:rPr>
        <w:t>本项目意在购置更多的教育设备，提高教学质量，为学生</w:t>
      </w:r>
      <w:r>
        <w:rPr>
          <w:rFonts w:hint="eastAsia" w:ascii="仿宋_GB2312" w:hAnsi="仿宋_GB2312" w:eastAsia="仿宋_GB2312" w:cs="仿宋_GB2312"/>
          <w:b w:val="0"/>
          <w:bCs w:val="0"/>
          <w:lang w:eastAsia="zh-CN"/>
        </w:rPr>
        <w:t>，</w:t>
      </w:r>
      <w:r>
        <w:rPr>
          <w:rFonts w:hint="eastAsia" w:ascii="仿宋_GB2312" w:hAnsi="仿宋_GB2312" w:eastAsia="仿宋_GB2312" w:cs="仿宋_GB2312"/>
          <w:b w:val="0"/>
          <w:bCs w:val="0"/>
          <w:lang w:val="en-US" w:eastAsia="zh-CN"/>
        </w:rPr>
        <w:t>教师</w:t>
      </w:r>
      <w:r>
        <w:rPr>
          <w:rFonts w:hint="eastAsia" w:ascii="仿宋_GB2312" w:hAnsi="仿宋_GB2312" w:eastAsia="仿宋_GB2312" w:cs="仿宋_GB2312"/>
          <w:b w:val="0"/>
          <w:bCs w:val="0"/>
        </w:rPr>
        <w:t>提供更好的研究条件。该项目将涉及多个</w:t>
      </w:r>
      <w:r>
        <w:rPr>
          <w:rFonts w:hint="eastAsia" w:ascii="仿宋_GB2312" w:hAnsi="仿宋_GB2312" w:eastAsia="仿宋_GB2312" w:cs="仿宋_GB2312"/>
          <w:b w:val="0"/>
          <w:bCs w:val="0"/>
          <w:lang w:val="en-US" w:eastAsia="zh-CN"/>
        </w:rPr>
        <w:t>部门</w:t>
      </w:r>
      <w:r>
        <w:rPr>
          <w:rFonts w:hint="eastAsia" w:ascii="仿宋_GB2312" w:hAnsi="仿宋_GB2312" w:eastAsia="仿宋_GB2312" w:cs="仿宋_GB2312"/>
          <w:b w:val="0"/>
          <w:bCs w:val="0"/>
        </w:rPr>
        <w:t>，将会受到广泛关注。改善办学条件设备购置项目的目的是为了提高教育教学质量，满足</w:t>
      </w:r>
      <w:r>
        <w:rPr>
          <w:rFonts w:hint="eastAsia" w:ascii="仿宋_GB2312" w:hAnsi="仿宋_GB2312" w:eastAsia="仿宋_GB2312" w:cs="仿宋_GB2312"/>
          <w:b w:val="0"/>
          <w:bCs w:val="0"/>
          <w:lang w:val="en-US" w:eastAsia="zh-CN"/>
        </w:rPr>
        <w:t>教育教学的</w:t>
      </w:r>
      <w:r>
        <w:rPr>
          <w:rFonts w:hint="eastAsia" w:ascii="仿宋_GB2312" w:hAnsi="仿宋_GB2312" w:eastAsia="仿宋_GB2312" w:cs="仿宋_GB2312"/>
          <w:b w:val="0"/>
          <w:bCs w:val="0"/>
        </w:rPr>
        <w:t>需求，为学校的发展增添新的动力。</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eastAsia" w:eastAsia="仿宋_GB2312" w:cs="Times New Roman"/>
          <w:b/>
          <w:bCs/>
          <w:sz w:val="32"/>
          <w:szCs w:val="32"/>
          <w:lang w:val="en-US" w:eastAsia="zh-CN"/>
        </w:rPr>
        <w:t>2.</w:t>
      </w:r>
      <w:r>
        <w:rPr>
          <w:rFonts w:hint="default" w:ascii="Times New Roman" w:hAnsi="Times New Roman" w:eastAsia="仿宋_GB2312" w:cs="Times New Roman"/>
          <w:b/>
          <w:bCs/>
          <w:sz w:val="32"/>
          <w:szCs w:val="32"/>
        </w:rPr>
        <w:t>项目主要内容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color w:val="auto"/>
          <w:sz w:val="32"/>
          <w:szCs w:val="32"/>
          <w:lang w:val="en-US" w:eastAsia="zh-CN"/>
        </w:rPr>
      </w:pPr>
      <w:r>
        <w:rPr>
          <w:rFonts w:hint="eastAsia" w:eastAsia="仿宋_GB2312" w:cs="Times New Roman"/>
          <w:b w:val="0"/>
          <w:bCs w:val="0"/>
          <w:color w:val="auto"/>
          <w:sz w:val="32"/>
          <w:szCs w:val="32"/>
          <w:lang w:val="en-US" w:eastAsia="zh-CN"/>
        </w:rPr>
        <w:t>项目资金主要用于购置计算机，打印机，学生课桌椅一批，满足教育教学的需要，更好地为教育教学服务。</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color w:val="auto"/>
        </w:rPr>
      </w:pPr>
      <w:r>
        <w:rPr>
          <w:rFonts w:hint="eastAsia" w:ascii="仿宋_GB2312" w:hAnsi="仿宋_GB2312" w:eastAsia="仿宋_GB2312" w:cs="仿宋_GB2312"/>
          <w:b/>
          <w:bCs/>
          <w:color w:val="auto"/>
          <w:sz w:val="32"/>
          <w:szCs w:val="32"/>
        </w:rPr>
        <w:t>3</w:t>
      </w:r>
      <w:r>
        <w:rPr>
          <w:rFonts w:hint="eastAsia" w:ascii="仿宋_GB2312" w:hAnsi="仿宋_GB2312" w:eastAsia="仿宋_GB2312" w:cs="仿宋_GB2312"/>
          <w:b/>
          <w:bCs/>
          <w:color w:val="auto"/>
          <w:sz w:val="32"/>
          <w:szCs w:val="32"/>
          <w:lang w:val="en-US" w:eastAsia="zh-CN"/>
        </w:rPr>
        <w:t>.</w:t>
      </w:r>
      <w:r>
        <w:rPr>
          <w:rFonts w:hint="eastAsia" w:ascii="仿宋_GB2312" w:hAnsi="仿宋_GB2312" w:eastAsia="仿宋_GB2312" w:cs="仿宋_GB2312"/>
          <w:b/>
          <w:bCs/>
          <w:color w:val="auto"/>
          <w:sz w:val="32"/>
          <w:szCs w:val="32"/>
        </w:rPr>
        <w:t>资金投入和使用情况</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eastAsia="仿宋_GB2312" w:cs="Times New Roman"/>
          <w:b/>
          <w:bCs/>
          <w:color w:val="auto"/>
          <w:sz w:val="32"/>
          <w:szCs w:val="32"/>
          <w:lang w:val="en-US" w:eastAsia="zh-CN"/>
        </w:rPr>
      </w:pPr>
      <w:r>
        <w:rPr>
          <w:rFonts w:hint="eastAsia" w:eastAsia="仿宋_GB2312" w:cs="Times New Roman"/>
          <w:b/>
          <w:bCs/>
          <w:color w:val="auto"/>
          <w:sz w:val="32"/>
          <w:szCs w:val="32"/>
          <w:lang w:val="en-US" w:eastAsia="zh-CN"/>
        </w:rPr>
        <w:t>（1）资金投入情况</w:t>
      </w:r>
    </w:p>
    <w:p>
      <w:pPr>
        <w:pStyle w:val="11"/>
        <w:jc w:val="left"/>
        <w:rPr>
          <w:rFonts w:hint="default" w:ascii="仿宋_GB2312" w:hAnsi="仿宋_GB2312" w:eastAsia="仿宋_GB2312" w:cs="仿宋_GB2312"/>
          <w:b w:val="0"/>
          <w:bCs w:val="0"/>
          <w:lang w:val="en-US" w:eastAsia="zh-CN"/>
        </w:rPr>
      </w:pPr>
      <w:r>
        <w:rPr>
          <w:rFonts w:hint="eastAsia" w:ascii="仿宋_GB2312" w:hAnsi="仿宋_GB2312" w:eastAsia="仿宋_GB2312" w:cs="仿宋_GB2312"/>
          <w:b w:val="0"/>
          <w:bCs w:val="0"/>
          <w:color w:val="auto"/>
          <w:lang w:val="en-US" w:eastAsia="zh-CN"/>
        </w:rPr>
        <w:t xml:space="preserve">    教育教学设备购置项目2023年总预算资金60.00万元，项目资金为60.00万元哈密市本级财</w:t>
      </w:r>
      <w:r>
        <w:rPr>
          <w:rFonts w:hint="eastAsia" w:ascii="仿宋_GB2312" w:hAnsi="仿宋_GB2312" w:eastAsia="仿宋_GB2312" w:cs="仿宋_GB2312"/>
          <w:b w:val="0"/>
          <w:bCs w:val="0"/>
          <w:lang w:val="en-US" w:eastAsia="zh-CN"/>
        </w:rPr>
        <w:t>政资金，项目资金到位数60.00万元，资金到位率100%。</w:t>
      </w:r>
    </w:p>
    <w:p>
      <w:pPr>
        <w:pStyle w:val="11"/>
        <w:numPr>
          <w:ilvl w:val="0"/>
          <w:numId w:val="1"/>
        </w:numPr>
        <w:ind w:left="642" w:leftChars="0" w:firstLine="0" w:firstLineChars="0"/>
        <w:jc w:val="left"/>
        <w:rPr>
          <w:rFonts w:hint="eastAsia" w:eastAsia="仿宋_GB2312" w:cs="Times New Roman"/>
          <w:b/>
          <w:bCs/>
          <w:sz w:val="32"/>
          <w:szCs w:val="32"/>
          <w:lang w:val="en-US" w:eastAsia="zh-CN"/>
        </w:rPr>
      </w:pPr>
      <w:r>
        <w:rPr>
          <w:rFonts w:hint="eastAsia" w:eastAsia="仿宋_GB2312" w:cs="Times New Roman"/>
          <w:b/>
          <w:bCs/>
          <w:sz w:val="32"/>
          <w:szCs w:val="32"/>
          <w:lang w:val="en-US" w:eastAsia="zh-CN"/>
        </w:rPr>
        <w:t>资金使用情况</w:t>
      </w:r>
    </w:p>
    <w:p>
      <w:pPr>
        <w:numPr>
          <w:ilvl w:val="0"/>
          <w:numId w:val="0"/>
        </w:num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教育教学设备购置项目年初预算数60.00万元，全年预算数为60.00万元，截至2023年12月31日全年执行数60.00万元，预算执行率为10%，项目资金主要用于支付采购计算机，打印机及复印件设备数量38台，采购学生课桌椅数量648套。</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实施情况</w:t>
      </w:r>
    </w:p>
    <w:p>
      <w:pPr>
        <w:pStyle w:val="2"/>
        <w:numPr>
          <w:ilvl w:val="0"/>
          <w:numId w:val="0"/>
        </w:numPr>
        <w:ind w:firstLine="640" w:firstLineChars="200"/>
        <w:rPr>
          <w:rFonts w:hint="default" w:ascii="仿宋_GB2312" w:hAnsi="仿宋_GB2312" w:eastAsia="仿宋_GB2312" w:cs="仿宋_GB2312"/>
          <w:b w:val="0"/>
          <w:bCs w:val="0"/>
          <w:kern w:val="2"/>
          <w:sz w:val="32"/>
          <w:szCs w:val="32"/>
          <w:lang w:val="en-US" w:eastAsia="zh-CN" w:bidi="ar-SA"/>
        </w:rPr>
      </w:pPr>
      <w:r>
        <w:rPr>
          <w:rFonts w:hint="default" w:ascii="仿宋_GB2312" w:hAnsi="仿宋_GB2312" w:eastAsia="仿宋_GB2312" w:cs="仿宋_GB2312"/>
          <w:b w:val="0"/>
          <w:bCs w:val="0"/>
          <w:kern w:val="2"/>
          <w:sz w:val="32"/>
          <w:szCs w:val="32"/>
          <w:lang w:val="en-US" w:eastAsia="zh-CN" w:bidi="ar-SA"/>
        </w:rPr>
        <w:t>教育教学设备购置，预算资金60</w:t>
      </w:r>
      <w:r>
        <w:rPr>
          <w:rFonts w:hint="eastAsia" w:ascii="仿宋_GB2312" w:hAnsi="仿宋_GB2312" w:eastAsia="仿宋_GB2312" w:cs="仿宋_GB2312"/>
          <w:b w:val="0"/>
          <w:bCs w:val="0"/>
          <w:kern w:val="2"/>
          <w:sz w:val="32"/>
          <w:szCs w:val="32"/>
          <w:lang w:val="en-US" w:eastAsia="zh-CN" w:bidi="ar-SA"/>
        </w:rPr>
        <w:t>.00</w:t>
      </w:r>
      <w:r>
        <w:rPr>
          <w:rFonts w:hint="default" w:ascii="仿宋_GB2312" w:hAnsi="仿宋_GB2312" w:eastAsia="仿宋_GB2312" w:cs="仿宋_GB2312"/>
          <w:b w:val="0"/>
          <w:bCs w:val="0"/>
          <w:kern w:val="2"/>
          <w:sz w:val="32"/>
          <w:szCs w:val="32"/>
          <w:lang w:val="en-US" w:eastAsia="zh-CN" w:bidi="ar-SA"/>
        </w:rPr>
        <w:t>万元，按计划完成采购计算机，打印机及复印件设备38台，采购学生课桌椅648套，该项目的实施有效保障学校正常运转，提升学校办学条件。</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（二）项目绩效目标</w:t>
      </w:r>
    </w:p>
    <w:p>
      <w:pPr>
        <w:pStyle w:val="11"/>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1.总体目标</w:t>
      </w:r>
    </w:p>
    <w:p>
      <w:pPr>
        <w:ind w:firstLine="960" w:firstLineChars="300"/>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教育教学设备购置，预算资金60.00万元，对项目目标的实现程度、效益情况进行跟踪与监控，发现问题及时采取相应措施，保障绩效目标的如期实现，确保财政资金的最佳使用效率。绩效评价结果将使项目单位加强对资金的管理，确保资金安全，进一步督促项目的实施，使资金尽快发挥最大效益，主要用于购置教育教学设备。</w:t>
      </w:r>
    </w:p>
    <w:p>
      <w:pPr>
        <w:pStyle w:val="11"/>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rPr>
      </w:pPr>
      <w:r>
        <w:rPr>
          <w:rFonts w:hint="eastAsia" w:ascii="仿宋_GB2312" w:hAnsi="仿宋_GB2312" w:eastAsia="仿宋_GB2312" w:cs="仿宋_GB2312"/>
          <w:b w:val="0"/>
          <w:bCs w:val="0"/>
          <w:kern w:val="2"/>
          <w:sz w:val="32"/>
          <w:szCs w:val="32"/>
          <w:lang w:val="en-US" w:eastAsia="zh-CN"/>
        </w:rPr>
        <w:t>2.阶段性目标</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2023年6月采购学生课桌椅648套，购置计算机及打印机38台。</w:t>
      </w:r>
    </w:p>
    <w:p>
      <w:pPr>
        <w:pStyle w:val="2"/>
        <w:rPr>
          <w:rFonts w:hint="default"/>
          <w:lang w:val="en-US" w:eastAsia="zh-CN"/>
        </w:rPr>
      </w:pPr>
      <w:r>
        <w:rPr>
          <w:rFonts w:hint="eastAsia" w:ascii="仿宋_GB2312" w:hAnsi="仿宋_GB2312" w:eastAsia="仿宋_GB2312" w:cs="仿宋_GB2312"/>
          <w:sz w:val="32"/>
          <w:szCs w:val="32"/>
          <w:lang w:val="en-US" w:eastAsia="zh-CN"/>
        </w:rPr>
        <w:t xml:space="preserve">    2023年6月对采购学生课桌椅648套及计算机打印机38套进行验收发放使用。</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绩效评价的目的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项目在实施前向项目负责人提供财政支出绩效方面的资金管理信息，促进项目支出严格按照资金管理规定进行。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（2）项目绩效管</w:t>
      </w:r>
      <w:r>
        <w:rPr>
          <w:rFonts w:hint="eastAsia" w:eastAsia="仿宋_GB2312" w:cs="Times New Roman"/>
          <w:sz w:val="32"/>
          <w:szCs w:val="32"/>
          <w:lang w:eastAsia="zh-CN"/>
        </w:rPr>
        <w:t>理为</w:t>
      </w:r>
      <w:r>
        <w:rPr>
          <w:rFonts w:hint="default" w:ascii="Times New Roman" w:hAnsi="Times New Roman" w:eastAsia="仿宋_GB2312" w:cs="Times New Roman"/>
          <w:sz w:val="32"/>
          <w:szCs w:val="32"/>
        </w:rPr>
        <w:t>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绩效评价的对象</w:t>
      </w:r>
    </w:p>
    <w:p>
      <w:pPr>
        <w:pStyle w:val="2"/>
        <w:numPr>
          <w:ilvl w:val="0"/>
          <w:numId w:val="0"/>
        </w:numPr>
        <w:ind w:firstLine="640" w:firstLineChars="200"/>
        <w:rPr>
          <w:rFonts w:hint="default" w:ascii="Times New Roman" w:hAnsi="Times New Roman" w:eastAsia="仿宋_GB2312" w:cs="Times New Roman"/>
          <w:sz w:val="32"/>
          <w:szCs w:val="32"/>
        </w:rPr>
      </w:pPr>
      <w:r>
        <w:rPr>
          <w:rFonts w:hint="eastAsia" w:eastAsia="仿宋_GB2312" w:cs="Times New Roman"/>
          <w:kern w:val="0"/>
          <w:sz w:val="32"/>
          <w:szCs w:val="32"/>
          <w:lang w:val="en-US" w:eastAsia="zh-CN" w:bidi="ar-SA"/>
        </w:rPr>
        <w:t>教育教学设备购置</w:t>
      </w:r>
      <w:r>
        <w:rPr>
          <w:rFonts w:hint="default" w:ascii="Times New Roman" w:hAnsi="Times New Roman" w:eastAsia="仿宋_GB2312" w:cs="Times New Roman"/>
          <w:kern w:val="0"/>
          <w:sz w:val="32"/>
          <w:szCs w:val="32"/>
          <w:lang w:val="en-US" w:eastAsia="zh-CN" w:bidi="ar-SA"/>
        </w:rPr>
        <w:t>项目所包含</w:t>
      </w:r>
      <w:r>
        <w:rPr>
          <w:rFonts w:hint="default" w:ascii="Times New Roman" w:hAnsi="Times New Roman" w:eastAsia="仿宋_GB2312" w:cs="Times New Roman"/>
          <w:sz w:val="32"/>
          <w:szCs w:val="32"/>
        </w:rPr>
        <w:t>的全部项目内容。</w:t>
      </w:r>
      <w:r>
        <w:rPr>
          <w:rFonts w:hint="eastAsia" w:ascii="Times New Roman" w:hAnsi="Times New Roman" w:eastAsia="仿宋_GB2312" w:cstheme="minorBidi"/>
          <w:bCs/>
          <w:color w:val="auto"/>
          <w:kern w:val="2"/>
          <w:sz w:val="32"/>
          <w:szCs w:val="32"/>
          <w:lang w:val="en-US" w:eastAsia="zh-CN" w:bidi="ar-SA"/>
        </w:rPr>
        <w:t>对项目决策、项目过程、项目产出情况、项目效益情况等方面进行评价，包括项目立项、绩效目标、资金投入、资金管理、产出数量、产出质量、产出效率、产出成本、社会效益、群众满意度等。通过评价，客观反映出</w:t>
      </w:r>
      <w:r>
        <w:rPr>
          <w:rFonts w:hint="eastAsia" w:eastAsia="仿宋_GB2312" w:cstheme="minorBidi"/>
          <w:bCs/>
          <w:color w:val="auto"/>
          <w:kern w:val="2"/>
          <w:sz w:val="32"/>
          <w:szCs w:val="32"/>
          <w:lang w:val="en-US" w:eastAsia="zh-CN" w:bidi="ar-SA"/>
        </w:rPr>
        <w:t>该</w:t>
      </w:r>
      <w:r>
        <w:rPr>
          <w:rFonts w:hint="eastAsia" w:ascii="Times New Roman" w:hAnsi="Times New Roman" w:eastAsia="仿宋_GB2312" w:cstheme="minorBidi"/>
          <w:bCs/>
          <w:color w:val="auto"/>
          <w:kern w:val="2"/>
          <w:sz w:val="32"/>
          <w:szCs w:val="32"/>
          <w:lang w:val="en-US" w:eastAsia="zh-CN" w:bidi="ar-SA"/>
        </w:rPr>
        <w:t>项目实施情况，以及该项目实施以来所产生的社会效益、经济效益、生态效益、可持续影响效益。</w:t>
      </w:r>
    </w:p>
    <w:p>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绩效评价的范围</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w:t>
      </w:r>
      <w:r>
        <w:rPr>
          <w:rFonts w:hint="eastAsia" w:eastAsia="仿宋_GB2312" w:cs="Times New Roman"/>
          <w:sz w:val="32"/>
          <w:szCs w:val="32"/>
          <w:lang w:val="en-US" w:eastAsia="zh-CN"/>
        </w:rPr>
        <w:t>教育教学设备购置</w:t>
      </w:r>
      <w:r>
        <w:rPr>
          <w:rFonts w:hint="default" w:ascii="Times New Roman" w:hAnsi="Times New Roman" w:eastAsia="仿宋_GB2312" w:cs="Times New Roman"/>
          <w:sz w:val="32"/>
          <w:szCs w:val="32"/>
          <w:highlight w:val="none"/>
        </w:rPr>
        <w:t>项目进行评</w:t>
      </w:r>
      <w:r>
        <w:rPr>
          <w:rFonts w:hint="default" w:ascii="Times New Roman" w:hAnsi="Times New Roman" w:eastAsia="仿宋_GB2312" w:cs="Times New Roman"/>
          <w:sz w:val="32"/>
          <w:szCs w:val="32"/>
        </w:rPr>
        <w:t>价，评价核心为专项资金的支出完成情况和效果。</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绩效评价原则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（1）科学公正。绩效评价应当运用科学合理的方法，按照规范的程序，对项目绩效进行客观、公正</w:t>
      </w:r>
      <w:r>
        <w:rPr>
          <w:rFonts w:hint="eastAsia" w:eastAsia="仿宋_GB2312" w:cs="Times New Roman"/>
          <w:sz w:val="32"/>
          <w:szCs w:val="32"/>
          <w:lang w:eastAsia="zh-CN"/>
        </w:rPr>
        <w:t>地</w:t>
      </w:r>
      <w:r>
        <w:rPr>
          <w:rFonts w:hint="default" w:ascii="Times New Roman" w:hAnsi="Times New Roman" w:eastAsia="仿宋_GB2312" w:cs="Times New Roman"/>
          <w:sz w:val="32"/>
          <w:szCs w:val="32"/>
        </w:rPr>
        <w:t>反映。</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（2）统筹兼顾。单位自评、部门评价和财政评价应职责明确，各有侧重，相互衔接。单位自评应由项目单位自主实施，即“谁支出、谁自评”。部门评价和财政评价应在单位自评的基础上开展。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（3）激励约束。绩效评价结果应与预算安排、政策调整、改进管理实质性挂钩，体现奖优罚劣和激励相容导向，有效要安排、低效要压减、无效要问责。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（4）公开透明。绩效评价结果应依法依规公开，并自觉接受社会监督。</w:t>
      </w:r>
    </w:p>
    <w:p>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评价指标体系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确定各个指标相对于项目总体绩效的权重分值。在绩效评价指标体系中，项目决策权重为20分，项目过程权重为20分，项目产出权重为</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rPr>
        <w:t>0分，</w:t>
      </w:r>
      <w:r>
        <w:rPr>
          <w:rFonts w:hint="eastAsia" w:eastAsia="仿宋_GB2312" w:cs="Times New Roman"/>
          <w:sz w:val="32"/>
          <w:szCs w:val="32"/>
          <w:lang w:eastAsia="zh-CN"/>
        </w:rPr>
        <w:t>项目成本权重为</w:t>
      </w:r>
      <w:r>
        <w:rPr>
          <w:rFonts w:hint="eastAsia" w:eastAsia="仿宋_GB2312" w:cs="Times New Roman"/>
          <w:sz w:val="32"/>
          <w:szCs w:val="32"/>
          <w:lang w:val="en-US" w:eastAsia="zh-CN"/>
        </w:rPr>
        <w:t>10分，</w:t>
      </w:r>
      <w:r>
        <w:rPr>
          <w:rFonts w:hint="default" w:ascii="Times New Roman" w:hAnsi="Times New Roman" w:eastAsia="仿宋_GB2312" w:cs="Times New Roman"/>
          <w:sz w:val="32"/>
          <w:szCs w:val="32"/>
        </w:rPr>
        <w:t>项目效益权重为20分。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指标标准值是绩效评价指标的尺度，既要反映同类项目的先进水平，又要符合项目的实际绩效水平。具体采用计划标准等确定此次绩效评价指标标准值。</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100分（含90分）对应的评分结果级别为优，80</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90分（含80分）对应的评分结果级别为良，60</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80分（含60分）对应的评分结果级别为中，60分以下对应的评分结果级别为差。具体评价指标体系详情见附件1</w:t>
      </w:r>
    </w:p>
    <w:p>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绩效评价方法</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  评价核心为资金的支出完成情况和项目的产出效益。</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本次评价指标中，既有定性指标又有定量指标，各类指标因考核内容不同和客观标准不同存在较大差异，因此核定具体指标时采用了不同方法，具体评价方法如下：</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比较法</w:t>
      </w:r>
      <w:r>
        <w:rPr>
          <w:rFonts w:hint="eastAsia" w:eastAsia="仿宋_GB2312" w:cs="Times New Roman"/>
          <w:b/>
          <w:bCs/>
          <w:sz w:val="32"/>
          <w:szCs w:val="32"/>
          <w:lang w:eastAsia="zh-CN"/>
        </w:rPr>
        <w:t>：</w:t>
      </w:r>
      <w:r>
        <w:rPr>
          <w:rFonts w:hint="default" w:ascii="Times New Roman" w:hAnsi="Times New Roman" w:eastAsia="仿宋_GB2312" w:cs="Times New Roman"/>
          <w:sz w:val="32"/>
          <w:szCs w:val="32"/>
        </w:rPr>
        <w:t>通过对绩效目标与实施效果、历史与当期情况，综合分析绩效目标实现程度。对项目最终验收情况与年度绩效目标对比、预算资金执行情况等相关因素进行比较。</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w:t>
      </w:r>
      <w:r>
        <w:rPr>
          <w:rFonts w:hint="eastAsia" w:eastAsia="仿宋_GB2312" w:cs="Times New Roman"/>
          <w:b/>
          <w:bCs/>
          <w:sz w:val="32"/>
          <w:szCs w:val="32"/>
          <w:lang w:val="en-US" w:eastAsia="zh-CN"/>
        </w:rPr>
        <w:t>.</w:t>
      </w:r>
      <w:r>
        <w:rPr>
          <w:rFonts w:hint="default" w:ascii="Times New Roman" w:hAnsi="Times New Roman" w:eastAsia="仿宋_GB2312" w:cs="Times New Roman"/>
          <w:b/>
          <w:bCs/>
          <w:sz w:val="32"/>
          <w:szCs w:val="32"/>
        </w:rPr>
        <w:t>评价标准</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绩效评价标准通常包括计划标准、行业标准、历史标准等，用于对绩效指标完成情况进行比较、分析、评价。本次评价主要采用了计划标准。</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bookmarkStart w:id="0" w:name="_Toc17882"/>
      <w:bookmarkStart w:id="1" w:name="_Toc31464"/>
      <w:r>
        <w:rPr>
          <w:rFonts w:hint="default" w:ascii="Times New Roman" w:hAnsi="Times New Roman" w:eastAsia="仿宋_GB2312" w:cs="Times New Roman"/>
          <w:b/>
          <w:bCs/>
          <w:sz w:val="32"/>
          <w:szCs w:val="32"/>
        </w:rPr>
        <w:t>计划标准：</w:t>
      </w:r>
      <w:r>
        <w:rPr>
          <w:rFonts w:hint="default" w:ascii="Times New Roman" w:hAnsi="Times New Roman" w:eastAsia="仿宋_GB2312" w:cs="Times New Roman"/>
          <w:sz w:val="32"/>
          <w:szCs w:val="32"/>
        </w:rPr>
        <w:t>指以预先制定的目标、计划、预算、定额等作为评价标准。</w:t>
      </w:r>
      <w:bookmarkEnd w:id="0"/>
      <w:bookmarkEnd w:id="1"/>
    </w:p>
    <w:p>
      <w:pPr>
        <w:pStyle w:val="11"/>
        <w:keepNext w:val="0"/>
        <w:keepLines w:val="0"/>
        <w:pageBreakBefore w:val="0"/>
        <w:numPr>
          <w:ilvl w:val="0"/>
          <w:numId w:val="4"/>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eastAsia" w:eastAsia="仿宋_GB2312" w:cs="Times New Roman"/>
          <w:b/>
          <w:bCs/>
          <w:sz w:val="32"/>
          <w:szCs w:val="32"/>
          <w:lang w:val="en-US" w:eastAsia="zh-CN"/>
        </w:rPr>
        <w:t>1.</w:t>
      </w:r>
      <w:r>
        <w:rPr>
          <w:rFonts w:hint="default" w:ascii="Times New Roman" w:hAnsi="Times New Roman" w:eastAsia="仿宋_GB2312" w:cs="Times New Roman"/>
          <w:b/>
          <w:bCs/>
          <w:sz w:val="32"/>
          <w:szCs w:val="32"/>
        </w:rPr>
        <w:t>前期准备。</w:t>
      </w:r>
      <w:r>
        <w:rPr>
          <w:rFonts w:hint="default" w:ascii="Times New Roman" w:hAnsi="Times New Roman" w:eastAsia="仿宋_GB2312" w:cs="Times New Roman"/>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组织实施。</w:t>
      </w:r>
      <w:r>
        <w:rPr>
          <w:rFonts w:hint="default" w:ascii="Times New Roman" w:hAnsi="Times New Roman" w:eastAsia="仿宋_GB2312" w:cs="Times New Roman"/>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分析评价。</w:t>
      </w:r>
      <w:r>
        <w:rPr>
          <w:rFonts w:hint="default" w:ascii="Times New Roman" w:hAnsi="Times New Roman" w:eastAsia="仿宋_GB2312" w:cs="Times New Roman"/>
          <w:sz w:val="32"/>
          <w:szCs w:val="32"/>
        </w:rPr>
        <w:t>根据收集梳理的资料围绕项目立项、资金落实、业务管理、财务管理、项目产出、项目效益等内容，对照已确定的绩效评价指标进行详细全面的分析评价，逐项打分并形成绩效评价最终结果。</w:t>
      </w:r>
    </w:p>
    <w:p>
      <w:pPr>
        <w:keepNext w:val="0"/>
        <w:keepLines w:val="0"/>
        <w:pageBreakBefore w:val="0"/>
        <w:numPr>
          <w:ilvl w:val="0"/>
          <w:numId w:val="5"/>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项目总体组织规范，在项目实施过</w:t>
      </w:r>
      <w:r>
        <w:rPr>
          <w:rFonts w:hint="eastAsia" w:eastAsia="仿宋_GB2312" w:cs="Times New Roman"/>
          <w:b w:val="0"/>
          <w:bCs w:val="0"/>
          <w:kern w:val="28"/>
          <w:sz w:val="32"/>
          <w:szCs w:val="32"/>
          <w:lang w:val="en-US" w:eastAsia="zh-CN" w:bidi="ar-SA"/>
        </w:rPr>
        <w:t>程中</w:t>
      </w:r>
      <w:r>
        <w:rPr>
          <w:rFonts w:hint="default" w:ascii="Times New Roman" w:hAnsi="Times New Roman" w:eastAsia="仿宋_GB2312" w:cs="Times New Roman"/>
          <w:b w:val="0"/>
          <w:bCs w:val="0"/>
          <w:kern w:val="28"/>
          <w:sz w:val="32"/>
          <w:szCs w:val="32"/>
          <w:lang w:val="en-US" w:eastAsia="zh-CN" w:bidi="ar-SA"/>
        </w:rPr>
        <w:t>做到认真履职，监督到位。按照相关制度的要求，项目负责人对项目绩效监控执行情况进行跟踪监督，有效完成了本项目的工作目标，确保资金使用安全和最大效益</w:t>
      </w:r>
      <w:r>
        <w:rPr>
          <w:rFonts w:hint="eastAsia" w:eastAsia="仿宋_GB2312" w:cs="Times New Roman"/>
          <w:b w:val="0"/>
          <w:bCs w:val="0"/>
          <w:kern w:val="28"/>
          <w:sz w:val="32"/>
          <w:szCs w:val="32"/>
          <w:lang w:val="en-US" w:eastAsia="zh-CN" w:bidi="ar-SA"/>
        </w:rPr>
        <w:t>地</w:t>
      </w:r>
      <w:r>
        <w:rPr>
          <w:rFonts w:hint="default" w:ascii="Times New Roman" w:hAnsi="Times New Roman" w:eastAsia="仿宋_GB2312" w:cs="Times New Roman"/>
          <w:b w:val="0"/>
          <w:bCs w:val="0"/>
          <w:kern w:val="28"/>
          <w:sz w:val="32"/>
          <w:szCs w:val="32"/>
          <w:lang w:val="en-US" w:eastAsia="zh-CN" w:bidi="ar-SA"/>
        </w:rPr>
        <w:t>发挥，保障项目如期按要求完成。规范项目档案资料的整理。项目的实施达到预期效果。</w:t>
      </w:r>
    </w:p>
    <w:p>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 xml:space="preserve">总得分为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分，属于“</w:t>
      </w:r>
      <w:r>
        <w:rPr>
          <w:rFonts w:hint="eastAsia" w:ascii="Times New Roman" w:hAnsi="Times New Roman" w:eastAsia="仿宋_GB2312" w:cs="Times New Roman"/>
          <w:b w:val="0"/>
          <w:bCs w:val="0"/>
          <w:highlight w:val="none"/>
          <w:lang w:val="en-US" w:eastAsia="zh-CN"/>
        </w:rPr>
        <w:t>优秀</w:t>
      </w:r>
      <w:r>
        <w:rPr>
          <w:rFonts w:hint="default" w:ascii="Times New Roman" w:hAnsi="Times New Roman" w:eastAsia="仿宋_GB2312" w:cs="Times New Roman"/>
          <w:b w:val="0"/>
          <w:bCs w:val="0"/>
          <w:highlight w:val="none"/>
        </w:rPr>
        <w:t>”。其中，项目决策类指标权重为20分，得分为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w:t>
      </w:r>
      <w:r>
        <w:rPr>
          <w:rFonts w:hint="eastAsia"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val="0"/>
          <w:bCs w:val="0"/>
          <w:highlight w:val="none"/>
        </w:rPr>
        <w:t>0分，得分为</w:t>
      </w:r>
      <w:r>
        <w:rPr>
          <w:rFonts w:hint="eastAsia" w:ascii="Times New Roman" w:hAnsi="Times New Roman" w:eastAsia="仿宋_GB2312" w:cs="Times New Roman"/>
          <w:b w:val="0"/>
          <w:bCs w:val="0"/>
          <w:highlight w:val="none"/>
          <w:lang w:val="en-US" w:eastAsia="zh-CN"/>
        </w:rPr>
        <w:t>30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eastAsia" w:ascii="Times New Roman" w:hAnsi="Times New Roman" w:eastAsia="仿宋_GB2312" w:cs="Times New Roman"/>
          <w:b w:val="0"/>
          <w:bCs w:val="0"/>
          <w:highlight w:val="none"/>
          <w:lang w:eastAsia="zh-CN"/>
        </w:rPr>
        <w:t>项目成本权重为</w:t>
      </w:r>
      <w:r>
        <w:rPr>
          <w:rFonts w:hint="eastAsia" w:ascii="Times New Roman" w:hAnsi="Times New Roman" w:eastAsia="仿宋_GB2312" w:cs="Times New Roman"/>
          <w:b w:val="0"/>
          <w:bCs w:val="0"/>
          <w:highlight w:val="none"/>
          <w:lang w:val="en-US" w:eastAsia="zh-CN"/>
        </w:rPr>
        <w:t>10分，得分为10分，得分率为100%；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1"/>
        <w:keepNext w:val="0"/>
        <w:keepLines w:val="0"/>
        <w:pageBreakBefore w:val="0"/>
        <w:widowControl/>
        <w:kinsoku/>
        <w:wordWrap/>
        <w:overflowPunct/>
        <w:topLinePunct w:val="0"/>
        <w:autoSpaceDE/>
        <w:autoSpaceDN/>
        <w:bidi w:val="0"/>
        <w:adjustRightInd/>
        <w:snapToGrid/>
        <w:spacing w:before="0" w:after="0" w:line="560" w:lineRule="exact"/>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表1综合评分表</w:t>
      </w:r>
    </w:p>
    <w:tbl>
      <w:tblPr>
        <w:tblStyle w:val="15"/>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3</w:t>
            </w:r>
            <w:r>
              <w:rPr>
                <w:rFonts w:hint="default" w:ascii="Times New Roman" w:hAnsi="Times New Roman" w:cs="Times New Roman"/>
                <w:color w:val="000000"/>
                <w:sz w:val="22"/>
                <w:lang w:val="en-US" w:eastAsia="zh-CN"/>
              </w:rPr>
              <w:t>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30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Times New Roman" w:hAnsi="Times New Roman" w:eastAsia="宋体" w:cs="Times New Roman"/>
                <w:color w:val="000000"/>
                <w:sz w:val="22"/>
                <w:lang w:eastAsia="zh-CN"/>
              </w:rPr>
            </w:pPr>
            <w:r>
              <w:rPr>
                <w:rFonts w:hint="eastAsia" w:cs="Times New Roman"/>
                <w:color w:val="000000"/>
                <w:sz w:val="22"/>
                <w:lang w:eastAsia="zh-CN"/>
              </w:rPr>
              <w:t>项目成本</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lang w:val="en-US" w:eastAsia="zh-CN"/>
              </w:rPr>
            </w:pPr>
            <w:r>
              <w:rPr>
                <w:rFonts w:hint="eastAsia" w:cs="Times New Roman"/>
                <w:color w:val="000000"/>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cs="Times New Roman"/>
                <w:color w:val="000000"/>
                <w:sz w:val="22"/>
                <w:lang w:val="en-US" w:eastAsia="zh-CN"/>
              </w:rPr>
            </w:pPr>
            <w:r>
              <w:rPr>
                <w:rFonts w:hint="eastAsia" w:cs="Times New Roman"/>
                <w:color w:val="000000"/>
                <w:sz w:val="22"/>
                <w:lang w:val="en-US" w:eastAsia="zh-CN"/>
              </w:rPr>
              <w:t>10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宋体" w:cs="Times New Roman"/>
                <w:b/>
                <w:bCs/>
                <w:color w:val="000000"/>
                <w:sz w:val="22"/>
                <w:lang w:val="en-US" w:eastAsia="zh-CN"/>
              </w:rPr>
            </w:pPr>
            <w:r>
              <w:rPr>
                <w:rFonts w:hint="eastAsia" w:cs="Times New Roman"/>
                <w:b/>
                <w:bCs/>
                <w:color w:val="000000"/>
                <w:sz w:val="22"/>
                <w:lang w:val="en-US" w:eastAsia="zh-CN"/>
              </w:rPr>
              <w:t>100</w:t>
            </w:r>
          </w:p>
        </w:tc>
      </w:tr>
    </w:tbl>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1"/>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该项目</w:t>
      </w:r>
      <w:r>
        <w:rPr>
          <w:rFonts w:hint="eastAsia" w:eastAsia="仿宋_GB2312" w:cs="Times New Roman"/>
          <w:color w:val="auto"/>
          <w:sz w:val="32"/>
          <w:szCs w:val="32"/>
          <w:lang w:val="en-US" w:eastAsia="zh-CN"/>
        </w:rPr>
        <w:t>根据</w:t>
      </w:r>
      <w:r>
        <w:rPr>
          <w:rFonts w:hint="eastAsia" w:eastAsia="仿宋_GB2312" w:cs="Times New Roman"/>
          <w:b w:val="0"/>
          <w:bCs w:val="0"/>
          <w:sz w:val="32"/>
          <w:szCs w:val="32"/>
          <w:lang w:val="en-US" w:eastAsia="zh-CN"/>
        </w:rPr>
        <w:t>依据相关文件进行立项，</w:t>
      </w:r>
      <w:r>
        <w:rPr>
          <w:rFonts w:hint="default" w:ascii="Times New Roman" w:hAnsi="Times New Roman" w:eastAsia="仿宋_GB2312" w:cs="Times New Roman"/>
          <w:color w:val="auto"/>
          <w:sz w:val="32"/>
          <w:szCs w:val="32"/>
          <w:lang w:val="en-US" w:eastAsia="zh-CN"/>
        </w:rPr>
        <w:t>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w:t>
      </w:r>
      <w:r>
        <w:rPr>
          <w:rFonts w:hint="eastAsia" w:eastAsia="仿宋_GB2312" w:cs="Times New Roman"/>
          <w:sz w:val="32"/>
          <w:szCs w:val="32"/>
          <w:lang w:val="en-US" w:eastAsia="zh-CN"/>
        </w:rPr>
        <w:t>的</w:t>
      </w:r>
      <w:r>
        <w:rPr>
          <w:rFonts w:hint="default" w:ascii="Times New Roman" w:hAnsi="Times New Roman" w:eastAsia="仿宋_GB2312" w:cs="Times New Roman"/>
          <w:sz w:val="32"/>
          <w:szCs w:val="32"/>
          <w:lang w:val="en-US" w:eastAsia="zh-CN"/>
        </w:rPr>
        <w:t>细化情况。绩效目标表经过审核，绩效目标与实际工作内容具有相关性，预算与确定的项目投资额相匹配，对项目任务进行了详细分解。项目预期产出效益及效果符合正常的业绩水平。</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预算编制经过科学论证，提供充分的测算依据佐证资料，预算内容与项目内容相匹配。项目投资额与工作任务相匹配。</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资金分配额度与项目单位实际工作内容相适应，资金分配额度合理，资金分配依据充分。</w:t>
      </w:r>
    </w:p>
    <w:p>
      <w:pPr>
        <w:pStyle w:val="11"/>
        <w:keepNext w:val="0"/>
        <w:keepLines w:val="0"/>
        <w:pageBreakBefore w:val="0"/>
        <w:numPr>
          <w:ilvl w:val="0"/>
          <w:numId w:val="6"/>
        </w:numPr>
        <w:kinsoku/>
        <w:wordWrap/>
        <w:overflowPunct/>
        <w:topLinePunct w:val="0"/>
        <w:autoSpaceDE/>
        <w:autoSpaceDN/>
        <w:bidi w:val="0"/>
        <w:adjustRightInd/>
        <w:snapToGrid/>
        <w:spacing w:before="0" w:after="0" w:line="560" w:lineRule="exact"/>
        <w:ind w:left="197" w:leftChars="0" w:firstLine="643" w:firstLineChars="0"/>
        <w:jc w:val="both"/>
        <w:textAlignment w:val="auto"/>
        <w:rPr>
          <w:rFonts w:hint="default" w:ascii="Times New Roman" w:hAnsi="Times New Roman" w:eastAsia="楷体" w:cs="Times New Roman"/>
        </w:rPr>
      </w:pPr>
      <w:r>
        <w:rPr>
          <w:rFonts w:hint="default" w:ascii="Times New Roman" w:hAnsi="Times New Roman" w:eastAsia="楷体" w:cs="Times New Roman"/>
        </w:rPr>
        <w:t>项目过程情况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w:t>
      </w:r>
      <w:r>
        <w:rPr>
          <w:rFonts w:hint="default" w:ascii="Times New Roman" w:hAnsi="Times New Roman" w:eastAsia="仿宋_GB2312" w:cs="Times New Roman"/>
          <w:sz w:val="32"/>
          <w:szCs w:val="32"/>
          <w:highlight w:val="none"/>
          <w:lang w:val="en-US" w:eastAsia="zh-CN"/>
        </w:rPr>
        <w:t>和组织实施两方面的内容，有</w:t>
      </w: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目总投资</w:t>
      </w:r>
      <w:r>
        <w:rPr>
          <w:rFonts w:hint="eastAsia" w:eastAsia="仿宋_GB2312" w:cs="Times New Roman"/>
          <w:b w:val="0"/>
          <w:bCs w:val="0"/>
          <w:kern w:val="2"/>
          <w:sz w:val="32"/>
          <w:szCs w:val="32"/>
          <w:lang w:val="en-US" w:eastAsia="zh-CN" w:bidi="ar-SA"/>
        </w:rPr>
        <w:t>60</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w:t>
      </w:r>
      <w:r>
        <w:rPr>
          <w:rFonts w:hint="default" w:ascii="Times New Roman" w:hAnsi="Times New Roman" w:eastAsia="仿宋_GB2312" w:cs="Times New Roman"/>
          <w:sz w:val="32"/>
          <w:szCs w:val="32"/>
          <w:lang w:val="en-US" w:eastAsia="zh-CN"/>
        </w:rPr>
        <w:t>计划进度执行。</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b w:val="0"/>
          <w:bCs w:val="0"/>
          <w:kern w:val="2"/>
          <w:sz w:val="32"/>
          <w:szCs w:val="32"/>
          <w:highlight w:val="none"/>
          <w:lang w:val="en-US" w:eastAsia="zh-CN" w:bidi="ar-SA"/>
        </w:rPr>
        <w:t>60</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依规</w:t>
      </w:r>
      <w:r>
        <w:rPr>
          <w:rFonts w:hint="default" w:ascii="Times New Roman" w:hAnsi="Times New Roman" w:eastAsia="仿宋_GB2312" w:cs="Times New Roman"/>
          <w:b w:val="0"/>
          <w:bCs w:val="0"/>
          <w:kern w:val="2"/>
          <w:sz w:val="32"/>
          <w:szCs w:val="32"/>
          <w:lang w:val="en-US" w:eastAsia="zh-CN" w:bidi="ar-SA"/>
        </w:rPr>
        <w:t>支出项目资金</w:t>
      </w:r>
      <w:r>
        <w:rPr>
          <w:rFonts w:hint="default" w:ascii="Times New Roman" w:hAnsi="Times New Roman" w:eastAsia="仿宋_GB2312" w:cs="Times New Roman"/>
          <w:sz w:val="32"/>
          <w:szCs w:val="32"/>
          <w:lang w:val="en-US" w:eastAsia="zh-CN"/>
        </w:rPr>
        <w:t>，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13"/>
        <w:keepNext w:val="0"/>
        <w:keepLines w:val="0"/>
        <w:pageBreakBefore w:val="0"/>
        <w:numPr>
          <w:ilvl w:val="0"/>
          <w:numId w:val="6"/>
        </w:numPr>
        <w:kinsoku/>
        <w:wordWrap/>
        <w:overflowPunct/>
        <w:topLinePunct w:val="0"/>
        <w:autoSpaceDE/>
        <w:autoSpaceDN/>
        <w:bidi w:val="0"/>
        <w:adjustRightInd/>
        <w:snapToGrid/>
        <w:spacing w:line="560" w:lineRule="exact"/>
        <w:ind w:left="197" w:leftChars="0" w:firstLine="643" w:firstLineChars="0"/>
        <w:textAlignment w:val="auto"/>
        <w:rPr>
          <w:rFonts w:hint="eastAsia"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项目产出</w:t>
      </w:r>
      <w:r>
        <w:rPr>
          <w:rFonts w:hint="eastAsia" w:ascii="方正楷体_GB2312" w:hAnsi="方正楷体_GB2312" w:eastAsia="方正楷体_GB2312" w:cs="方正楷体_GB2312"/>
          <w:b/>
          <w:bCs/>
          <w:sz w:val="32"/>
          <w:szCs w:val="32"/>
          <w:lang w:val="en-US" w:eastAsia="zh-CN"/>
        </w:rPr>
        <w:t>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w:t>
      </w:r>
      <w:r>
        <w:rPr>
          <w:rFonts w:hint="eastAsia" w:eastAsia="仿宋_GB2312" w:cs="Times New Roman"/>
          <w:sz w:val="32"/>
          <w:szCs w:val="32"/>
          <w:lang w:val="en-US" w:eastAsia="zh-CN"/>
        </w:rPr>
        <w:t>三</w:t>
      </w:r>
      <w:r>
        <w:rPr>
          <w:rFonts w:hint="default" w:ascii="Times New Roman" w:hAnsi="Times New Roman" w:eastAsia="仿宋_GB2312" w:cs="Times New Roman"/>
          <w:sz w:val="32"/>
          <w:szCs w:val="32"/>
          <w:lang w:val="en-US" w:eastAsia="zh-CN"/>
        </w:rPr>
        <w:t>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采购计算机，打印机及复印件设备数量，目标值&gt;=</w:t>
      </w:r>
      <w:r>
        <w:rPr>
          <w:rFonts w:hint="default" w:eastAsia="仿宋_GB2312" w:cs="Times New Roman"/>
          <w:sz w:val="32"/>
          <w:szCs w:val="32"/>
          <w:highlight w:val="none"/>
          <w:lang w:val="en-US" w:eastAsia="zh-CN"/>
        </w:rPr>
        <w:t>35</w:t>
      </w:r>
      <w:r>
        <w:rPr>
          <w:rFonts w:hint="eastAsia" w:eastAsia="仿宋_GB2312" w:cs="Times New Roman"/>
          <w:sz w:val="32"/>
          <w:szCs w:val="32"/>
          <w:highlight w:val="none"/>
          <w:lang w:val="en-US" w:eastAsia="zh-CN"/>
        </w:rPr>
        <w:t>台，实际完成值38台，完成率100%。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采购学生课桌椅数量，目标值&gt;=640套，实际完成值   648套，完成率100%。</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设备验收合格率，目标值&gt;=95%，实际完成值95%，完成率100%。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2：政府采购率，</w:t>
      </w:r>
      <w:r>
        <w:rPr>
          <w:rFonts w:hint="eastAsia" w:eastAsia="仿宋_GB2312" w:cs="Times New Roman"/>
          <w:sz w:val="32"/>
          <w:szCs w:val="32"/>
          <w:highlight w:val="none"/>
          <w:lang w:val="en-US" w:eastAsia="zh-CN"/>
        </w:rPr>
        <w:t>目标值&gt;=95%，实际完成值95%，完成率100%。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3：设备质量合格率，</w:t>
      </w:r>
      <w:r>
        <w:rPr>
          <w:rFonts w:hint="eastAsia" w:eastAsia="仿宋_GB2312" w:cs="Times New Roman"/>
          <w:sz w:val="32"/>
          <w:szCs w:val="32"/>
          <w:highlight w:val="none"/>
          <w:lang w:val="en-US" w:eastAsia="zh-CN"/>
        </w:rPr>
        <w:t>目标值&gt;=95%，实际完成值95%，完成率100%。</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000000" w:themeColor="text1"/>
          <w:sz w:val="30"/>
          <w:szCs w:val="24"/>
          <w:lang w:val="en-US" w:eastAsia="zh-CN"/>
          <w14:textFill>
            <w14:solidFill>
              <w14:schemeClr w14:val="tx1"/>
            </w14:solidFill>
          </w14:textFill>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设施设备采购及时率（%），目标值&gt;=95%，实际完成率95%，完成率100%</w:t>
      </w:r>
    </w:p>
    <w:p>
      <w:pPr>
        <w:keepNext w:val="0"/>
        <w:keepLines w:val="0"/>
        <w:pageBreakBefore w:val="0"/>
        <w:shd w:val="clear"/>
        <w:kinsoku/>
        <w:wordWrap/>
        <w:overflowPunct/>
        <w:topLinePunct w:val="0"/>
        <w:autoSpaceDE/>
        <w:autoSpaceDN/>
        <w:bidi w:val="0"/>
        <w:adjustRightInd/>
        <w:snapToGrid/>
        <w:spacing w:line="560" w:lineRule="exact"/>
        <w:ind w:firstLine="641" w:firstLineChars="200"/>
        <w:textAlignment w:val="auto"/>
        <w:outlineLvl w:val="0"/>
        <w:rPr>
          <w:rFonts w:hint="eastAsia" w:ascii="华文楷体" w:hAnsi="华文楷体" w:eastAsia="华文楷体" w:cs="华文楷体"/>
          <w:b/>
          <w:bCs/>
          <w:sz w:val="32"/>
          <w:szCs w:val="32"/>
          <w:highlight w:val="none"/>
          <w:lang w:val="en-US" w:eastAsia="zh-CN"/>
        </w:rPr>
      </w:pPr>
      <w:r>
        <w:rPr>
          <w:rFonts w:hint="eastAsia" w:ascii="华文楷体" w:hAnsi="华文楷体" w:eastAsia="华文楷体" w:cs="华文楷体"/>
          <w:b/>
          <w:bCs/>
          <w:sz w:val="32"/>
          <w:szCs w:val="32"/>
          <w:highlight w:val="none"/>
          <w:lang w:val="en-US" w:eastAsia="zh-CN"/>
        </w:rPr>
        <w:t>（四）项目成本情况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项目成本指标包括经济成本指标、社会成本指标、生态环境成本指标三方面的内容，由3个三级指标构成，权重分为10分，实际得分10分，得分率为100%，具体成本指标情况如下：</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eastAsia" w:ascii="Times New Roman" w:hAnsi="Times New Roman" w:eastAsia="仿宋_GB2312" w:cs="Times New Roman"/>
          <w:sz w:val="32"/>
          <w:szCs w:val="32"/>
          <w:highlight w:val="none"/>
          <w:lang w:val="en-US" w:eastAsia="zh-CN"/>
        </w:rPr>
        <w:t>经济</w:t>
      </w:r>
      <w:r>
        <w:rPr>
          <w:rFonts w:hint="default" w:ascii="Times New Roman" w:hAnsi="Times New Roman" w:eastAsia="仿宋_GB2312" w:cs="Times New Roman"/>
          <w:sz w:val="32"/>
          <w:szCs w:val="32"/>
          <w:highlight w:val="none"/>
        </w:rPr>
        <w:t>成本指标：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教育教学设备平均购置费，目标值&lt;=0.60万元，实际完成值0.6万元，完成率100%。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eastAsia" w:ascii="Times New Roman" w:hAnsi="Times New Roman" w:eastAsia="仿宋_GB2312" w:cs="Times New Roman"/>
          <w:sz w:val="32"/>
          <w:szCs w:val="32"/>
          <w:highlight w:val="none"/>
          <w:lang w:val="en-US" w:eastAsia="zh-CN"/>
        </w:rPr>
        <w:t>社会成本</w:t>
      </w:r>
      <w:r>
        <w:rPr>
          <w:rFonts w:hint="default" w:ascii="Times New Roman" w:hAnsi="Times New Roman" w:eastAsia="仿宋_GB2312" w:cs="Times New Roman"/>
          <w:sz w:val="32"/>
          <w:szCs w:val="32"/>
          <w:highlight w:val="none"/>
        </w:rPr>
        <w:t>指标：</w:t>
      </w:r>
    </w:p>
    <w:p>
      <w:pPr>
        <w:pStyle w:val="13"/>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方正楷体_GB2312" w:hAnsi="方正楷体_GB2312" w:eastAsia="方正楷体_GB2312" w:cs="方正楷体_GB2312"/>
          <w:b/>
          <w:bCs/>
          <w:sz w:val="32"/>
          <w:szCs w:val="32"/>
          <w:lang w:val="en-US" w:eastAsia="zh-CN"/>
        </w:rPr>
      </w:pPr>
      <w:r>
        <w:rPr>
          <w:rFonts w:hint="eastAsia" w:ascii="方正楷体_GB2312" w:hAnsi="方正楷体_GB2312" w:eastAsia="方正楷体_GB2312" w:cs="方正楷体_GB2312"/>
          <w:b/>
          <w:bCs/>
          <w:sz w:val="32"/>
          <w:szCs w:val="32"/>
          <w:lang w:val="en-US" w:eastAsia="zh-CN"/>
        </w:rPr>
        <w:t>（五）项目效益情况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效益指标及满意度指标完成情况如下：</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经济效益指标：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设备利用率（%），目标值=100%，实际完成值100%，完成率100%。</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保障教育教学秩序正常运转，目标值得到保障，实际完成值得到保障，完成率100%。</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满意度指标：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使用人员满意度（%），目标值&gt;=95%，实际完成值95%，完成率100%</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19"/>
          <w:rFonts w:hint="default" w:ascii="Times New Roman" w:hAnsi="Times New Roman"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pPr>
        <w:keepNext w:val="0"/>
        <w:keepLines w:val="0"/>
        <w:pageBreakBefore w:val="0"/>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1"/>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w:t>
      </w:r>
      <w:r>
        <w:rPr>
          <w:rFonts w:hint="eastAsia" w:ascii="Times New Roman" w:hAnsi="Times New Roman" w:eastAsia="仿宋_GB2312"/>
          <w:b w:val="0"/>
          <w:bCs w:val="0"/>
          <w:kern w:val="2"/>
          <w:lang w:eastAsia="zh-CN"/>
        </w:rPr>
        <w:t>杜绝</w:t>
      </w:r>
      <w:r>
        <w:rPr>
          <w:rFonts w:ascii="Times New Roman" w:hAnsi="Times New Roman" w:eastAsia="仿宋_GB2312"/>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val="0"/>
        <w:keepLines w:val="0"/>
        <w:pageBreakBefore w:val="0"/>
        <w:widowControl w:val="0"/>
        <w:numPr>
          <w:ilvl w:val="0"/>
          <w:numId w:val="0"/>
        </w:numPr>
        <w:pBdr>
          <w:bottom w:val="single" w:color="FFFFFF" w:sz="4" w:space="31"/>
        </w:pBdr>
        <w:tabs>
          <w:tab w:val="left" w:pos="1440"/>
        </w:tabs>
        <w:kinsoku/>
        <w:wordWrap/>
        <w:overflowPunct/>
        <w:topLinePunct w:val="0"/>
        <w:autoSpaceDE/>
        <w:autoSpaceDN/>
        <w:bidi w:val="0"/>
        <w:adjustRightInd w:val="0"/>
        <w:snapToGrid w:val="0"/>
        <w:spacing w:line="560" w:lineRule="exact"/>
        <w:ind w:left="0" w:leftChars="0" w:right="0" w:rightChars="0" w:firstLine="640" w:firstLineChars="200"/>
        <w:jc w:val="both"/>
        <w:textAlignment w:val="baseline"/>
        <w:outlineLvl w:val="9"/>
        <w:rPr>
          <w:rFonts w:hint="eastAsia" w:ascii="仿宋_GB2312" w:hAnsi="仿宋_GB2312" w:eastAsia="仿宋_GB2312" w:cs="仿宋_GB2312"/>
          <w:b w:val="0"/>
          <w:bCs/>
          <w:spacing w:val="-4"/>
          <w:sz w:val="32"/>
          <w:szCs w:val="32"/>
          <w:lang w:eastAsia="zh-CN"/>
        </w:rPr>
      </w:pPr>
      <w:r>
        <w:rPr>
          <w:rFonts w:hint="eastAsia" w:ascii="仿宋_GB2312" w:hAnsi="仿宋_GB2312" w:eastAsia="仿宋_GB2312" w:cs="仿宋_GB2312"/>
          <w:b w:val="0"/>
          <w:bCs w:val="0"/>
          <w:color w:val="auto"/>
          <w:sz w:val="32"/>
          <w:szCs w:val="32"/>
          <w:u w:val="none" w:color="auto"/>
          <w:lang w:val="en-US" w:eastAsia="zh-CN"/>
        </w:rPr>
        <w:t>项目资金管理：制定项目资金使用制度；财政安排项目资金到位后，须制定资金使用计划，报学校会议研究，作为今后使用资金的依据；项目资金做到专款专用、专人负责，不占</w:t>
      </w:r>
      <w:r>
        <w:rPr>
          <w:rFonts w:hint="eastAsia" w:ascii="仿宋_GB2312" w:hAnsi="仿宋_GB2312" w:eastAsia="仿宋_GB2312" w:cs="仿宋_GB2312"/>
          <w:sz w:val="32"/>
          <w:szCs w:val="32"/>
          <w:highlight w:val="none"/>
          <w:lang w:val="en-US" w:eastAsia="zh-CN"/>
        </w:rPr>
        <w:t>用、挪用项目资金；项目资金使用落实责任人，压实工作责任，使用必须按要求和规范进行。</w:t>
      </w:r>
    </w:p>
    <w:p>
      <w:pPr>
        <w:keepNext w:val="0"/>
        <w:keepLines w:val="0"/>
        <w:pageBreakBefore w:val="0"/>
        <w:numPr>
          <w:ilvl w:val="0"/>
          <w:numId w:val="7"/>
        </w:numPr>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存在的问题及原因分析</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outlineLvl w:val="0"/>
        <w:rPr>
          <w:rFonts w:hint="eastAsia" w:ascii="Times New Roman" w:hAnsi="Times New Roman" w:eastAsia="仿宋_GB2312"/>
          <w:bCs/>
          <w:color w:val="auto"/>
          <w:sz w:val="28"/>
          <w:szCs w:val="28"/>
          <w:lang w:val="en-US" w:eastAsia="zh-CN"/>
        </w:rPr>
      </w:pPr>
      <w:r>
        <w:rPr>
          <w:rFonts w:hint="eastAsia" w:ascii="Times New Roman" w:hAnsi="Times New Roman" w:eastAsia="仿宋_GB2312"/>
          <w:b w:val="0"/>
          <w:bCs/>
          <w:color w:val="auto"/>
          <w:sz w:val="28"/>
          <w:szCs w:val="28"/>
          <w:lang w:val="en-US" w:eastAsia="zh-CN"/>
        </w:rPr>
        <w:t>进一步加强对绩效管理工作的组织领导，提高对预算绩效管理工作重要性的认识，总结经验查找问题，完善的</w:t>
      </w:r>
      <w:r>
        <w:rPr>
          <w:rFonts w:hint="eastAsia" w:ascii="Times New Roman" w:hAnsi="Times New Roman" w:eastAsia="仿宋_GB2312"/>
          <w:bCs/>
          <w:color w:val="auto"/>
          <w:sz w:val="28"/>
          <w:szCs w:val="28"/>
          <w:lang w:val="en-US" w:eastAsia="zh-CN"/>
        </w:rPr>
        <w:t>绩效评价管理办法。对绩效管理工作认识不到位，认为只要资金使用合规合法就可以，对绩效工作认识不够，工作缺乏主动性。</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outlineLvl w:val="0"/>
        <w:rPr>
          <w:rFonts w:hint="eastAsia" w:ascii="Times New Roman" w:hAnsi="Times New Roman" w:eastAsia="仿宋_GB2312"/>
          <w:bCs/>
          <w:color w:val="auto"/>
          <w:sz w:val="28"/>
          <w:szCs w:val="28"/>
          <w:lang w:val="en-US" w:eastAsia="zh-CN"/>
        </w:rPr>
      </w:pPr>
      <w:r>
        <w:rPr>
          <w:rFonts w:hint="eastAsia" w:ascii="Times New Roman" w:hAnsi="Times New Roman" w:eastAsia="仿宋_GB2312"/>
          <w:bCs/>
          <w:color w:val="auto"/>
          <w:sz w:val="28"/>
          <w:szCs w:val="28"/>
          <w:lang w:val="en-US" w:eastAsia="zh-CN"/>
        </w:rPr>
        <w:t>结合实际建立绩效工作考核制度，加大全局对全面实施预算绩效管理</w:t>
      </w:r>
      <w:r>
        <w:rPr>
          <w:rFonts w:hint="eastAsia" w:eastAsia="仿宋_GB2312"/>
          <w:bCs/>
          <w:color w:val="auto"/>
          <w:sz w:val="28"/>
          <w:szCs w:val="28"/>
          <w:lang w:val="en-US" w:eastAsia="zh-CN"/>
        </w:rPr>
        <w:t>和</w:t>
      </w:r>
      <w:r>
        <w:rPr>
          <w:rFonts w:hint="eastAsia" w:ascii="Times New Roman" w:hAnsi="Times New Roman" w:eastAsia="仿宋_GB2312"/>
          <w:bCs/>
          <w:color w:val="auto"/>
          <w:sz w:val="28"/>
          <w:szCs w:val="28"/>
          <w:lang w:val="en-US" w:eastAsia="zh-CN"/>
        </w:rPr>
        <w:t>进一步加强对绩效管理工作的组织领导，提高对预算绩效管理工作重要性的认识，总结经验查找问题，完善的绩效评价管理办法。对绩效管理工作认识不到位，认为只要资金使用合规合法就可以，对绩效工作认识不够，工作缺乏主动性。</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outlineLvl w:val="0"/>
        <w:rPr>
          <w:rFonts w:hint="eastAsia"/>
          <w:lang w:val="en-US" w:eastAsia="zh-CN"/>
        </w:rPr>
      </w:pPr>
      <w:r>
        <w:rPr>
          <w:rFonts w:hint="eastAsia" w:ascii="Times New Roman" w:hAnsi="Times New Roman" w:eastAsia="仿宋_GB2312"/>
          <w:bCs/>
          <w:color w:val="auto"/>
          <w:sz w:val="28"/>
          <w:szCs w:val="28"/>
          <w:lang w:val="en-US" w:eastAsia="zh-CN"/>
        </w:rPr>
        <w:t>结合实际建立绩效工作考核制度，加大全局对全面实施预算绩效管理和绩效管理工作的学习力度。进一步建立健全工作机制，不断完善内控制度，基本形成科学合理、高效严谨的全面绩效管理制度和体系。</w:t>
      </w:r>
    </w:p>
    <w:p>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eastAsia" w:ascii="Times New Roman" w:hAnsi="Times New Roman" w:eastAsia="楷体" w:cs="Times New Roman"/>
          <w:b/>
          <w:spacing w:val="-4"/>
          <w:sz w:val="32"/>
          <w:szCs w:val="32"/>
          <w:lang w:val="en-US" w:eastAsia="zh-CN"/>
        </w:rPr>
      </w:pPr>
    </w:p>
    <w:p>
      <w:pPr>
        <w:keepNext w:val="0"/>
        <w:keepLines w:val="0"/>
        <w:pageBreakBefore w:val="0"/>
        <w:numPr>
          <w:ilvl w:val="0"/>
          <w:numId w:val="8"/>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有关建议</w:t>
      </w:r>
    </w:p>
    <w:p>
      <w:pPr>
        <w:keepNext w:val="0"/>
        <w:keepLines w:val="0"/>
        <w:pageBreakBefore w:val="0"/>
        <w:numPr>
          <w:ilvl w:val="0"/>
          <w:numId w:val="9"/>
        </w:numPr>
        <w:kinsoku/>
        <w:wordWrap/>
        <w:overflowPunct/>
        <w:topLinePunct w:val="0"/>
        <w:autoSpaceDE/>
        <w:autoSpaceDN/>
        <w:bidi w:val="0"/>
        <w:adjustRightInd/>
        <w:snapToGrid/>
        <w:spacing w:line="560" w:lineRule="exact"/>
        <w:textAlignment w:val="auto"/>
        <w:rPr>
          <w:rFonts w:hint="eastAsia" w:eastAsia="黑体" w:cs="Times New Roman"/>
          <w:sz w:val="32"/>
          <w:szCs w:val="32"/>
          <w:highlight w:val="none"/>
          <w:lang w:eastAsia="zh-CN"/>
        </w:rPr>
      </w:pPr>
      <w:r>
        <w:rPr>
          <w:rFonts w:hint="eastAsia" w:eastAsia="仿宋_GB2312" w:cs="Times New Roman"/>
          <w:color w:val="000000" w:themeColor="text1"/>
          <w:sz w:val="32"/>
          <w:szCs w:val="32"/>
          <w:highlight w:val="none"/>
          <w:lang w:val="en-US" w:eastAsia="zh-CN"/>
          <w14:textFill>
            <w14:solidFill>
              <w14:schemeClr w14:val="tx1"/>
            </w14:solidFill>
          </w14:textFill>
        </w:rPr>
        <w:t>加强</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绩效管理工作培训，进一步夯实业务基础，提高我单位绩效</w:t>
      </w:r>
      <w:r>
        <w:rPr>
          <w:rFonts w:hint="eastAsia" w:eastAsia="仿宋_GB2312" w:cs="Times New Roman"/>
          <w:color w:val="000000" w:themeColor="text1"/>
          <w:sz w:val="32"/>
          <w:szCs w:val="32"/>
          <w:highlight w:val="none"/>
          <w:lang w:val="en-US" w:eastAsia="zh-CN"/>
          <w14:textFill>
            <w14:solidFill>
              <w14:schemeClr w14:val="tx1"/>
            </w14:solidFill>
          </w14:textFill>
        </w:rPr>
        <w:t>管理水平</w:t>
      </w:r>
      <w:r>
        <w:rPr>
          <w:rFonts w:hint="eastAsia" w:eastAsia="黑体" w:cs="Times New Roman"/>
          <w:sz w:val="32"/>
          <w:szCs w:val="32"/>
          <w:highlight w:val="none"/>
          <w:lang w:eastAsia="zh-CN"/>
        </w:rPr>
        <w:t>。</w:t>
      </w:r>
    </w:p>
    <w:p>
      <w:pPr>
        <w:shd w:val="clear"/>
        <w:spacing w:line="600" w:lineRule="exact"/>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进一步加强对绩效管理工作的组织领导，提高对预算绩效管理工作重要性的认识，总结经验查找问题，完善的绩效评价管理办法。加大全局对全面实施预算绩效管理和绩效管理工作的学习力度，让“花钱必问效，无效必问责”的理念深入工作每个环节。</w:t>
      </w:r>
    </w:p>
    <w:p>
      <w:pPr>
        <w:pStyle w:val="2"/>
        <w:widowControl w:val="0"/>
        <w:numPr>
          <w:ilvl w:val="0"/>
          <w:numId w:val="0"/>
        </w:numPr>
        <w:spacing w:after="120"/>
        <w:jc w:val="both"/>
        <w:rPr>
          <w:rFonts w:hint="eastAsia"/>
          <w:lang w:eastAsia="zh-CN"/>
        </w:rPr>
      </w:pPr>
    </w:p>
    <w:p>
      <w:pPr>
        <w:keepNext w:val="0"/>
        <w:keepLines w:val="0"/>
        <w:pageBreakBefore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rPr>
        <w:t>其他需</w:t>
      </w:r>
      <w:bookmarkStart w:id="2" w:name="page8"/>
      <w:bookmarkEnd w:id="2"/>
      <w:r>
        <w:rPr>
          <w:rFonts w:hint="default" w:ascii="Times New Roman" w:hAnsi="Times New Roman" w:eastAsia="黑体" w:cs="Times New Roman"/>
          <w:sz w:val="32"/>
          <w:szCs w:val="32"/>
          <w:lang w:val="en-US" w:eastAsia="zh-CN"/>
        </w:rPr>
        <w:t>要说明的问题</w:t>
      </w:r>
    </w:p>
    <w:p>
      <w:pPr>
        <w:pStyle w:val="2"/>
        <w:widowControl w:val="0"/>
        <w:numPr>
          <w:ilvl w:val="0"/>
          <w:numId w:val="0"/>
        </w:numPr>
        <w:spacing w:after="120"/>
        <w:jc w:val="both"/>
        <w:rPr>
          <w:rFonts w:hint="default"/>
          <w:lang w:val="en-US" w:eastAsia="zh-CN"/>
        </w:rPr>
      </w:pPr>
    </w:p>
    <w:p>
      <w:pPr>
        <w:pStyle w:val="11"/>
        <w:keepNext w:val="0"/>
        <w:keepLines w:val="0"/>
        <w:pageBreakBefore w:val="0"/>
        <w:widowControl w:val="0"/>
        <w:kinsoku/>
        <w:wordWrap/>
        <w:overflowPunct/>
        <w:topLinePunct w:val="0"/>
        <w:autoSpaceDE/>
        <w:autoSpaceDN/>
        <w:bidi w:val="0"/>
        <w:adjustRightInd/>
        <w:snapToGrid/>
        <w:spacing w:before="0" w:after="0"/>
        <w:ind w:firstLine="600" w:firstLineChars="200"/>
        <w:jc w:val="left"/>
        <w:textAlignment w:val="auto"/>
        <w:rPr>
          <w:rFonts w:hint="eastAsia" w:ascii="仿宋_GB2312" w:hAnsi="Times New Roman" w:eastAsia="仿宋_GB2312" w:cs="Times New Roman"/>
          <w:b w:val="0"/>
          <w:bCs w:val="0"/>
          <w:kern w:val="2"/>
          <w:sz w:val="30"/>
          <w:szCs w:val="24"/>
          <w:lang w:val="en-US" w:eastAsia="zh-CN" w:bidi="ar-SA"/>
        </w:rPr>
      </w:pPr>
      <w:r>
        <w:rPr>
          <w:rFonts w:hint="eastAsia" w:ascii="仿宋_GB2312" w:hAnsi="Times New Roman" w:eastAsia="仿宋_GB2312" w:cs="Times New Roman"/>
          <w:b w:val="0"/>
          <w:bCs w:val="0"/>
          <w:kern w:val="2"/>
          <w:sz w:val="30"/>
          <w:szCs w:val="24"/>
          <w:lang w:val="en-US" w:eastAsia="zh-CN" w:bidi="ar-SA"/>
        </w:rPr>
        <w:t>1、该项目在财政的指导和帮助下，项目在资金申请前置条件的落实上，发挥了积极的“花钱必问效，无效必问责”的项目绩效管理和实施的理念引导；</w:t>
      </w:r>
    </w:p>
    <w:p>
      <w:pPr>
        <w:pStyle w:val="11"/>
        <w:keepNext w:val="0"/>
        <w:keepLines w:val="0"/>
        <w:pageBreakBefore w:val="0"/>
        <w:widowControl w:val="0"/>
        <w:kinsoku/>
        <w:wordWrap/>
        <w:overflowPunct/>
        <w:topLinePunct w:val="0"/>
        <w:autoSpaceDE/>
        <w:autoSpaceDN/>
        <w:bidi w:val="0"/>
        <w:adjustRightInd/>
        <w:snapToGrid/>
        <w:spacing w:before="0" w:after="0"/>
        <w:ind w:firstLine="600" w:firstLineChars="200"/>
        <w:jc w:val="left"/>
        <w:textAlignment w:val="auto"/>
        <w:rPr>
          <w:rFonts w:hint="eastAsia" w:ascii="仿宋_GB2312" w:hAnsi="Times New Roman" w:eastAsia="仿宋_GB2312" w:cs="Times New Roman"/>
          <w:b w:val="0"/>
          <w:bCs w:val="0"/>
          <w:kern w:val="2"/>
          <w:sz w:val="30"/>
          <w:szCs w:val="24"/>
          <w:lang w:val="en-US" w:eastAsia="zh-CN" w:bidi="ar-SA"/>
        </w:rPr>
      </w:pPr>
      <w:r>
        <w:rPr>
          <w:rFonts w:hint="eastAsia" w:ascii="仿宋_GB2312" w:hAnsi="Times New Roman" w:eastAsia="仿宋_GB2312" w:cs="Times New Roman"/>
          <w:b w:val="0"/>
          <w:bCs w:val="0"/>
          <w:kern w:val="2"/>
          <w:sz w:val="30"/>
          <w:szCs w:val="24"/>
          <w:lang w:val="en-US" w:eastAsia="zh-CN" w:bidi="ar-SA"/>
        </w:rPr>
        <w:t>2、项目在实施的过程中进行了绩效的全过程管理，资金使用流程严谨合规，确保资金用途显效、高效；</w:t>
      </w:r>
    </w:p>
    <w:p>
      <w:pPr>
        <w:rPr>
          <w:rFonts w:hint="default"/>
          <w:lang w:val="en-US" w:eastAsia="zh-CN"/>
        </w:rPr>
        <w:sectPr>
          <w:pgSz w:w="11906" w:h="16838"/>
          <w:pgMar w:top="1440" w:right="1558" w:bottom="1440" w:left="1800" w:header="851" w:footer="992" w:gutter="0"/>
          <w:cols w:space="425" w:num="1"/>
          <w:docGrid w:type="lines" w:linePitch="312" w:charSpace="0"/>
        </w:sectPr>
      </w:pPr>
    </w:p>
    <w:p>
      <w:pPr>
        <w:spacing w:line="600" w:lineRule="exact"/>
        <w:rPr>
          <w:rFonts w:hint="default" w:ascii="Times New Roman" w:hAnsi="Times New Roman" w:eastAsia="黑体" w:cs="Times New Roman"/>
          <w:b/>
          <w:bCs w:val="0"/>
          <w:sz w:val="32"/>
          <w:szCs w:val="32"/>
        </w:rPr>
      </w:pPr>
      <w:r>
        <w:rPr>
          <w:rFonts w:hint="default" w:ascii="Times New Roman" w:hAnsi="Times New Roman" w:eastAsia="黑体" w:cs="Times New Roman"/>
          <w:b/>
          <w:bCs w:val="0"/>
          <w:sz w:val="32"/>
          <w:szCs w:val="32"/>
        </w:rPr>
        <w:t>附件1</w:t>
      </w:r>
    </w:p>
    <w:p>
      <w:pPr>
        <w:pStyle w:val="20"/>
        <w:ind w:firstLine="562"/>
        <w:jc w:val="center"/>
        <w:rPr>
          <w:rFonts w:hint="default" w:ascii="Times New Roman" w:hAnsi="Times New Roman" w:eastAsia="仿宋_GB2312" w:cs="Times New Roman"/>
          <w:b w:val="0"/>
          <w:bCs w:val="0"/>
          <w:sz w:val="32"/>
          <w:szCs w:val="32"/>
        </w:rPr>
      </w:pPr>
      <w:bookmarkStart w:id="3" w:name="_Toc30064_WPSOffice_Level1"/>
      <w:bookmarkStart w:id="4" w:name="_Toc26499_WPSOffice_Level2"/>
      <w:r>
        <w:rPr>
          <w:rFonts w:hint="eastAsia" w:eastAsia="仿宋_GB2312" w:cs="Times New Roman"/>
          <w:b/>
          <w:bCs/>
          <w:color w:val="auto"/>
          <w:sz w:val="32"/>
          <w:szCs w:val="32"/>
          <w:lang w:val="en-US" w:eastAsia="zh-CN"/>
        </w:rPr>
        <w:t>教育教学设备购置</w:t>
      </w:r>
      <w:r>
        <w:rPr>
          <w:rFonts w:hint="default" w:ascii="Times New Roman" w:hAnsi="Times New Roman" w:eastAsia="仿宋_GB2312" w:cs="Times New Roman"/>
          <w:b/>
          <w:bCs/>
          <w:color w:val="auto"/>
          <w:sz w:val="32"/>
          <w:szCs w:val="32"/>
        </w:rPr>
        <w:t>项目绩效评价指标体系及综合评分表</w:t>
      </w:r>
      <w:bookmarkEnd w:id="3"/>
      <w:bookmarkEnd w:id="4"/>
    </w:p>
    <w:tbl>
      <w:tblPr>
        <w:tblStyle w:val="15"/>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832"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一级指标</w:t>
            </w:r>
          </w:p>
        </w:tc>
        <w:tc>
          <w:tcPr>
            <w:tcW w:w="764"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二级指标</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三级指标</w:t>
            </w:r>
          </w:p>
        </w:tc>
        <w:tc>
          <w:tcPr>
            <w:tcW w:w="235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指标解释</w:t>
            </w:r>
          </w:p>
        </w:tc>
        <w:tc>
          <w:tcPr>
            <w:tcW w:w="5198"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指标说明</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权重</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919" w:hRule="atLeast"/>
          <w:jc w:val="center"/>
        </w:trPr>
        <w:tc>
          <w:tcPr>
            <w:tcW w:w="832"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决策　</w:t>
            </w:r>
          </w:p>
        </w:tc>
        <w:tc>
          <w:tcPr>
            <w:tcW w:w="764"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　</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立项依据</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充分性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项目立项是否符合法律法规、相关政策、发展规划以及部门职责，用以反映和考核项目立项依据情况。</w:t>
            </w:r>
          </w:p>
        </w:tc>
        <w:tc>
          <w:tcPr>
            <w:tcW w:w="5198" w:type="dxa"/>
            <w:shd w:val="clear" w:color="auto" w:fill="auto"/>
            <w:vAlign w:val="center"/>
          </w:tcPr>
          <w:p>
            <w:pPr>
              <w:widowControl/>
              <w:spacing w:line="0" w:lineRule="atLeast"/>
              <w:jc w:val="lef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评价要点：</w:t>
            </w:r>
          </w:p>
          <w:p>
            <w:pPr>
              <w:widowControl/>
              <w:spacing w:line="0" w:lineRule="atLeast"/>
              <w:jc w:val="lef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①项目立项是否符合国家法律法规、国民经济发展规划和相关政策；</w:t>
            </w:r>
          </w:p>
          <w:p>
            <w:pPr>
              <w:widowControl/>
              <w:spacing w:line="0" w:lineRule="atLeast"/>
              <w:jc w:val="lef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②项目立项是否符合行业发展规划和政策要求；</w:t>
            </w:r>
          </w:p>
          <w:p>
            <w:pPr>
              <w:widowControl/>
              <w:spacing w:line="0" w:lineRule="atLeast"/>
              <w:jc w:val="lef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③项目立项是否与部门职责范围相符，属于部门履职所需；</w:t>
            </w:r>
          </w:p>
          <w:p>
            <w:pPr>
              <w:widowControl/>
              <w:spacing w:line="0" w:lineRule="atLeast"/>
              <w:jc w:val="lef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④项目是否属于公共财政支持范围，是否符合中央、地方事权支出责任划分原则；</w:t>
            </w:r>
          </w:p>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⑤项目是否与相关部门同类项目或部门内部相关项目重复。</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立项程序</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规范性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项目申请、设立过程是否符合相关要求，用以反映和考核项目立项的规范情况。</w:t>
            </w:r>
          </w:p>
        </w:tc>
        <w:tc>
          <w:tcPr>
            <w:tcW w:w="5198" w:type="dxa"/>
            <w:shd w:val="clear" w:color="auto" w:fill="auto"/>
            <w:vAlign w:val="center"/>
          </w:tcPr>
          <w:p>
            <w:pPr>
              <w:widowControl/>
              <w:spacing w:line="0" w:lineRule="atLeast"/>
              <w:jc w:val="lef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评价要点：</w:t>
            </w:r>
          </w:p>
          <w:p>
            <w:pPr>
              <w:widowControl/>
              <w:spacing w:line="0" w:lineRule="atLeast"/>
              <w:jc w:val="lef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①项目是否按照规定的程序申请设立；</w:t>
            </w:r>
          </w:p>
          <w:p>
            <w:pPr>
              <w:widowControl/>
              <w:spacing w:line="0" w:lineRule="atLeast"/>
              <w:jc w:val="lef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②审批文件、材料是否符合相关要求；</w:t>
            </w:r>
          </w:p>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③事前是否已经过必要的可行性研究、专家论证、风险评估、绩效评估、集体决策。</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　</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项目所设定的绩效目标是否依据充分，是否符合客观实际，用以反映和考核项目绩效目标与项目实施的相符情况。</w:t>
            </w:r>
          </w:p>
        </w:tc>
        <w:tc>
          <w:tcPr>
            <w:tcW w:w="5198" w:type="dxa"/>
            <w:shd w:val="clear" w:color="auto" w:fill="auto"/>
            <w:vAlign w:val="center"/>
          </w:tcPr>
          <w:p>
            <w:pPr>
              <w:widowControl/>
              <w:spacing w:line="0" w:lineRule="atLeast"/>
              <w:jc w:val="lef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评价要点：</w:t>
            </w:r>
          </w:p>
          <w:p>
            <w:pPr>
              <w:widowControl/>
              <w:spacing w:line="0" w:lineRule="atLeast"/>
              <w:jc w:val="lef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（如未设定预算绩效目标，也可考核其他工作任务目标）</w:t>
            </w:r>
          </w:p>
          <w:p>
            <w:pPr>
              <w:widowControl/>
              <w:spacing w:line="0" w:lineRule="atLeast"/>
              <w:jc w:val="lef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①项目是否有绩效目标；</w:t>
            </w:r>
          </w:p>
          <w:p>
            <w:pPr>
              <w:widowControl/>
              <w:spacing w:line="0" w:lineRule="atLeast"/>
              <w:jc w:val="lef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②项目绩效目标与实际工作内容是否具有相关性；</w:t>
            </w:r>
          </w:p>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④是否与预算确定的项目投资额或资金量相匹配。</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32"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绩效指标</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明确性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依据绩效目标设定的绩效指标是否清晰、细化、可衡量等，用以反映和考核项目绩效目标的明细化情况。</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评价要点：</w:t>
            </w:r>
          </w:p>
          <w:p>
            <w:pPr>
              <w:widowControl/>
              <w:spacing w:line="0" w:lineRule="atLeas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①是否将项目绩效目标细化分解为具体的绩效指标；</w:t>
            </w:r>
          </w:p>
          <w:p>
            <w:pPr>
              <w:widowControl/>
              <w:spacing w:line="0" w:lineRule="atLeas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②是否通过清晰、可衡量的指标值予以体现；</w:t>
            </w:r>
          </w:p>
          <w:p>
            <w:pPr>
              <w:widowControl/>
              <w:spacing w:line="0" w:lineRule="atLeas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③是否与项目目标任务数或计划数相对应。</w:t>
            </w:r>
          </w:p>
          <w:p>
            <w:pPr>
              <w:widowControl/>
              <w:spacing w:line="0" w:lineRule="atLeast"/>
              <w:rPr>
                <w:rFonts w:hint="default" w:ascii="Times New Roman" w:hAnsi="Times New Roman" w:eastAsia="仿宋_GB2312" w:cs="Times New Roman"/>
                <w:color w:val="000000"/>
                <w:kern w:val="0"/>
                <w:sz w:val="22"/>
                <w:szCs w:val="22"/>
                <w:lang w:val="en-US"/>
              </w:rPr>
            </w:pP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资金投入</w:t>
            </w:r>
          </w:p>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预算编制</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科学性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评价要点：</w:t>
            </w:r>
          </w:p>
          <w:p>
            <w:pPr>
              <w:widowControl/>
              <w:spacing w:line="0" w:lineRule="atLeas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①预算编制是否经过科学论证；</w:t>
            </w:r>
          </w:p>
          <w:p>
            <w:pPr>
              <w:widowControl/>
              <w:spacing w:line="0" w:lineRule="atLeas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②预算内容与项目内容是否匹配；</w:t>
            </w:r>
          </w:p>
          <w:p>
            <w:pPr>
              <w:widowControl/>
              <w:spacing w:line="0" w:lineRule="atLeas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③预算额度测算依据是否充分，是否按照标准编制；</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④预算确定的项目投资额或资金量是否与工作任务相匹配。</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32"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资金分配</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评价要点：</w:t>
            </w:r>
          </w:p>
          <w:p>
            <w:pPr>
              <w:widowControl/>
              <w:spacing w:line="0" w:lineRule="atLeas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①预算资金分配依据是否充分；</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②资金分配额度是否合理，与项目单位或地方实际是否相适应。</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32" w:type="dxa"/>
            <w:vMerge w:val="restart"/>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p>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过程</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764"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实际到位资金与预算资金的比率，用以反映和考核资金落实情况对项目实施的总体保障程度。</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资金到位率=（实际到位资金/预算资金）×100%。</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预算资金：一定时期（本年度或项目期）内预算安排到具体项目的资金。</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项目预算资金是否按照计划执行，用以反映或考核项目预算执行情况。</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预算执行率=（实际支出资金/实际到位资金）×100%。</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实际支出资金：一定时期（本年度或项目期）内项目实际拨付的资金。</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eastAsia" w:eastAsia="仿宋_GB2312" w:cs="Times New Roman"/>
                <w:b/>
                <w:bCs/>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资金使用</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合规性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项目资金使用是否符合相关的财务管理制度规定，用以反映和考核项目资金的规范运行情况。</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评价要点：</w:t>
            </w:r>
          </w:p>
          <w:p>
            <w:pPr>
              <w:widowControl/>
              <w:spacing w:line="0" w:lineRule="atLeas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①是否符合国家财经法规和财务管理制度以及有关专项资金管理办法的规定；</w:t>
            </w:r>
          </w:p>
          <w:p>
            <w:pPr>
              <w:widowControl/>
              <w:spacing w:line="0" w:lineRule="atLeas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②资金的拨付是否有完整的审批程序和手续；</w:t>
            </w:r>
          </w:p>
          <w:p>
            <w:pPr>
              <w:widowControl/>
              <w:spacing w:line="0" w:lineRule="atLeas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③是否符合项目预算批复或合同规定的用途；</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④是否存在截留、挤占、挪用、虚列支出等情况。</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组织实施</w:t>
            </w:r>
          </w:p>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管理制度</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健全性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项目实施单位的财务和业务管理制度是否健全，用以反映和考核财务和业务管理制度对项目顺利实施的保障情况。</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评价要点：</w:t>
            </w:r>
          </w:p>
          <w:p>
            <w:pPr>
              <w:widowControl/>
              <w:spacing w:line="0" w:lineRule="atLeas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①是否已制定或具有相应的财务和业务管理制度；</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②财务和业务管理制度是否合法、合规、完整。</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32"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制度执行</w:t>
            </w:r>
          </w:p>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有效性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项目实施是否符合相关管理规定，用以反映和考核相关管理制度的有效执行情况。</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评价要点：</w:t>
            </w:r>
          </w:p>
          <w:p>
            <w:pPr>
              <w:widowControl/>
              <w:spacing w:line="0" w:lineRule="atLeas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①是否遵守相关法律法规和相关管理规定；</w:t>
            </w:r>
          </w:p>
          <w:p>
            <w:pPr>
              <w:widowControl/>
              <w:spacing w:line="0" w:lineRule="atLeas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②项目调整及支出调整手续是否完备；</w:t>
            </w:r>
          </w:p>
          <w:p>
            <w:pPr>
              <w:widowControl/>
              <w:spacing w:line="0" w:lineRule="atLeas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③项目合同书、验收报告、技术鉴定等资料是否齐全并及时归档；</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④项目实施的人员条件、场地设备、信息支撑等是否落实到位。</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32"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w:t>
            </w:r>
          </w:p>
        </w:tc>
        <w:tc>
          <w:tcPr>
            <w:tcW w:w="764"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产出数量</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项目实施的实际产出数与计划产出数的比率，用以反映和考核项目产出数量目标的实现程度。</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实际完成率=（实际产出数/计划产出数）×100%。</w:t>
            </w:r>
          </w:p>
          <w:p>
            <w:pPr>
              <w:widowControl/>
              <w:spacing w:line="0" w:lineRule="atLeas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实际产出数：一定时期（本年度或项目期）内项目实际产出的产品或提供的服务数量。</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计划产出数：项目绩效目标确定的在一定时期（本年度或项目期）内计划产出的产品或提供的服务数量。</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32"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产出质量</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项目完成的质量达标产出数与实际产出数的比率，用以反映和考核项目产出质量目标的实现程度。</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质量达标率=（质量达标产出数/实际产出数）×100%。</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32" w:type="dxa"/>
            <w:vMerge w:val="continue"/>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产出时效</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完成及时性</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项目实际完成时间与计划完成时间的比较，用以反映和考核项目产出时效目标的实现程度。</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实际完成时间：项目实施单位完成该项目实际所耗用的时间。</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计划完成时间：按照项目实施计划或相关规定完成该项目所需的时间。</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产出成本</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成本节约率</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完成项目计划工作目标的实际节约成本与计划成本的比率，用以反映和考核项目的成本节约程度。</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lang w:val="en-US"/>
              </w:rPr>
            </w:pPr>
          </w:p>
          <w:p>
            <w:pPr>
              <w:widowControl/>
              <w:spacing w:line="0" w:lineRule="atLeas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成本节约率=[（计划成本-实际成本）/计划成本]×100%。</w:t>
            </w:r>
          </w:p>
          <w:p>
            <w:pPr>
              <w:widowControl/>
              <w:spacing w:line="0" w:lineRule="atLeast"/>
              <w:rPr>
                <w:rFonts w:hint="default" w:ascii="Times New Roman" w:hAnsi="Times New Roman" w:eastAsia="仿宋_GB2312" w:cs="Times New Roman"/>
                <w:color w:val="000000"/>
                <w:kern w:val="0"/>
                <w:sz w:val="22"/>
                <w:szCs w:val="22"/>
                <w:lang w:val="en-US"/>
              </w:rPr>
            </w:pPr>
            <w:r>
              <w:rPr>
                <w:rFonts w:hint="default" w:ascii="Times New Roman" w:hAnsi="Times New Roman" w:eastAsia="仿宋_GB2312" w:cs="Times New Roman"/>
                <w:color w:val="000000"/>
                <w:kern w:val="0"/>
                <w:sz w:val="22"/>
                <w:szCs w:val="22"/>
              </w:rPr>
              <w:t>实际成本：项目实施单位如期、保质、保量完成既定工作目标实际所耗费的支出。</w:t>
            </w:r>
          </w:p>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计划成本：项目实施单位为完成工作目标计划安排的支出，一般以项目预算为参考。</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32"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效益　</w:t>
            </w:r>
          </w:p>
        </w:tc>
        <w:tc>
          <w:tcPr>
            <w:tcW w:w="764" w:type="dxa"/>
            <w:vMerge w:val="restart"/>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项目效益　</w:t>
            </w: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实施效益</w:t>
            </w:r>
          </w:p>
        </w:tc>
        <w:tc>
          <w:tcPr>
            <w:tcW w:w="2353" w:type="dxa"/>
            <w:shd w:val="clear" w:color="auto" w:fill="auto"/>
            <w:vAlign w:val="center"/>
          </w:tcPr>
          <w:p>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项目实施所产生的效益。</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项目实施所产生的社会效益、经济效益、生态效益、可持续影响等。可根据项目实际情况有选择地设置和细化。</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32"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auto"/>
            <w:vAlign w:val="center"/>
          </w:tcPr>
          <w:p>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满意度</w:t>
            </w:r>
          </w:p>
        </w:tc>
        <w:tc>
          <w:tcPr>
            <w:tcW w:w="2353"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社会公众或服务对象对项目实施效果的满意程度。</w:t>
            </w:r>
          </w:p>
        </w:tc>
        <w:tc>
          <w:tcPr>
            <w:tcW w:w="5198" w:type="dxa"/>
            <w:shd w:val="clear" w:color="auto" w:fill="auto"/>
            <w:vAlign w:val="center"/>
          </w:tcPr>
          <w:p>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社会公众或服务对象是指因该项目实施而受到影响的部门（单位）、群体或个人。一般采取社会调查的方式。</w:t>
            </w:r>
          </w:p>
        </w:tc>
        <w:tc>
          <w:tcPr>
            <w:tcW w:w="1300"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auto"/>
            <w:vAlign w:val="center"/>
          </w:tcPr>
          <w:p>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bl>
    <w:p>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B276880-AEC8-4F7D-B2DB-C604E61CDAA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20F4620A-7D6B-4FAF-A553-17736E887D21}"/>
  </w:font>
  <w:font w:name="华文中宋">
    <w:panose1 w:val="02010600040101010101"/>
    <w:charset w:val="86"/>
    <w:family w:val="auto"/>
    <w:pitch w:val="default"/>
    <w:sig w:usb0="00000000" w:usb1="00000000" w:usb2="00000000" w:usb3="00000000" w:csb0="00000000" w:csb1="00000000"/>
    <w:embedRegular r:id="rId3" w:fontKey="{7BD06906-8264-4ACE-9BE1-ED28F64E61B8}"/>
  </w:font>
  <w:font w:name="方正楷体_GB2312">
    <w:altName w:val="楷体_GB2312"/>
    <w:panose1 w:val="02000000000000000000"/>
    <w:charset w:val="86"/>
    <w:family w:val="auto"/>
    <w:pitch w:val="default"/>
    <w:sig w:usb0="00000000" w:usb1="00000000" w:usb2="00000000" w:usb3="00000000" w:csb0="00000000" w:csb1="00000000"/>
    <w:embedRegular r:id="rId4" w:fontKey="{51A12482-E1BC-4F4F-A9E1-84121F77EE2D}"/>
  </w:font>
  <w:font w:name="楷体_GB2312">
    <w:panose1 w:val="02010609030101010101"/>
    <w:charset w:val="86"/>
    <w:family w:val="auto"/>
    <w:pitch w:val="default"/>
    <w:sig w:usb0="00000000" w:usb1="00000000" w:usb2="00000000" w:usb3="00000000" w:csb0="00000000" w:csb1="00000000"/>
    <w:embedRegular r:id="rId5" w:fontKey="{07C51392-DEDC-4F23-B712-B5AAE46B68D6}"/>
  </w:font>
  <w:font w:name="方正仿宋_GBK">
    <w:panose1 w:val="03000509000000000000"/>
    <w:charset w:val="86"/>
    <w:family w:val="auto"/>
    <w:pitch w:val="default"/>
    <w:sig w:usb0="00000000" w:usb1="00000000" w:usb2="00000000" w:usb3="00000000" w:csb0="00000000" w:csb1="00000000"/>
    <w:embedRegular r:id="rId6" w:fontKey="{CD476C17-024C-4F50-A076-B995084E9AF0}"/>
  </w:font>
  <w:font w:name="楷体">
    <w:panose1 w:val="02010609060101010101"/>
    <w:charset w:val="86"/>
    <w:family w:val="auto"/>
    <w:pitch w:val="default"/>
    <w:sig w:usb0="800002BF" w:usb1="38CF7CFA" w:usb2="00000016" w:usb3="00000000" w:csb0="00040001" w:csb1="00000000"/>
    <w:embedRegular r:id="rId7" w:fontKey="{30D47EF1-B24C-402F-9BCC-EDF896F88383}"/>
  </w:font>
  <w:font w:name="华文楷体">
    <w:panose1 w:val="02010600040101010101"/>
    <w:charset w:val="86"/>
    <w:family w:val="auto"/>
    <w:pitch w:val="default"/>
    <w:sig w:usb0="00000000" w:usb1="00000000" w:usb2="00000000" w:usb3="00000000" w:csb0="00000000" w:csb1="00000000"/>
    <w:embedRegular r:id="rId8" w:fontKey="{18F729FF-DF78-4DF5-AE54-4D96A585E0D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08B698"/>
    <w:multiLevelType w:val="singleLevel"/>
    <w:tmpl w:val="A308B698"/>
    <w:lvl w:ilvl="0" w:tentative="0">
      <w:start w:val="2"/>
      <w:numFmt w:val="decimal"/>
      <w:suff w:val="nothing"/>
      <w:lvlText w:val="（%1）"/>
      <w:lvlJc w:val="left"/>
      <w:pPr>
        <w:ind w:left="642" w:leftChars="0" w:firstLine="0" w:firstLineChars="0"/>
      </w:p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F3B5AAF3"/>
    <w:multiLevelType w:val="singleLevel"/>
    <w:tmpl w:val="F3B5AAF3"/>
    <w:lvl w:ilvl="0" w:tentative="0">
      <w:start w:val="1"/>
      <w:numFmt w:val="decimal"/>
      <w:lvlText w:val="%1."/>
      <w:lvlJc w:val="left"/>
      <w:pPr>
        <w:tabs>
          <w:tab w:val="left" w:pos="312"/>
        </w:tabs>
      </w:p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4A35B86"/>
    <w:multiLevelType w:val="singleLevel"/>
    <w:tmpl w:val="24A35B86"/>
    <w:lvl w:ilvl="0" w:tentative="0">
      <w:start w:val="6"/>
      <w:numFmt w:val="chineseCounting"/>
      <w:suff w:val="nothing"/>
      <w:lvlText w:val="%1、"/>
      <w:lvlJc w:val="left"/>
      <w:rPr>
        <w:rFonts w:hint="eastAsia"/>
      </w:rPr>
    </w:lvl>
  </w:abstractNum>
  <w:abstractNum w:abstractNumId="5">
    <w:nsid w:val="27813159"/>
    <w:multiLevelType w:val="singleLevel"/>
    <w:tmpl w:val="27813159"/>
    <w:lvl w:ilvl="0" w:tentative="0">
      <w:start w:val="3"/>
      <w:numFmt w:val="chineseCounting"/>
      <w:suff w:val="nothing"/>
      <w:lvlText w:val="（%1）"/>
      <w:lvlJc w:val="left"/>
      <w:rPr>
        <w:rFonts w:hint="eastAsia"/>
      </w:rPr>
    </w:lvl>
  </w:abstractNum>
  <w:abstractNum w:abstractNumId="6">
    <w:nsid w:val="42DF644C"/>
    <w:multiLevelType w:val="singleLevel"/>
    <w:tmpl w:val="42DF644C"/>
    <w:lvl w:ilvl="0" w:tentative="0">
      <w:start w:val="4"/>
      <w:numFmt w:val="decimal"/>
      <w:lvlText w:val="%1."/>
      <w:lvlJc w:val="left"/>
      <w:pPr>
        <w:tabs>
          <w:tab w:val="left" w:pos="312"/>
        </w:tabs>
      </w:pPr>
    </w:lvl>
  </w:abstractNum>
  <w:abstractNum w:abstractNumId="7">
    <w:nsid w:val="53C532CA"/>
    <w:multiLevelType w:val="singleLevel"/>
    <w:tmpl w:val="53C532CA"/>
    <w:lvl w:ilvl="0" w:tentative="0">
      <w:start w:val="2"/>
      <w:numFmt w:val="chineseCounting"/>
      <w:suff w:val="nothing"/>
      <w:lvlText w:val="（%1）"/>
      <w:lvlJc w:val="left"/>
      <w:rPr>
        <w:rFonts w:hint="eastAsia"/>
      </w:rPr>
    </w:lvl>
  </w:abstractNum>
  <w:abstractNum w:abstractNumId="8">
    <w:nsid w:val="6FAA0AB1"/>
    <w:multiLevelType w:val="singleLevel"/>
    <w:tmpl w:val="6FAA0AB1"/>
    <w:lvl w:ilvl="0" w:tentative="0">
      <w:start w:val="2"/>
      <w:numFmt w:val="chineseCounting"/>
      <w:suff w:val="nothing"/>
      <w:lvlText w:val="（%1）"/>
      <w:lvlJc w:val="left"/>
      <w:pPr>
        <w:ind w:left="197"/>
      </w:pPr>
      <w:rPr>
        <w:rFonts w:hint="eastAsia"/>
      </w:rPr>
    </w:lvl>
  </w:abstractNum>
  <w:num w:numId="1">
    <w:abstractNumId w:val="0"/>
  </w:num>
  <w:num w:numId="2">
    <w:abstractNumId w:val="6"/>
  </w:num>
  <w:num w:numId="3">
    <w:abstractNumId w:val="1"/>
  </w:num>
  <w:num w:numId="4">
    <w:abstractNumId w:val="5"/>
  </w:num>
  <w:num w:numId="5">
    <w:abstractNumId w:val="3"/>
  </w:num>
  <w:num w:numId="6">
    <w:abstractNumId w:val="8"/>
  </w:num>
  <w:num w:numId="7">
    <w:abstractNumId w:val="7"/>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zYTUzZWU5NjcwMTQwY2YwMDczOTAyZDAxNWRiMzEifQ=="/>
  </w:docVars>
  <w:rsids>
    <w:rsidRoot w:val="FF6C4049"/>
    <w:rsid w:val="006F7242"/>
    <w:rsid w:val="007B168A"/>
    <w:rsid w:val="008B2CFE"/>
    <w:rsid w:val="00F26FF6"/>
    <w:rsid w:val="035B79ED"/>
    <w:rsid w:val="03BE185C"/>
    <w:rsid w:val="044F211D"/>
    <w:rsid w:val="048C0C43"/>
    <w:rsid w:val="05EE6153"/>
    <w:rsid w:val="07397B77"/>
    <w:rsid w:val="077F5C9F"/>
    <w:rsid w:val="0C827F3B"/>
    <w:rsid w:val="0CA75583"/>
    <w:rsid w:val="0D583D89"/>
    <w:rsid w:val="13471461"/>
    <w:rsid w:val="13B90F01"/>
    <w:rsid w:val="15AB7F05"/>
    <w:rsid w:val="17677360"/>
    <w:rsid w:val="181066D2"/>
    <w:rsid w:val="1C671E73"/>
    <w:rsid w:val="1D7B6F49"/>
    <w:rsid w:val="22077663"/>
    <w:rsid w:val="24520F91"/>
    <w:rsid w:val="274F0D9D"/>
    <w:rsid w:val="28550131"/>
    <w:rsid w:val="2B3C59F2"/>
    <w:rsid w:val="2D196997"/>
    <w:rsid w:val="32FD564D"/>
    <w:rsid w:val="38CA40DD"/>
    <w:rsid w:val="395F2B56"/>
    <w:rsid w:val="3BECE841"/>
    <w:rsid w:val="3D2144EF"/>
    <w:rsid w:val="3DE77067"/>
    <w:rsid w:val="3E3609B7"/>
    <w:rsid w:val="3FF7797D"/>
    <w:rsid w:val="41891B15"/>
    <w:rsid w:val="430724DD"/>
    <w:rsid w:val="447B120C"/>
    <w:rsid w:val="459C452E"/>
    <w:rsid w:val="46303F81"/>
    <w:rsid w:val="4A185268"/>
    <w:rsid w:val="4D9F185B"/>
    <w:rsid w:val="55A22247"/>
    <w:rsid w:val="5A3410A5"/>
    <w:rsid w:val="5BFF6039"/>
    <w:rsid w:val="5C5D07B1"/>
    <w:rsid w:val="5CEC7901"/>
    <w:rsid w:val="5D435C2E"/>
    <w:rsid w:val="5D57308C"/>
    <w:rsid w:val="5D76A616"/>
    <w:rsid w:val="5D7F20B9"/>
    <w:rsid w:val="5DAC7D0E"/>
    <w:rsid w:val="5F8623A3"/>
    <w:rsid w:val="5F98B5AF"/>
    <w:rsid w:val="5FFE8511"/>
    <w:rsid w:val="5FFEACE2"/>
    <w:rsid w:val="643EE26D"/>
    <w:rsid w:val="651B5F9F"/>
    <w:rsid w:val="674659B4"/>
    <w:rsid w:val="6F5C41AC"/>
    <w:rsid w:val="6FAF6C78"/>
    <w:rsid w:val="7053007F"/>
    <w:rsid w:val="709B5583"/>
    <w:rsid w:val="731725BB"/>
    <w:rsid w:val="7317C656"/>
    <w:rsid w:val="734ED73F"/>
    <w:rsid w:val="743D252B"/>
    <w:rsid w:val="772B5869"/>
    <w:rsid w:val="77FD8BE9"/>
    <w:rsid w:val="794373D8"/>
    <w:rsid w:val="79A9BD3F"/>
    <w:rsid w:val="7A782DAB"/>
    <w:rsid w:val="7ADE2B92"/>
    <w:rsid w:val="7BFFFDD0"/>
    <w:rsid w:val="7C336E5F"/>
    <w:rsid w:val="7D4F6073"/>
    <w:rsid w:val="7D7A5F86"/>
    <w:rsid w:val="7F37BB4E"/>
    <w:rsid w:val="7F563851"/>
    <w:rsid w:val="7F81307A"/>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5">
    <w:name w:val="annotation text"/>
    <w:basedOn w:val="1"/>
    <w:link w:val="23"/>
    <w:qFormat/>
    <w:uiPriority w:val="0"/>
    <w:pPr>
      <w:jc w:val="left"/>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Subtitle"/>
    <w:basedOn w:val="1"/>
    <w:next w:val="1"/>
    <w:qFormat/>
    <w:uiPriority w:val="11"/>
    <w:pPr>
      <w:spacing w:before="240" w:after="60" w:line="312" w:lineRule="auto"/>
      <w:jc w:val="center"/>
      <w:outlineLvl w:val="1"/>
    </w:pPr>
    <w:rPr>
      <w:b/>
      <w:bCs/>
      <w:kern w:val="28"/>
      <w:sz w:val="32"/>
      <w:szCs w:val="32"/>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subject"/>
    <w:basedOn w:val="5"/>
    <w:next w:val="5"/>
    <w:link w:val="24"/>
    <w:qFormat/>
    <w:uiPriority w:val="0"/>
    <w:rPr>
      <w:b/>
      <w:bCs/>
    </w:rPr>
  </w:style>
  <w:style w:type="paragraph" w:styleId="13">
    <w:name w:val="Body Text First Indent"/>
    <w:basedOn w:val="2"/>
    <w:qFormat/>
    <w:uiPriority w:val="0"/>
    <w:pPr>
      <w:spacing w:after="0"/>
      <w:ind w:firstLine="200" w:firstLineChars="200"/>
    </w:pPr>
  </w:style>
  <w:style w:type="paragraph" w:styleId="14">
    <w:name w:val="Body Text First Indent 2"/>
    <w:basedOn w:val="6"/>
    <w:qFormat/>
    <w:uiPriority w:val="0"/>
    <w:pPr>
      <w:ind w:firstLine="42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7"/>
    <w:qFormat/>
    <w:uiPriority w:val="0"/>
    <w:rPr>
      <w:rFonts w:ascii="Times New Roman" w:hAnsi="Times New Roman" w:eastAsia="宋体" w:cs="Times New Roman"/>
      <w:kern w:val="2"/>
      <w:sz w:val="18"/>
      <w:szCs w:val="18"/>
    </w:rPr>
  </w:style>
  <w:style w:type="character" w:customStyle="1" w:styleId="22">
    <w:name w:val="页眉 字符"/>
    <w:basedOn w:val="16"/>
    <w:link w:val="9"/>
    <w:qFormat/>
    <w:uiPriority w:val="0"/>
    <w:rPr>
      <w:rFonts w:ascii="Times New Roman" w:hAnsi="Times New Roman" w:eastAsia="宋体" w:cs="Times New Roman"/>
      <w:kern w:val="2"/>
      <w:sz w:val="18"/>
      <w:szCs w:val="18"/>
    </w:rPr>
  </w:style>
  <w:style w:type="character" w:customStyle="1" w:styleId="23">
    <w:name w:val="批注文字 字符"/>
    <w:basedOn w:val="16"/>
    <w:link w:val="5"/>
    <w:qFormat/>
    <w:uiPriority w:val="0"/>
    <w:rPr>
      <w:rFonts w:ascii="Times New Roman" w:hAnsi="Times New Roman" w:eastAsia="宋体" w:cs="Times New Roman"/>
      <w:kern w:val="2"/>
      <w:sz w:val="21"/>
      <w:szCs w:val="24"/>
    </w:rPr>
  </w:style>
  <w:style w:type="character" w:customStyle="1" w:styleId="24">
    <w:name w:val="批注主题 字符"/>
    <w:basedOn w:val="23"/>
    <w:link w:val="12"/>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8588</Words>
  <Characters>8892</Characters>
  <Lines>58</Lines>
  <Paragraphs>16</Paragraphs>
  <TotalTime>0</TotalTime>
  <ScaleCrop>false</ScaleCrop>
  <LinksUpToDate>false</LinksUpToDate>
  <CharactersWithSpaces>8919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2024-09-25T03:37:51Z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65510CEBA87341CDB66E49D2CD0AB59B_13</vt:lpwstr>
  </property>
  <property fmtid="{D5CDD505-2E9C-101B-9397-08002B2CF9AE}" pid="4" name="KSOTemplateDocerSaveRecord">
    <vt:lpwstr>eyJoZGlkIjoiNWI0YTUzNTU0NmJlNTgyMTIxZTc5MTNiOWU1NmZjZWYiLCJ1c2VySWQiOiI0NTM2OTY5ODEifQ==</vt:lpwstr>
  </property>
</Properties>
</file>