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新疆铁道</w:t>
      </w:r>
      <w:bookmarkStart w:id="8" w:name="_GoBack"/>
      <w:bookmarkEnd w:id="8"/>
      <w:r>
        <w:rPr>
          <w:rFonts w:hint="eastAsia" w:eastAsia="方正小标宋_GBK"/>
          <w:kern w:val="0"/>
          <w:sz w:val="48"/>
          <w:szCs w:val="48"/>
          <w:lang w:val="en-US" w:eastAsia="zh-CN"/>
        </w:rPr>
        <w:t>职业技术学院哈密新校区一期建设</w:t>
      </w:r>
      <w:r>
        <w:rPr>
          <w:rFonts w:eastAsia="方正小标宋_GBK"/>
          <w:kern w:val="0"/>
          <w:sz w:val="48"/>
          <w:szCs w:val="48"/>
        </w:rPr>
        <w:t>项目</w:t>
      </w:r>
      <w:r>
        <w:rPr>
          <w:rFonts w:hint="eastAsia" w:eastAsia="方正小标宋_GBK"/>
          <w:kern w:val="0"/>
          <w:sz w:val="48"/>
          <w:szCs w:val="48"/>
          <w:lang w:val="en-US" w:eastAsia="zh-CN"/>
        </w:rPr>
        <w:t>前期费项目</w:t>
      </w:r>
      <w:r>
        <w:rPr>
          <w:rFonts w:eastAsia="方正小标宋_GBK"/>
          <w:kern w:val="0"/>
          <w:sz w:val="48"/>
          <w:szCs w:val="48"/>
        </w:rPr>
        <w:t>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0"/>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left="3236" w:leftChars="684" w:hanging="1800" w:hangingChars="500"/>
        <w:jc w:val="left"/>
        <w:rPr>
          <w:rFonts w:hint="default"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lang w:val="en-US" w:eastAsia="zh-CN"/>
        </w:rPr>
        <w:t>新疆铁道职业技术学院哈密新校区一期建设项目前期费</w:t>
      </w: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哈密市教育局</w:t>
      </w: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主管部门（公章）：</w:t>
      </w:r>
      <w:r>
        <w:rPr>
          <w:rFonts w:hint="eastAsia" w:eastAsia="仿宋_GB2312"/>
          <w:kern w:val="0"/>
          <w:sz w:val="36"/>
          <w:szCs w:val="36"/>
          <w:lang w:val="en-US" w:eastAsia="zh-CN"/>
        </w:rPr>
        <w:t>哈密市教育局</w:t>
      </w:r>
    </w:p>
    <w:p>
      <w:pPr>
        <w:spacing w:line="700" w:lineRule="exact"/>
        <w:ind w:firstLine="1440" w:firstLineChars="400"/>
        <w:jc w:val="left"/>
        <w:rPr>
          <w:rFonts w:hint="eastAsia"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王建兵</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29</w:t>
      </w:r>
      <w:r>
        <w:rPr>
          <w:rFonts w:eastAsia="仿宋_GB2312"/>
          <w:kern w:val="0"/>
          <w:sz w:val="36"/>
          <w:szCs w:val="36"/>
        </w:rPr>
        <w:t>日</w:t>
      </w:r>
    </w:p>
    <w:p>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highlight w:val="none"/>
        </w:rPr>
      </w:pPr>
      <w:r>
        <w:rPr>
          <w:rFonts w:eastAsia="仿宋_GB2312"/>
          <w:b/>
          <w:bCs/>
          <w:sz w:val="32"/>
          <w:szCs w:val="32"/>
          <w:highlight w:val="none"/>
        </w:rPr>
        <w:t>1、项目背景</w:t>
      </w:r>
    </w:p>
    <w:p>
      <w:pPr>
        <w:pageBreakBefore w:val="0"/>
        <w:kinsoku/>
        <w:wordWrap/>
        <w:overflowPunct/>
        <w:topLinePunct w:val="0"/>
        <w:autoSpaceDE/>
        <w:autoSpaceDN/>
        <w:bidi w:val="0"/>
        <w:adjustRightInd/>
        <w:snapToGrid/>
        <w:spacing w:line="600" w:lineRule="exact"/>
        <w:ind w:firstLine="640" w:firstLineChars="200"/>
        <w:textAlignment w:val="auto"/>
        <w:outlineLvl w:val="0"/>
        <w:rPr>
          <w:sz w:val="32"/>
          <w:szCs w:val="32"/>
          <w:highlight w:val="none"/>
        </w:rPr>
      </w:pPr>
      <w:r>
        <w:rPr>
          <w:rFonts w:hint="eastAsia" w:ascii="仿宋_GB2312" w:hAnsi="仿宋_GB2312" w:eastAsia="仿宋_GB2312" w:cs="仿宋_GB2312"/>
          <w:sz w:val="32"/>
          <w:szCs w:val="32"/>
          <w:highlight w:val="none"/>
          <w:lang w:val="en-US" w:eastAsia="zh-CN"/>
        </w:rPr>
        <w:t>为认真贯彻落实党的十九大及历次会议精神，贯彻落实《国家职业教育改革实施方案》（国发〔</w:t>
      </w:r>
      <w:r>
        <w:rPr>
          <w:rFonts w:hint="default" w:ascii="Times New Roman" w:hAnsi="Times New Roman" w:eastAsia="仿宋_GB2312" w:cs="Times New Roman"/>
          <w:sz w:val="32"/>
          <w:szCs w:val="32"/>
          <w:highlight w:val="none"/>
          <w:lang w:val="en-US" w:eastAsia="zh-CN"/>
        </w:rPr>
        <w:t>2019</w:t>
      </w: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lang w:val="en-US" w:eastAsia="zh-CN"/>
        </w:rPr>
        <w:t xml:space="preserve">号）文件精神，推动具备条件的普通本科高校向应用型转变。推行产教融合、校企合作的应用型人才和技术技能人才培养模式，促进教师和企业技术人才双向交流。推动专业设置、课程内容、教学方式与生产实践对接”相关要求，经市委、市政府研究决定，于2020年启动实施新疆铁道职业技术学院哈密新校区建设项目。项目的实施是新疆丝绸之路经济带建设的重要组成部分，是创新培养模式、探索课程改革、培养实践能力、搭建创新平台、办出专业特色的重要保证。项目竣工投用后，将为区内外提供大量经过专业培训的应用型铁道技能技术人才，为促进经济高质量发展提供人才和智力支持。 </w:t>
      </w:r>
    </w:p>
    <w:p>
      <w:pPr>
        <w:pStyle w:val="10"/>
        <w:numPr>
          <w:ilvl w:val="0"/>
          <w:numId w:val="1"/>
        </w:numPr>
        <w:spacing w:before="0" w:after="0" w:line="560" w:lineRule="exact"/>
        <w:ind w:firstLine="643" w:firstLineChars="200"/>
        <w:jc w:val="both"/>
        <w:rPr>
          <w:rFonts w:ascii="Times New Roman" w:hAnsi="Times New Roman" w:eastAsia="仿宋_GB2312"/>
          <w:kern w:val="2"/>
          <w:sz w:val="32"/>
          <w:szCs w:val="32"/>
          <w:highlight w:val="none"/>
        </w:rPr>
      </w:pPr>
      <w:r>
        <w:rPr>
          <w:rFonts w:ascii="Times New Roman" w:hAnsi="Times New Roman" w:eastAsia="仿宋_GB2312"/>
          <w:kern w:val="2"/>
          <w:sz w:val="32"/>
          <w:szCs w:val="32"/>
          <w:highlight w:val="none"/>
        </w:rPr>
        <w:t>项目主要内容：</w:t>
      </w:r>
    </w:p>
    <w:p>
      <w:pPr>
        <w:pageBreakBefore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sz w:val="32"/>
          <w:szCs w:val="32"/>
          <w:highlight w:val="none"/>
          <w:lang w:val="en-US" w:eastAsia="zh-CN"/>
        </w:rPr>
        <w:t>项目主要内容：</w:t>
      </w:r>
      <w:r>
        <w:rPr>
          <w:rFonts w:hint="default" w:ascii="Times New Roman" w:hAnsi="Times New Roman" w:eastAsia="仿宋_GB2312" w:cs="Times New Roman"/>
          <w:sz w:val="32"/>
          <w:szCs w:val="32"/>
          <w:highlight w:val="none"/>
          <w:lang w:eastAsia="zh-CN"/>
        </w:rPr>
        <w:t>哈密市教育局申请新疆铁道职业技术学院哈密校区一期建设项目前期费</w:t>
      </w:r>
      <w:r>
        <w:rPr>
          <w:rFonts w:hint="default" w:ascii="Times New Roman" w:hAnsi="Times New Roman" w:eastAsia="仿宋_GB2312" w:cs="Times New Roman"/>
          <w:sz w:val="32"/>
          <w:szCs w:val="32"/>
          <w:highlight w:val="none"/>
          <w:lang w:val="en-US" w:eastAsia="zh-CN"/>
        </w:rPr>
        <w:t>647.27万元，</w:t>
      </w:r>
      <w:r>
        <w:rPr>
          <w:rFonts w:hint="default" w:ascii="Times New Roman" w:hAnsi="Times New Roman" w:eastAsia="仿宋_GB2312" w:cs="Times New Roman"/>
          <w:color w:val="auto"/>
          <w:sz w:val="32"/>
          <w:szCs w:val="32"/>
          <w:highlight w:val="none"/>
          <w:lang w:val="en-US" w:eastAsia="zh-CN"/>
        </w:rPr>
        <w:t>用于支付</w:t>
      </w:r>
      <w:r>
        <w:rPr>
          <w:rFonts w:hint="default" w:ascii="Times New Roman" w:hAnsi="Times New Roman" w:eastAsia="仿宋_GB2312" w:cs="Times New Roman"/>
          <w:b w:val="0"/>
          <w:bCs w:val="0"/>
          <w:color w:val="auto"/>
          <w:kern w:val="2"/>
          <w:sz w:val="32"/>
          <w:szCs w:val="32"/>
          <w:highlight w:val="none"/>
          <w:lang w:val="en-US" w:eastAsia="zh-CN" w:bidi="ar-SA"/>
        </w:rPr>
        <w:t>新疆建设设计研究院规划设计费486.02万元</w:t>
      </w:r>
      <w:r>
        <w:rPr>
          <w:rFonts w:hint="default" w:ascii="Times New Roman" w:hAnsi="Times New Roman" w:eastAsia="仿宋_GB2312" w:cs="Times New Roman"/>
          <w:color w:val="auto"/>
          <w:sz w:val="32"/>
          <w:szCs w:val="32"/>
          <w:highlight w:val="none"/>
          <w:lang w:val="en-US" w:eastAsia="zh-CN"/>
        </w:rPr>
        <w:t>，工程项目监理费</w:t>
      </w:r>
      <w:r>
        <w:rPr>
          <w:rFonts w:hint="default" w:ascii="Times New Roman" w:hAnsi="Times New Roman" w:eastAsia="仿宋_GB2312" w:cs="Times New Roman"/>
          <w:b w:val="0"/>
          <w:bCs w:val="0"/>
          <w:color w:val="auto"/>
          <w:kern w:val="2"/>
          <w:sz w:val="32"/>
          <w:szCs w:val="32"/>
          <w:highlight w:val="none"/>
          <w:lang w:val="en-US" w:eastAsia="zh-CN" w:bidi="ar-SA"/>
        </w:rPr>
        <w:t>16.5万元</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支付广东建设工程监理有限公司新疆哈密分公司49.5万元，支付哈密建院建设工程监理有限公司55万元，合计支付监理单位监理费72.85万元。支付哈密盛鼎工程检测中心有限公司建筑材料检测费2.04万元。支付新华远景工程造价有限公司工程造价咨询费</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造价费3.49万元，支付铁职院围墙、大门、前庭广场造价费3万元。支付新疆银开电力工程有限责任公司质保金1.07万元。支付山东亿赛工程检测有限公司检测费3.84万元，铁职院暖气管道无损检查费8.96万元。</w:t>
      </w:r>
    </w:p>
    <w:p>
      <w:pPr>
        <w:pageBreakBefore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cs="Times New Roman"/>
          <w:color w:val="auto"/>
          <w:sz w:val="32"/>
          <w:szCs w:val="32"/>
          <w:highlight w:val="none"/>
        </w:rPr>
      </w:pPr>
      <w:r>
        <w:rPr>
          <w:rFonts w:hint="default" w:ascii="Times New Roman" w:hAnsi="Times New Roman" w:eastAsia="仿宋_GB2312" w:cs="Times New Roman"/>
          <w:color w:val="auto"/>
          <w:sz w:val="32"/>
          <w:szCs w:val="32"/>
          <w:highlight w:val="none"/>
        </w:rPr>
        <w:t>项目实施情况：</w:t>
      </w:r>
      <w:r>
        <w:rPr>
          <w:rFonts w:hint="default" w:ascii="Times New Roman" w:hAnsi="Times New Roman" w:eastAsia="仿宋_GB2312" w:cs="Times New Roman"/>
          <w:b w:val="0"/>
          <w:bCs w:val="0"/>
          <w:color w:val="auto"/>
          <w:kern w:val="2"/>
          <w:sz w:val="32"/>
          <w:szCs w:val="32"/>
          <w:highlight w:val="none"/>
          <w:lang w:val="en-US" w:eastAsia="zh-CN" w:bidi="ar-SA"/>
        </w:rPr>
        <w:t>按合同约定，经教育局党组研究同意</w:t>
      </w:r>
      <w:r>
        <w:rPr>
          <w:rFonts w:hint="default" w:ascii="Times New Roman" w:hAnsi="Times New Roman" w:eastAsia="仿宋_GB2312" w:cs="Times New Roman"/>
          <w:color w:val="auto"/>
          <w:sz w:val="32"/>
          <w:szCs w:val="32"/>
          <w:highlight w:val="none"/>
          <w:lang w:val="en-US" w:eastAsia="zh-CN"/>
        </w:rPr>
        <w:t>用于支付</w:t>
      </w:r>
      <w:r>
        <w:rPr>
          <w:rFonts w:hint="default" w:ascii="Times New Roman" w:hAnsi="Times New Roman" w:eastAsia="仿宋_GB2312" w:cs="Times New Roman"/>
          <w:b w:val="0"/>
          <w:bCs w:val="0"/>
          <w:color w:val="auto"/>
          <w:kern w:val="2"/>
          <w:sz w:val="32"/>
          <w:szCs w:val="32"/>
          <w:highlight w:val="none"/>
          <w:lang w:val="en-US" w:eastAsia="zh-CN" w:bidi="ar-SA"/>
        </w:rPr>
        <w:t>新疆建设设计研究院规划设计费486.02万元</w:t>
      </w:r>
      <w:r>
        <w:rPr>
          <w:rFonts w:hint="default" w:ascii="Times New Roman" w:hAnsi="Times New Roman" w:eastAsia="仿宋_GB2312" w:cs="Times New Roman"/>
          <w:color w:val="auto"/>
          <w:sz w:val="32"/>
          <w:szCs w:val="32"/>
          <w:highlight w:val="none"/>
          <w:lang w:val="en-US" w:eastAsia="zh-CN"/>
        </w:rPr>
        <w:t>，工程项目监理费</w:t>
      </w:r>
      <w:r>
        <w:rPr>
          <w:rFonts w:hint="default" w:ascii="Times New Roman" w:hAnsi="Times New Roman" w:eastAsia="仿宋_GB2312" w:cs="Times New Roman"/>
          <w:b w:val="0"/>
          <w:bCs w:val="0"/>
          <w:color w:val="auto"/>
          <w:kern w:val="2"/>
          <w:sz w:val="32"/>
          <w:szCs w:val="32"/>
          <w:highlight w:val="none"/>
          <w:lang w:val="en-US" w:eastAsia="zh-CN" w:bidi="ar-SA"/>
        </w:rPr>
        <w:t>16.5万元</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b w:val="0"/>
          <w:bCs w:val="0"/>
          <w:color w:val="auto"/>
          <w:kern w:val="2"/>
          <w:sz w:val="32"/>
          <w:szCs w:val="32"/>
          <w:highlight w:val="none"/>
          <w:lang w:val="en-US" w:eastAsia="zh-CN" w:bidi="ar-SA"/>
        </w:rPr>
        <w:t>支付广东建设工程监理有限公司新疆哈密分公司49.5万元，支付哈密建院建设工程监理有限公司55万元，合计支付监理单位监理费72.85万元。支付哈密盛鼎工程检测中心有限公司建筑材料检测费2.04万元。支付新华远景工程造价有限公司工程造价咨询费</w:t>
      </w:r>
      <w:r>
        <w:rPr>
          <w:rFonts w:hint="eastAsia"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造价费3.49万元，支付铁职院围墙、大门、前庭广场造价费3万元。支付新疆银开电力工程有限责任公司质保金1.07万元。支付山东亿赛工程检测有限公司检测费3.84万元，铁职院暖气管道无损检查费8.96万元。</w:t>
      </w:r>
    </w:p>
    <w:p>
      <w:pPr>
        <w:spacing w:line="560" w:lineRule="exact"/>
        <w:ind w:firstLine="643" w:firstLineChars="200"/>
        <w:rPr>
          <w:rFonts w:eastAsia="仿宋_GB2312"/>
          <w:b/>
          <w:bCs/>
          <w:sz w:val="32"/>
          <w:szCs w:val="32"/>
          <w:highlight w:val="none"/>
        </w:rPr>
      </w:pPr>
      <w:r>
        <w:rPr>
          <w:rFonts w:eastAsia="仿宋_GB2312"/>
          <w:b/>
          <w:bCs/>
          <w:sz w:val="32"/>
          <w:szCs w:val="32"/>
          <w:highlight w:val="none"/>
        </w:rPr>
        <w:t>3、资金投入和使用情况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w:t>
      </w:r>
      <w:r>
        <w:rPr>
          <w:rFonts w:hint="eastAsia" w:ascii="仿宋_GB2312" w:hAnsi="仿宋_GB2312" w:eastAsia="仿宋_GB2312" w:cs="仿宋_GB2312"/>
          <w:sz w:val="32"/>
          <w:szCs w:val="32"/>
          <w:highlight w:val="none"/>
          <w:lang w:val="en-US" w:eastAsia="zh-CN"/>
        </w:rPr>
        <w:t>）资金投入情况</w:t>
      </w:r>
    </w:p>
    <w:p>
      <w:pPr>
        <w:shd w:val="clear"/>
        <w:spacing w:line="600" w:lineRule="exact"/>
        <w:ind w:firstLine="640" w:firstLineChars="200"/>
        <w:outlineLvl w:val="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该项目年初预算数647.27万元，全年预算数647.27万元，实际总投入647.27万元，该项目资金已全部落实到位，资金来源为哈密市本级财政拨款。</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w:t>
      </w:r>
      <w:r>
        <w:rPr>
          <w:rFonts w:hint="eastAsia" w:ascii="仿宋_GB2312" w:hAnsi="仿宋_GB2312" w:eastAsia="仿宋_GB2312" w:cs="仿宋_GB2312"/>
          <w:sz w:val="32"/>
          <w:szCs w:val="32"/>
          <w:highlight w:val="none"/>
          <w:lang w:val="en-US" w:eastAsia="zh-CN"/>
        </w:rPr>
        <w:t>）资金使用情况</w:t>
      </w:r>
    </w:p>
    <w:p>
      <w:pPr>
        <w:pStyle w:val="9"/>
        <w:pageBreakBefore w:val="0"/>
        <w:kinsoku/>
        <w:wordWrap/>
        <w:overflowPunct/>
        <w:topLinePunct w:val="0"/>
        <w:autoSpaceDE/>
        <w:autoSpaceDN/>
        <w:bidi w:val="0"/>
        <w:adjustRightInd/>
        <w:snapToGrid/>
        <w:spacing w:before="0" w:after="0"/>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该项目年初预算数</w:t>
      </w:r>
      <w:r>
        <w:rPr>
          <w:rFonts w:hint="default" w:ascii="Times New Roman" w:hAnsi="Times New Roman" w:eastAsia="仿宋_GB2312" w:cs="Times New Roman"/>
          <w:b w:val="0"/>
          <w:bCs w:val="0"/>
          <w:kern w:val="2"/>
          <w:sz w:val="32"/>
          <w:szCs w:val="32"/>
          <w:highlight w:val="none"/>
          <w:lang w:val="en-US" w:eastAsia="zh-CN" w:bidi="ar-SA"/>
        </w:rPr>
        <w:t>647.27万元，全年预算数647.27万元,全年执行数647.27万元，预算执行率为100%，主要用于：主要用于项目规划设计费、工程质量检测费、监理费等。最终，哈密市财政局下达项目前期费共计647.27万元。</w:t>
      </w:r>
    </w:p>
    <w:p>
      <w:pPr>
        <w:spacing w:line="560" w:lineRule="exact"/>
        <w:ind w:firstLine="643" w:firstLineChars="200"/>
        <w:rPr>
          <w:rFonts w:eastAsia="楷体_GB2312"/>
          <w:b/>
          <w:bCs/>
          <w:sz w:val="32"/>
          <w:szCs w:val="32"/>
          <w:highlight w:val="none"/>
        </w:rPr>
      </w:pPr>
      <w:r>
        <w:rPr>
          <w:rFonts w:eastAsia="楷体_GB2312"/>
          <w:b/>
          <w:bCs/>
          <w:sz w:val="32"/>
          <w:szCs w:val="32"/>
          <w:highlight w:val="none"/>
        </w:rPr>
        <w:t>（二）项目绩效目标</w:t>
      </w:r>
    </w:p>
    <w:p>
      <w:pPr>
        <w:spacing w:line="560" w:lineRule="exact"/>
        <w:ind w:firstLine="640" w:firstLineChars="200"/>
        <w:rPr>
          <w:rFonts w:eastAsia="仿宋_GB2312"/>
          <w:sz w:val="32"/>
          <w:szCs w:val="32"/>
          <w:highlight w:val="none"/>
        </w:rPr>
      </w:pPr>
      <w:r>
        <w:rPr>
          <w:rFonts w:eastAsia="仿宋_GB2312"/>
          <w:sz w:val="32"/>
          <w:szCs w:val="32"/>
          <w:highlight w:val="none"/>
        </w:rPr>
        <w:t>1、总体目标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sz w:val="32"/>
          <w:szCs w:val="32"/>
          <w:highlight w:val="none"/>
          <w:lang w:val="en-US" w:eastAsia="zh-CN"/>
        </w:rPr>
      </w:pPr>
      <w:r>
        <w:rPr>
          <w:rFonts w:hint="eastAsia" w:ascii="仿宋_GB2312" w:hAnsi="仿宋_GB2312" w:eastAsia="仿宋_GB2312" w:cs="仿宋_GB2312"/>
          <w:sz w:val="32"/>
          <w:szCs w:val="32"/>
          <w:highlight w:val="none"/>
          <w:lang w:val="en-US" w:eastAsia="zh-CN"/>
        </w:rPr>
        <w:t>支付前期费用，确保新疆铁道职业技术学院哈密新校区一期建设项目整体实施进程，确保项目顺利竣工投用，为优化哈密职业教育布局、扩大办学规模、提升职业教育质量、促进地方经济社会高质量发展奠定基础。</w:t>
      </w:r>
    </w:p>
    <w:p>
      <w:pPr>
        <w:spacing w:line="560" w:lineRule="exact"/>
        <w:ind w:firstLine="640" w:firstLineChars="200"/>
        <w:rPr>
          <w:rFonts w:hint="eastAsia" w:ascii="仿宋_GB2312" w:hAnsi="仿宋_GB2312" w:eastAsia="仿宋_GB2312" w:cs="仿宋_GB2312"/>
          <w:color w:val="FF0000"/>
          <w:sz w:val="32"/>
          <w:szCs w:val="32"/>
          <w:highlight w:val="none"/>
          <w:lang w:val="en-US" w:eastAsia="zh-CN"/>
        </w:rPr>
      </w:pPr>
      <w:r>
        <w:rPr>
          <w:rFonts w:eastAsia="仿宋_GB2312"/>
          <w:sz w:val="32"/>
          <w:szCs w:val="32"/>
          <w:highlight w:val="none"/>
        </w:rPr>
        <w:t>2、阶段性目标</w:t>
      </w:r>
    </w:p>
    <w:p>
      <w:pPr>
        <w:pStyle w:val="9"/>
        <w:pageBreakBefore w:val="0"/>
        <w:kinsoku/>
        <w:wordWrap/>
        <w:overflowPunct/>
        <w:topLinePunct w:val="0"/>
        <w:autoSpaceDE/>
        <w:autoSpaceDN/>
        <w:bidi w:val="0"/>
        <w:adjustRightInd/>
        <w:snapToGrid/>
        <w:spacing w:before="0" w:after="0"/>
        <w:ind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2023年5月哈密市教育局向哈密市发改委申请本项目前期费647.27万元，5月18日哈密市财政下达重点项目第一批前期费75.42万元，用于支付广东建设工程监理有限公司新疆哈密分公司监理费49.5万元，新疆建院工程监理咨询有限公司哈密分公司工程监理费16.5万元，哈密盛鼎建设工程检测中心有限责任公司建筑材料检测费1.02万元，山东亿赛工程检测有限公司检测费3.84万元，新疆新华远景工程造价咨询有限公司哈密分公司工程造价咨询费3.5万元，新疆银开电力工程有限责任公司质保金1.07万元。</w:t>
      </w:r>
    </w:p>
    <w:p>
      <w:pPr>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2023年5月哈密市教育局向哈密市发改委申请本项目前期费55万元，5月22日哈密市财政下达重点项目第二批前期费55万元，用于支付哈密市建设工程监理有限责任公司工程监理费55万元。</w:t>
      </w:r>
    </w:p>
    <w:p>
      <w:pPr>
        <w:pStyle w:val="2"/>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2023年11月哈密市教育局向哈密市发改委申请本项目前期费30.84万元，11月8日哈密市财政下达重点项目第二批前期费30.84万元，用于支付哈密市建设工程监理有限责任公司铁职院围墙、大门、前庭广场工程监理费17.85万元，哈密盛鼎建设工程检测中心有限责任公司铁职院实验室检测费1.02万元，山东亿赛工程检测有限公司铁职院暖气管道无损检查费8.96万元，新疆新华远景工程造价咨询有限公司哈密分公司铁职院围墙、大门、前庭广场造价费3万元。</w:t>
      </w:r>
    </w:p>
    <w:p>
      <w:pPr>
        <w:pStyle w:val="2"/>
        <w:ind w:firstLine="640" w:firstLineChars="200"/>
        <w:rPr>
          <w:rFonts w:hint="default" w:ascii="仿宋_GB2312" w:hAnsi="仿宋_GB2312" w:eastAsia="仿宋_GB2312" w:cs="仿宋_GB2312"/>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2023年12月哈密市教育局向哈密市发改委申请本项目前期费486.02万元，12月11日哈密市财政下达重点项目第二批前期费486.02万元，用于支付新疆建筑设计研究院有限公司铁职院项目规划设计费486.02万元</w:t>
      </w:r>
      <w:r>
        <w:rPr>
          <w:rFonts w:hint="eastAsia" w:ascii="仿宋_GB2312" w:hAnsi="仿宋_GB2312" w:eastAsia="仿宋_GB2312" w:cs="仿宋_GB2312"/>
          <w:b w:val="0"/>
          <w:bCs w:val="0"/>
          <w:kern w:val="2"/>
          <w:sz w:val="32"/>
          <w:szCs w:val="32"/>
          <w:highlight w:val="none"/>
          <w:lang w:val="en-US" w:eastAsia="zh-CN" w:bidi="ar-SA"/>
        </w:rPr>
        <w:t>。</w:t>
      </w:r>
    </w:p>
    <w:p>
      <w:pPr>
        <w:spacing w:line="560" w:lineRule="exact"/>
        <w:ind w:firstLine="640" w:firstLineChars="200"/>
        <w:rPr>
          <w:rFonts w:eastAsia="黑体"/>
          <w:sz w:val="32"/>
          <w:szCs w:val="32"/>
          <w:highlight w:val="none"/>
        </w:rPr>
      </w:pPr>
      <w:r>
        <w:rPr>
          <w:rFonts w:eastAsia="黑体"/>
          <w:sz w:val="32"/>
          <w:szCs w:val="32"/>
          <w:highlight w:val="none"/>
        </w:rPr>
        <w:t>二、绩效评价工作开展情况</w:t>
      </w:r>
    </w:p>
    <w:p>
      <w:pPr>
        <w:spacing w:line="560" w:lineRule="exact"/>
        <w:ind w:firstLine="643" w:firstLineChars="200"/>
        <w:rPr>
          <w:rFonts w:eastAsia="楷体_GB2312"/>
          <w:b/>
          <w:bCs/>
          <w:sz w:val="32"/>
          <w:szCs w:val="32"/>
          <w:highlight w:val="none"/>
        </w:rPr>
      </w:pPr>
      <w:r>
        <w:rPr>
          <w:rFonts w:eastAsia="楷体_GB2312"/>
          <w:b/>
          <w:bCs/>
          <w:sz w:val="32"/>
          <w:szCs w:val="32"/>
          <w:highlight w:val="none"/>
        </w:rPr>
        <w:t>（一）绩效评价目的、对象和范围</w:t>
      </w:r>
    </w:p>
    <w:p>
      <w:pPr>
        <w:pStyle w:val="10"/>
        <w:widowControl w:val="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1、绩效评价的目的</w:t>
      </w:r>
    </w:p>
    <w:p>
      <w:pPr>
        <w:spacing w:line="560" w:lineRule="exact"/>
        <w:ind w:firstLine="640" w:firstLineChars="200"/>
        <w:rPr>
          <w:rFonts w:eastAsia="仿宋_GB2312"/>
          <w:sz w:val="32"/>
          <w:szCs w:val="32"/>
          <w:highlight w:val="none"/>
        </w:rPr>
      </w:pPr>
      <w:r>
        <w:rPr>
          <w:rFonts w:eastAsia="仿宋_GB2312"/>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highlight w:val="none"/>
        </w:rPr>
      </w:pPr>
      <w:r>
        <w:rPr>
          <w:rFonts w:eastAsia="仿宋_GB2312"/>
          <w:sz w:val="32"/>
          <w:szCs w:val="32"/>
          <w:highlight w:val="none"/>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highlight w:val="none"/>
        </w:rPr>
      </w:pPr>
      <w:r>
        <w:rPr>
          <w:rFonts w:eastAsia="仿宋_GB2312"/>
          <w:sz w:val="32"/>
          <w:szCs w:val="32"/>
          <w:highlight w:val="none"/>
        </w:rPr>
        <w:t>（2）项目绩效管</w:t>
      </w:r>
      <w:r>
        <w:rPr>
          <w:rFonts w:hint="eastAsia" w:eastAsia="仿宋_GB2312"/>
          <w:sz w:val="32"/>
          <w:szCs w:val="32"/>
          <w:highlight w:val="none"/>
          <w:lang w:eastAsia="zh-CN"/>
        </w:rPr>
        <w:t>理为</w:t>
      </w:r>
      <w:r>
        <w:rPr>
          <w:rFonts w:eastAsia="仿宋_GB2312"/>
          <w:sz w:val="32"/>
          <w:szCs w:val="32"/>
          <w:highlight w:val="none"/>
        </w:rPr>
        <w:t>财政支出运行提供及时、有效的信息。</w:t>
      </w:r>
    </w:p>
    <w:p>
      <w:pPr>
        <w:pStyle w:val="19"/>
        <w:spacing w:line="560" w:lineRule="exact"/>
        <w:ind w:firstLine="640" w:firstLineChars="200"/>
        <w:rPr>
          <w:rFonts w:eastAsia="方正仿宋_GBK" w:cs="方正仿宋_GBK"/>
          <w:sz w:val="32"/>
          <w:szCs w:val="32"/>
          <w:highlight w:val="none"/>
        </w:rPr>
      </w:pPr>
      <w:r>
        <w:rPr>
          <w:rFonts w:eastAsia="仿宋_GB2312"/>
          <w:sz w:val="32"/>
          <w:szCs w:val="32"/>
          <w:highlight w:val="none"/>
        </w:rPr>
        <w:t>综合来看，通过开展有效的财政支出绩效评价管理，</w:t>
      </w:r>
      <w:r>
        <w:rPr>
          <w:rFonts w:hint="eastAsia" w:eastAsia="仿宋_GB2312"/>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widowControl w:val="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2、绩效评价的对象</w:t>
      </w:r>
    </w:p>
    <w:p>
      <w:pPr>
        <w:pageBreakBefore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ascii="仿宋_GB2312" w:hAnsi="仿宋_GB2312" w:eastAsia="仿宋_GB2312" w:cs="仿宋_GB2312"/>
          <w:sz w:val="32"/>
          <w:szCs w:val="32"/>
          <w:highlight w:val="none"/>
          <w:lang w:eastAsia="zh-CN"/>
        </w:rPr>
        <w:t>哈</w:t>
      </w:r>
      <w:r>
        <w:rPr>
          <w:rFonts w:hint="default" w:ascii="Times New Roman" w:hAnsi="Times New Roman" w:eastAsia="仿宋_GB2312" w:cs="Times New Roman"/>
          <w:b w:val="0"/>
          <w:bCs w:val="0"/>
          <w:sz w:val="32"/>
          <w:szCs w:val="32"/>
          <w:highlight w:val="none"/>
          <w:lang w:val="en-US" w:eastAsia="zh-CN"/>
        </w:rPr>
        <w:t>密市教育局申请新疆铁道职业技术学院哈密校区一期建设项目</w:t>
      </w:r>
      <w:r>
        <w:rPr>
          <w:rFonts w:hint="default" w:ascii="Times New Roman" w:hAnsi="Times New Roman" w:eastAsia="仿宋_GB2312" w:cs="Times New Roman"/>
          <w:sz w:val="32"/>
          <w:szCs w:val="32"/>
          <w:highlight w:val="none"/>
          <w:lang w:eastAsia="zh-CN"/>
        </w:rPr>
        <w:t>前期</w:t>
      </w:r>
      <w:r>
        <w:rPr>
          <w:rFonts w:hint="default" w:ascii="Times New Roman" w:hAnsi="Times New Roman" w:eastAsia="仿宋_GB2312" w:cs="Times New Roman"/>
          <w:b w:val="0"/>
          <w:bCs w:val="0"/>
          <w:sz w:val="32"/>
          <w:szCs w:val="32"/>
          <w:highlight w:val="none"/>
          <w:lang w:val="en-US" w:eastAsia="zh-CN"/>
        </w:rPr>
        <w:t>费647.27万元，用于支付新疆建设设计研究院规划设计费486.02万元，工程项目监理费16.5万元。支付广东建设工程监理有限公司新疆哈密分公司49.5万元，支付哈密建院建设工程监理有限公司55万元，合计支付监理单位监理费72.85万元。支付哈密盛鼎工程检测中心有限公司建筑材料检测费2.04万元。支付新华远景工程造价有限公司工程造价咨询费</w:t>
      </w:r>
      <w:r>
        <w:rPr>
          <w:rFonts w:hint="eastAsia" w:eastAsia="仿宋_GB2312"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造价费3.49万元，支付铁职院围墙、大门、前庭广场造价费3万元。支付新疆银开电力工程有限责任公司质保金1.07万元。支付山东亿赛工程检测有限公司检测费3.84万元，铁职院暖气管道无损检查费8.96万元。</w:t>
      </w:r>
    </w:p>
    <w:p>
      <w:pPr>
        <w:pStyle w:val="10"/>
        <w:widowControl w:val="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3、绩效评价的范围</w:t>
      </w:r>
    </w:p>
    <w:p>
      <w:pPr>
        <w:pageBreakBefore w:val="0"/>
        <w:kinsoku/>
        <w:wordWrap/>
        <w:overflowPunct/>
        <w:topLinePunct w:val="0"/>
        <w:autoSpaceDE/>
        <w:autoSpaceDN/>
        <w:bidi w:val="0"/>
        <w:adjustRightInd/>
        <w:snapToGrid/>
        <w:spacing w:line="600" w:lineRule="exact"/>
        <w:ind w:firstLine="640" w:firstLineChars="200"/>
        <w:textAlignment w:val="auto"/>
        <w:outlineLvl w:val="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按合同约定，经教育局党组研究同意</w:t>
      </w:r>
      <w:r>
        <w:rPr>
          <w:rFonts w:hint="eastAsia" w:ascii="仿宋_GB2312" w:hAnsi="仿宋_GB2312" w:eastAsia="仿宋_GB2312" w:cs="仿宋_GB2312"/>
          <w:b w:val="0"/>
          <w:bCs w:val="0"/>
          <w:sz w:val="32"/>
          <w:szCs w:val="32"/>
          <w:highlight w:val="none"/>
          <w:lang w:val="en-US" w:eastAsia="zh-CN"/>
        </w:rPr>
        <w:t>支付新疆建设设计研究院规划设计费</w:t>
      </w:r>
      <w:r>
        <w:rPr>
          <w:rFonts w:hint="default" w:ascii="Times New Roman" w:hAnsi="Times New Roman" w:eastAsia="仿宋_GB2312" w:cs="Times New Roman"/>
          <w:b w:val="0"/>
          <w:bCs w:val="0"/>
          <w:sz w:val="32"/>
          <w:szCs w:val="32"/>
          <w:highlight w:val="none"/>
          <w:lang w:val="en-US" w:eastAsia="zh-CN"/>
        </w:rPr>
        <w:t>486.02万元，工程项目监理费16.5万元。支付广东建设工程监理有限公司新疆哈密分公司49.5万元，支付哈密建院建设工程监理有限公司55万元，合计支付监理单位监理费72.85万元。支付哈密盛鼎工程检测中心有限公司建筑材料检测费2.04万元。支付新华远景工程造价有限公司工程造价咨询费</w:t>
      </w:r>
      <w:r>
        <w:rPr>
          <w:rFonts w:hint="eastAsia" w:eastAsia="仿宋_GB2312"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造价费3.49万元，支付铁职院围墙、大门、前庭广场造价费3万元。支付新疆银开电力工程有限责任公司质保金1.07万元。支付山东亿赛工程检测有限公司检测费3.84万元，铁职院暖气管道无损检查费8.96万元。</w:t>
      </w:r>
    </w:p>
    <w:p>
      <w:pPr>
        <w:spacing w:line="560" w:lineRule="exact"/>
        <w:ind w:firstLine="643" w:firstLineChars="200"/>
        <w:rPr>
          <w:sz w:val="32"/>
          <w:szCs w:val="32"/>
          <w:highlight w:val="none"/>
        </w:rPr>
      </w:pPr>
      <w:r>
        <w:rPr>
          <w:rFonts w:eastAsia="楷体_GB2312"/>
          <w:b/>
          <w:bCs/>
          <w:sz w:val="32"/>
          <w:szCs w:val="32"/>
          <w:highlight w:val="none"/>
        </w:rPr>
        <w:t>（二）绩效评价原则、评价指标体系（详情见表1）、评价方法、评价标准。</w:t>
      </w:r>
    </w:p>
    <w:p>
      <w:pPr>
        <w:pStyle w:val="10"/>
        <w:widowControl w:val="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1、绩效评价原则</w:t>
      </w:r>
    </w:p>
    <w:p>
      <w:pPr>
        <w:spacing w:line="560" w:lineRule="exact"/>
        <w:ind w:firstLine="640" w:firstLineChars="200"/>
        <w:rPr>
          <w:rFonts w:eastAsia="仿宋_GB2312"/>
          <w:color w:val="000000"/>
          <w:sz w:val="32"/>
          <w:szCs w:val="32"/>
          <w:highlight w:val="none"/>
        </w:rPr>
      </w:pPr>
      <w:r>
        <w:rPr>
          <w:rFonts w:eastAsia="仿宋_GB2312"/>
          <w:color w:val="000000"/>
          <w:sz w:val="32"/>
          <w:szCs w:val="32"/>
          <w:highlight w:val="none"/>
        </w:rPr>
        <w:t>本次项目绩效评价遵循以下基本原则：</w:t>
      </w:r>
    </w:p>
    <w:p>
      <w:pPr>
        <w:pStyle w:val="1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（1）科学公正。绩效评价应当运用科学合理的方法，按照规范的程序，对项目绩效进行客观、公正</w:t>
      </w:r>
      <w:r>
        <w:rPr>
          <w:rFonts w:hint="eastAsia" w:ascii="Times New Roman" w:hAnsi="Times New Roman" w:eastAsia="仿宋_GB2312"/>
          <w:b w:val="0"/>
          <w:bCs w:val="0"/>
          <w:sz w:val="32"/>
          <w:szCs w:val="32"/>
          <w:highlight w:val="none"/>
          <w:lang w:eastAsia="zh-CN"/>
        </w:rPr>
        <w:t>地</w:t>
      </w:r>
      <w:r>
        <w:rPr>
          <w:rFonts w:ascii="Times New Roman" w:hAnsi="Times New Roman" w:eastAsia="仿宋_GB2312"/>
          <w:b w:val="0"/>
          <w:bCs w:val="0"/>
          <w:sz w:val="32"/>
          <w:szCs w:val="32"/>
          <w:highlight w:val="none"/>
        </w:rPr>
        <w:t>反映。</w:t>
      </w:r>
    </w:p>
    <w:p>
      <w:pPr>
        <w:pStyle w:val="1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2、评价指标体系</w:t>
      </w:r>
    </w:p>
    <w:p>
      <w:pPr>
        <w:spacing w:line="560" w:lineRule="exact"/>
        <w:ind w:firstLine="708" w:firstLineChars="200"/>
        <w:rPr>
          <w:color w:val="000000"/>
          <w:spacing w:val="17"/>
          <w:sz w:val="32"/>
          <w:szCs w:val="32"/>
          <w:highlight w:val="none"/>
        </w:rPr>
      </w:pPr>
      <w:r>
        <w:rPr>
          <w:rFonts w:eastAsia="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（1）确定评价指标</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（2）确定权重</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确定各个指标相对于项目总体绩效的权重分值。在绩效评价指标体系中，项目决策权重为20分，项目过程权重为20分，项目产出权重为</w:t>
      </w:r>
      <w:r>
        <w:rPr>
          <w:rFonts w:hint="eastAsia" w:eastAsia="仿宋_GB2312"/>
          <w:color w:val="000000"/>
          <w:spacing w:val="17"/>
          <w:sz w:val="32"/>
          <w:szCs w:val="32"/>
          <w:highlight w:val="none"/>
          <w:lang w:val="en-US" w:eastAsia="zh-CN"/>
        </w:rPr>
        <w:t>3</w:t>
      </w:r>
      <w:r>
        <w:rPr>
          <w:rFonts w:eastAsia="仿宋_GB2312"/>
          <w:color w:val="000000"/>
          <w:spacing w:val="17"/>
          <w:sz w:val="32"/>
          <w:szCs w:val="32"/>
          <w:highlight w:val="none"/>
        </w:rPr>
        <w:t>0分，</w:t>
      </w:r>
      <w:r>
        <w:rPr>
          <w:rFonts w:hint="eastAsia" w:eastAsia="仿宋_GB2312"/>
          <w:color w:val="000000"/>
          <w:spacing w:val="17"/>
          <w:sz w:val="32"/>
          <w:szCs w:val="32"/>
          <w:highlight w:val="none"/>
          <w:lang w:eastAsia="zh-CN"/>
        </w:rPr>
        <w:t>项目成本权重为</w:t>
      </w:r>
      <w:r>
        <w:rPr>
          <w:rFonts w:hint="eastAsia" w:eastAsia="仿宋_GB2312"/>
          <w:color w:val="000000"/>
          <w:spacing w:val="17"/>
          <w:sz w:val="32"/>
          <w:szCs w:val="32"/>
          <w:highlight w:val="none"/>
          <w:lang w:val="en-US" w:eastAsia="zh-CN"/>
        </w:rPr>
        <w:t>10分，</w:t>
      </w:r>
      <w:r>
        <w:rPr>
          <w:rFonts w:eastAsia="仿宋_GB2312"/>
          <w:color w:val="000000"/>
          <w:spacing w:val="17"/>
          <w:sz w:val="32"/>
          <w:szCs w:val="32"/>
          <w:highlight w:val="none"/>
        </w:rPr>
        <w:t>项目效益权重为20分。</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（3）确定指标标准值</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ascii="Times New Roman" w:hAnsi="Times New Roman" w:eastAsia="仿宋_GB2312"/>
          <w:b w:val="0"/>
          <w:bCs w:val="0"/>
          <w:color w:val="000000"/>
          <w:spacing w:val="17"/>
          <w:kern w:val="2"/>
          <w:sz w:val="32"/>
          <w:szCs w:val="32"/>
          <w:highlight w:val="none"/>
        </w:rPr>
      </w:pPr>
      <w:r>
        <w:rPr>
          <w:rFonts w:ascii="Times New Roman" w:hAnsi="Times New Roman" w:eastAsia="仿宋_GB2312"/>
          <w:b w:val="0"/>
          <w:bCs w:val="0"/>
          <w:color w:val="000000"/>
          <w:spacing w:val="17"/>
          <w:kern w:val="2"/>
          <w:sz w:val="32"/>
          <w:szCs w:val="32"/>
          <w:highlight w:val="none"/>
        </w:rPr>
        <w:t>绩效评价总分值100分，根据综合评分结果，评价计分90分</w:t>
      </w:r>
      <w:r>
        <w:rPr>
          <w:rFonts w:hint="eastAsia" w:ascii="Times New Roman" w:hAnsi="Times New Roman" w:eastAsia="仿宋_GB2312"/>
          <w:b w:val="0"/>
          <w:bCs w:val="0"/>
          <w:color w:val="000000"/>
          <w:spacing w:val="17"/>
          <w:kern w:val="2"/>
          <w:sz w:val="32"/>
          <w:szCs w:val="32"/>
          <w:highlight w:val="none"/>
          <w:lang w:eastAsia="zh-CN"/>
        </w:rPr>
        <w:t>—</w:t>
      </w:r>
      <w:r>
        <w:rPr>
          <w:rFonts w:ascii="Times New Roman" w:hAnsi="Times New Roman" w:eastAsia="仿宋_GB2312"/>
          <w:b w:val="0"/>
          <w:bCs w:val="0"/>
          <w:color w:val="000000"/>
          <w:spacing w:val="17"/>
          <w:kern w:val="2"/>
          <w:sz w:val="32"/>
          <w:szCs w:val="32"/>
          <w:highlight w:val="none"/>
        </w:rPr>
        <w:t>100分（含90分）对应的评分结果级别为优，80</w:t>
      </w:r>
      <w:r>
        <w:rPr>
          <w:rFonts w:hint="eastAsia" w:ascii="Times New Roman" w:hAnsi="Times New Roman" w:eastAsia="仿宋_GB2312"/>
          <w:b w:val="0"/>
          <w:bCs w:val="0"/>
          <w:color w:val="000000"/>
          <w:spacing w:val="17"/>
          <w:kern w:val="2"/>
          <w:sz w:val="32"/>
          <w:szCs w:val="32"/>
          <w:highlight w:val="none"/>
          <w:lang w:eastAsia="zh-CN"/>
        </w:rPr>
        <w:t>—</w:t>
      </w:r>
      <w:r>
        <w:rPr>
          <w:rFonts w:ascii="Times New Roman" w:hAnsi="Times New Roman" w:eastAsia="仿宋_GB2312"/>
          <w:b w:val="0"/>
          <w:bCs w:val="0"/>
          <w:color w:val="000000"/>
          <w:spacing w:val="17"/>
          <w:kern w:val="2"/>
          <w:sz w:val="32"/>
          <w:szCs w:val="32"/>
          <w:highlight w:val="none"/>
        </w:rPr>
        <w:t>90分（含80分）对应的评分结果级别为良，60</w:t>
      </w:r>
      <w:r>
        <w:rPr>
          <w:rFonts w:hint="eastAsia" w:ascii="Times New Roman" w:hAnsi="Times New Roman" w:eastAsia="仿宋_GB2312"/>
          <w:b w:val="0"/>
          <w:bCs w:val="0"/>
          <w:color w:val="000000"/>
          <w:spacing w:val="17"/>
          <w:kern w:val="2"/>
          <w:sz w:val="32"/>
          <w:szCs w:val="32"/>
          <w:highlight w:val="none"/>
          <w:lang w:eastAsia="zh-CN"/>
        </w:rPr>
        <w:t>—</w:t>
      </w:r>
      <w:r>
        <w:rPr>
          <w:rFonts w:ascii="Times New Roman" w:hAnsi="Times New Roman" w:eastAsia="仿宋_GB2312"/>
          <w:b w:val="0"/>
          <w:bCs w:val="0"/>
          <w:color w:val="000000"/>
          <w:spacing w:val="17"/>
          <w:kern w:val="2"/>
          <w:sz w:val="32"/>
          <w:szCs w:val="32"/>
          <w:highlight w:val="none"/>
        </w:rPr>
        <w:t>80分（含60分）对应的评分结果级别为中，60分以下对应的评分结果级别为差。</w:t>
      </w:r>
    </w:p>
    <w:p>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sz w:val="32"/>
          <w:szCs w:val="32"/>
          <w:highlight w:val="none"/>
        </w:rPr>
      </w:pPr>
      <w:r>
        <w:rPr>
          <w:rFonts w:ascii="Times New Roman" w:hAnsi="Times New Roman" w:eastAsia="仿宋_GB2312"/>
          <w:b w:val="0"/>
          <w:bCs w:val="0"/>
          <w:color w:val="000000"/>
          <w:spacing w:val="17"/>
          <w:sz w:val="32"/>
          <w:szCs w:val="32"/>
          <w:highlight w:val="none"/>
        </w:rPr>
        <w:t>具体评价指标体系详情见附件1</w:t>
      </w:r>
    </w:p>
    <w:p>
      <w:pPr>
        <w:pStyle w:val="10"/>
        <w:widowControl w:val="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3、绩效评价方法</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pPr>
        <w:pStyle w:val="10"/>
        <w:widowControl w:val="0"/>
        <w:spacing w:before="0" w:after="0" w:line="560" w:lineRule="exact"/>
        <w:ind w:firstLine="640" w:firstLineChars="200"/>
        <w:jc w:val="both"/>
        <w:outlineLvl w:val="9"/>
        <w:rPr>
          <w:rFonts w:ascii="Times New Roman" w:hAnsi="Times New Roman" w:eastAsia="仿宋_GB2312"/>
          <w:b w:val="0"/>
          <w:bCs w:val="0"/>
          <w:sz w:val="32"/>
          <w:szCs w:val="32"/>
          <w:highlight w:val="none"/>
        </w:rPr>
      </w:pPr>
      <w:r>
        <w:rPr>
          <w:rFonts w:ascii="Times New Roman" w:hAnsi="Times New Roman" w:eastAsia="仿宋_GB2312"/>
          <w:b w:val="0"/>
          <w:bCs w:val="0"/>
          <w:sz w:val="32"/>
          <w:szCs w:val="32"/>
          <w:highlight w:val="none"/>
        </w:rPr>
        <w:t>4、评价标准</w:t>
      </w:r>
    </w:p>
    <w:p>
      <w:pPr>
        <w:spacing w:line="560" w:lineRule="exact"/>
        <w:ind w:firstLine="640"/>
        <w:rPr>
          <w:rFonts w:hint="eastAsia" w:ascii="仿宋_GB2312" w:hAnsi="仿宋_GB2312" w:eastAsia="仿宋_GB2312" w:cs="仿宋_GB2312"/>
          <w:color w:val="FF0000"/>
          <w:sz w:val="32"/>
          <w:szCs w:val="32"/>
          <w:highlight w:val="none"/>
        </w:rPr>
      </w:pPr>
      <w:r>
        <w:rPr>
          <w:rFonts w:hint="eastAsia" w:ascii="仿宋_GB2312" w:hAnsi="仿宋_GB2312" w:eastAsia="仿宋_GB2312" w:cs="仿宋_GB2312"/>
          <w:sz w:val="32"/>
          <w:szCs w:val="32"/>
          <w:highlight w:val="none"/>
        </w:rPr>
        <w:t>绩效评价标准通常包括计划标准、行业标准、历史标准等，用于对绩效指标完成情况进行比较、分析、评价。本次</w:t>
      </w:r>
      <w:r>
        <w:rPr>
          <w:rFonts w:hint="eastAsia" w:ascii="仿宋_GB2312" w:hAnsi="仿宋_GB2312" w:eastAsia="仿宋_GB2312" w:cs="仿宋_GB2312"/>
          <w:color w:val="auto"/>
          <w:sz w:val="32"/>
          <w:szCs w:val="32"/>
          <w:highlight w:val="none"/>
        </w:rPr>
        <w:t>评价主要采用了</w:t>
      </w:r>
      <w:r>
        <w:rPr>
          <w:rFonts w:hint="eastAsia" w:ascii="仿宋_GB2312" w:hAnsi="仿宋_GB2312" w:eastAsia="仿宋_GB2312" w:cs="仿宋_GB2312"/>
          <w:color w:val="auto"/>
          <w:sz w:val="32"/>
          <w:szCs w:val="32"/>
          <w:highlight w:val="none"/>
          <w:lang w:val="en-US" w:eastAsia="zh-CN"/>
        </w:rPr>
        <w:t>计划</w:t>
      </w:r>
      <w:r>
        <w:rPr>
          <w:rFonts w:hint="eastAsia" w:ascii="仿宋_GB2312" w:hAnsi="仿宋_GB2312" w:eastAsia="仿宋_GB2312" w:cs="仿宋_GB2312"/>
          <w:color w:val="auto"/>
          <w:sz w:val="32"/>
          <w:szCs w:val="32"/>
          <w:highlight w:val="none"/>
        </w:rPr>
        <w:t>标准。</w:t>
      </w:r>
    </w:p>
    <w:p>
      <w:pPr>
        <w:spacing w:line="560" w:lineRule="exact"/>
        <w:ind w:firstLine="640"/>
        <w:rPr>
          <w:rFonts w:hint="eastAsia" w:ascii="仿宋_GB2312" w:hAnsi="仿宋_GB2312" w:eastAsia="仿宋_GB2312" w:cs="仿宋_GB2312"/>
          <w:sz w:val="32"/>
          <w:szCs w:val="32"/>
          <w:highlight w:val="none"/>
        </w:rPr>
      </w:pPr>
      <w:bookmarkStart w:id="0" w:name="_Toc31464"/>
      <w:bookmarkStart w:id="1" w:name="_Toc17882"/>
      <w:r>
        <w:rPr>
          <w:rFonts w:hint="eastAsia" w:ascii="仿宋_GB2312" w:hAnsi="仿宋_GB2312" w:eastAsia="仿宋_GB2312" w:cs="仿宋_GB2312"/>
          <w:b/>
          <w:bCs/>
          <w:sz w:val="32"/>
          <w:szCs w:val="32"/>
          <w:highlight w:val="none"/>
        </w:rPr>
        <w:t>计划标准：</w:t>
      </w:r>
      <w:r>
        <w:rPr>
          <w:rFonts w:hint="eastAsia" w:ascii="仿宋_GB2312" w:hAnsi="仿宋_GB2312" w:eastAsia="仿宋_GB2312" w:cs="仿宋_GB2312"/>
          <w:sz w:val="32"/>
          <w:szCs w:val="32"/>
          <w:highlight w:val="none"/>
        </w:rPr>
        <w:t>指以预先制定的目标、计划、预算、定额等作为评价标准</w:t>
      </w:r>
      <w:bookmarkEnd w:id="0"/>
      <w:bookmarkEnd w:id="1"/>
      <w:bookmarkStart w:id="2" w:name="_Toc430"/>
      <w:bookmarkStart w:id="3" w:name="_Toc16028"/>
      <w:r>
        <w:rPr>
          <w:rFonts w:hint="eastAsia" w:ascii="仿宋_GB2312" w:hAnsi="仿宋_GB2312" w:eastAsia="仿宋_GB2312" w:cs="仿宋_GB2312"/>
          <w:sz w:val="32"/>
          <w:szCs w:val="32"/>
          <w:highlight w:val="none"/>
        </w:rPr>
        <w:t>。</w:t>
      </w:r>
      <w:bookmarkEnd w:id="2"/>
      <w:bookmarkEnd w:id="3"/>
    </w:p>
    <w:p>
      <w:pPr>
        <w:pStyle w:val="10"/>
        <w:numPr>
          <w:ilvl w:val="0"/>
          <w:numId w:val="3"/>
        </w:numPr>
        <w:spacing w:before="0" w:after="0" w:line="560" w:lineRule="exact"/>
        <w:ind w:firstLine="711" w:firstLineChars="200"/>
        <w:jc w:val="both"/>
        <w:rPr>
          <w:rFonts w:ascii="楷体" w:hAnsi="楷体" w:eastAsia="楷体" w:cs="楷体"/>
          <w:color w:val="000000"/>
          <w:spacing w:val="17"/>
          <w:sz w:val="32"/>
          <w:szCs w:val="32"/>
          <w:highlight w:val="none"/>
        </w:rPr>
      </w:pPr>
      <w:r>
        <w:rPr>
          <w:rFonts w:hint="eastAsia" w:ascii="楷体" w:hAnsi="楷体" w:eastAsia="楷体" w:cs="楷体"/>
          <w:color w:val="000000"/>
          <w:spacing w:val="17"/>
          <w:sz w:val="32"/>
          <w:szCs w:val="32"/>
          <w:highlight w:val="none"/>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highlight w:val="none"/>
        </w:rPr>
      </w:pPr>
      <w:r>
        <w:rPr>
          <w:rFonts w:hint="eastAsia" w:eastAsia="仿宋_GB2312"/>
          <w:bCs/>
          <w:sz w:val="32"/>
          <w:szCs w:val="32"/>
          <w:highlight w:val="none"/>
          <w:lang w:val="en-US" w:eastAsia="zh-CN"/>
        </w:rPr>
        <w:t>1.</w:t>
      </w:r>
      <w:r>
        <w:rPr>
          <w:rFonts w:hint="eastAsia" w:eastAsia="仿宋_GB2312"/>
          <w:bCs/>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highlight w:val="none"/>
        </w:rPr>
      </w:pPr>
      <w:r>
        <w:rPr>
          <w:rFonts w:hint="eastAsia" w:eastAsia="仿宋_GB2312"/>
          <w:bCs/>
          <w:sz w:val="32"/>
          <w:szCs w:val="32"/>
          <w:highlight w:val="none"/>
          <w:lang w:val="en-US" w:eastAsia="zh-CN"/>
        </w:rPr>
        <w:t>2.</w:t>
      </w:r>
      <w:r>
        <w:rPr>
          <w:rFonts w:hint="eastAsia" w:eastAsia="仿宋_GB2312"/>
          <w:bCs/>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highlight w:val="none"/>
        </w:rPr>
      </w:pPr>
      <w:r>
        <w:rPr>
          <w:rFonts w:hint="eastAsia" w:eastAsia="仿宋_GB2312"/>
          <w:bCs/>
          <w:sz w:val="32"/>
          <w:szCs w:val="32"/>
          <w:highlight w:val="none"/>
          <w:lang w:val="en-US" w:eastAsia="zh-CN"/>
        </w:rPr>
        <w:t>3.</w:t>
      </w:r>
      <w:r>
        <w:rPr>
          <w:rFonts w:hint="eastAsia" w:eastAsia="仿宋_GB2312"/>
          <w:bCs/>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highlight w:val="none"/>
        </w:rPr>
      </w:pPr>
      <w:r>
        <w:rPr>
          <w:rFonts w:eastAsia="黑体"/>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sz w:val="32"/>
          <w:szCs w:val="32"/>
          <w:highlight w:val="none"/>
          <w:lang w:val="en-US" w:eastAsia="zh-CN"/>
        </w:rPr>
      </w:pPr>
      <w:r>
        <w:rPr>
          <w:rFonts w:hint="eastAsia" w:ascii="Times New Roman" w:hAnsi="Times New Roman" w:eastAsia="楷体_GB2312"/>
          <w:sz w:val="32"/>
          <w:szCs w:val="32"/>
          <w:highlight w:val="none"/>
          <w:lang w:eastAsia="zh-CN"/>
        </w:rPr>
        <w:t>（</w:t>
      </w:r>
      <w:r>
        <w:rPr>
          <w:rFonts w:hint="eastAsia" w:ascii="Times New Roman" w:hAnsi="Times New Roman" w:eastAsia="楷体_GB2312"/>
          <w:sz w:val="32"/>
          <w:szCs w:val="32"/>
          <w:highlight w:val="none"/>
          <w:lang w:val="en-US" w:eastAsia="zh-CN"/>
        </w:rPr>
        <w:t>一</w:t>
      </w:r>
      <w:r>
        <w:rPr>
          <w:rFonts w:hint="eastAsia" w:ascii="Times New Roman" w:hAnsi="Times New Roman" w:eastAsia="楷体_GB2312"/>
          <w:sz w:val="32"/>
          <w:szCs w:val="32"/>
          <w:highlight w:val="none"/>
          <w:lang w:eastAsia="zh-CN"/>
        </w:rPr>
        <w:t>）</w:t>
      </w:r>
      <w:r>
        <w:rPr>
          <w:rFonts w:hint="eastAsia" w:ascii="Times New Roman" w:hAnsi="Times New Roman" w:eastAsia="楷体_GB2312"/>
          <w:sz w:val="32"/>
          <w:szCs w:val="32"/>
          <w:highlight w:val="none"/>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highlight w:val="none"/>
          <w:lang w:val="en-US" w:eastAsia="zh-CN" w:bidi="ar-SA"/>
        </w:rPr>
      </w:pPr>
      <w:r>
        <w:rPr>
          <w:rFonts w:hint="eastAsia" w:ascii="Times New Roman" w:hAnsi="Times New Roman" w:eastAsia="仿宋_GB2312" w:cs="Times New Roman"/>
          <w:b w:val="0"/>
          <w:bCs w:val="0"/>
          <w:kern w:val="28"/>
          <w:sz w:val="32"/>
          <w:szCs w:val="32"/>
          <w:highlight w:val="none"/>
          <w:lang w:val="en-US" w:eastAsia="zh-CN" w:bidi="ar-SA"/>
        </w:rPr>
        <w:t>项目总体组织规范，在项目实施过</w:t>
      </w:r>
      <w:r>
        <w:rPr>
          <w:rFonts w:hint="eastAsia" w:eastAsia="仿宋_GB2312" w:cs="Times New Roman"/>
          <w:b w:val="0"/>
          <w:bCs w:val="0"/>
          <w:kern w:val="28"/>
          <w:sz w:val="32"/>
          <w:szCs w:val="32"/>
          <w:highlight w:val="none"/>
          <w:lang w:val="en-US" w:eastAsia="zh-CN" w:bidi="ar-SA"/>
        </w:rPr>
        <w:t>程中</w:t>
      </w:r>
      <w:r>
        <w:rPr>
          <w:rFonts w:hint="eastAsia" w:ascii="Times New Roman" w:hAnsi="Times New Roman" w:eastAsia="仿宋_GB2312" w:cs="Times New Roman"/>
          <w:b w:val="0"/>
          <w:bCs w:val="0"/>
          <w:kern w:val="28"/>
          <w:sz w:val="32"/>
          <w:szCs w:val="32"/>
          <w:highlight w:val="none"/>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highlight w:val="none"/>
          <w:lang w:val="en-US" w:eastAsia="zh-CN" w:bidi="ar-SA"/>
        </w:rPr>
        <w:t>地</w:t>
      </w:r>
      <w:r>
        <w:rPr>
          <w:rFonts w:hint="eastAsia" w:ascii="Times New Roman" w:hAnsi="Times New Roman" w:eastAsia="仿宋_GB2312" w:cs="Times New Roman"/>
          <w:b w:val="0"/>
          <w:bCs w:val="0"/>
          <w:kern w:val="28"/>
          <w:sz w:val="32"/>
          <w:szCs w:val="32"/>
          <w:highlight w:val="none"/>
          <w:lang w:val="en-US" w:eastAsia="zh-CN" w:bidi="ar-SA"/>
        </w:rPr>
        <w:t>发挥，保障项目如期按要求完成。规范了项目档案资料的整理。项目的实施达到预期效果。</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sz w:val="32"/>
          <w:szCs w:val="32"/>
          <w:highlight w:val="none"/>
          <w:lang w:val="en-US" w:eastAsia="zh-CN"/>
        </w:rPr>
      </w:pPr>
      <w:r>
        <w:rPr>
          <w:rFonts w:hint="eastAsia" w:ascii="Times New Roman" w:hAnsi="Times New Roman" w:eastAsia="楷体_GB2312" w:cs="Times New Roman"/>
          <w:sz w:val="32"/>
          <w:szCs w:val="32"/>
          <w:highlight w:val="none"/>
          <w:lang w:eastAsia="zh-CN"/>
        </w:rPr>
        <w:t>（</w:t>
      </w:r>
      <w:r>
        <w:rPr>
          <w:rFonts w:hint="eastAsia" w:ascii="Times New Roman" w:hAnsi="Times New Roman" w:eastAsia="楷体_GB2312" w:cs="Times New Roman"/>
          <w:sz w:val="32"/>
          <w:szCs w:val="32"/>
          <w:highlight w:val="none"/>
          <w:lang w:val="en-US" w:eastAsia="zh-CN"/>
        </w:rPr>
        <w:t>二</w:t>
      </w:r>
      <w:r>
        <w:rPr>
          <w:rFonts w:hint="eastAsia" w:ascii="Times New Roman" w:hAnsi="Times New Roman" w:eastAsia="楷体_GB2312" w:cs="Times New Roman"/>
          <w:sz w:val="32"/>
          <w:szCs w:val="32"/>
          <w:highlight w:val="none"/>
          <w:lang w:eastAsia="zh-CN"/>
        </w:rPr>
        <w:t>）</w:t>
      </w:r>
      <w:r>
        <w:rPr>
          <w:rFonts w:hint="eastAsia" w:ascii="Times New Roman" w:hAnsi="Times New Roman" w:eastAsia="楷体_GB2312" w:cs="Times New Roman"/>
          <w:sz w:val="32"/>
          <w:szCs w:val="32"/>
          <w:highlight w:val="none"/>
          <w:lang w:val="en-US" w:eastAsia="zh-CN"/>
        </w:rPr>
        <w:t>评价结论</w:t>
      </w:r>
    </w:p>
    <w:p>
      <w:pPr>
        <w:pStyle w:val="10"/>
        <w:widowControl w:val="0"/>
        <w:spacing w:before="0" w:after="0" w:line="560" w:lineRule="exact"/>
        <w:ind w:firstLine="640" w:firstLineChars="200"/>
        <w:jc w:val="both"/>
        <w:outlineLvl w:val="9"/>
        <w:rPr>
          <w:rFonts w:hint="eastAsia" w:ascii="Times New Roman" w:hAnsi="Times New Roman" w:eastAsia="仿宋_GB2312"/>
          <w:b w:val="0"/>
          <w:bCs w:val="0"/>
          <w:sz w:val="32"/>
          <w:szCs w:val="32"/>
          <w:highlight w:val="none"/>
        </w:rPr>
      </w:pPr>
      <w:r>
        <w:rPr>
          <w:rFonts w:hint="eastAsia" w:ascii="Times New Roman" w:hAnsi="Times New Roman" w:eastAsia="仿宋_GB2312"/>
          <w:b w:val="0"/>
          <w:bCs w:val="0"/>
          <w:sz w:val="32"/>
          <w:szCs w:val="32"/>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b w:val="0"/>
          <w:bCs w:val="0"/>
          <w:sz w:val="32"/>
          <w:szCs w:val="32"/>
          <w:highlight w:val="none"/>
          <w:lang w:val="en-US" w:eastAsia="zh-CN"/>
        </w:rPr>
        <w:t>100</w:t>
      </w:r>
      <w:r>
        <w:rPr>
          <w:rFonts w:hint="eastAsia" w:ascii="Times New Roman" w:hAnsi="Times New Roman" w:eastAsia="仿宋_GB2312"/>
          <w:b w:val="0"/>
          <w:bCs w:val="0"/>
          <w:sz w:val="32"/>
          <w:szCs w:val="32"/>
          <w:highlight w:val="none"/>
        </w:rPr>
        <w:t>分，属于“优（良/中/差）”。其中，项目决策类指标权重为20分，得分为</w:t>
      </w:r>
      <w:r>
        <w:rPr>
          <w:rFonts w:hint="eastAsia" w:ascii="Times New Roman" w:hAnsi="Times New Roman" w:eastAsia="仿宋_GB2312"/>
          <w:b w:val="0"/>
          <w:bCs w:val="0"/>
          <w:sz w:val="32"/>
          <w:szCs w:val="32"/>
          <w:highlight w:val="none"/>
          <w:lang w:val="en-US" w:eastAsia="zh-CN"/>
        </w:rPr>
        <w:t>20</w:t>
      </w:r>
      <w:r>
        <w:rPr>
          <w:rFonts w:hint="eastAsia" w:ascii="Times New Roman" w:hAnsi="Times New Roman" w:eastAsia="仿宋_GB2312"/>
          <w:b w:val="0"/>
          <w:bCs w:val="0"/>
          <w:sz w:val="32"/>
          <w:szCs w:val="32"/>
          <w:highlight w:val="none"/>
        </w:rPr>
        <w:t xml:space="preserve">分，得分率为 </w:t>
      </w:r>
      <w:r>
        <w:rPr>
          <w:rFonts w:hint="eastAsia" w:ascii="Times New Roman" w:hAnsi="Times New Roman" w:eastAsia="仿宋_GB2312"/>
          <w:b w:val="0"/>
          <w:bCs w:val="0"/>
          <w:sz w:val="32"/>
          <w:szCs w:val="32"/>
          <w:highlight w:val="none"/>
          <w:lang w:val="en-US" w:eastAsia="zh-CN"/>
        </w:rPr>
        <w:t>100</w:t>
      </w:r>
      <w:r>
        <w:rPr>
          <w:rFonts w:hint="eastAsia" w:ascii="Times New Roman" w:hAnsi="Times New Roman" w:eastAsia="仿宋_GB2312"/>
          <w:b w:val="0"/>
          <w:bCs w:val="0"/>
          <w:sz w:val="32"/>
          <w:szCs w:val="32"/>
          <w:highlight w:val="none"/>
        </w:rPr>
        <w:t>%。项目过程类指标权重为20分，得分为</w:t>
      </w:r>
      <w:r>
        <w:rPr>
          <w:rFonts w:hint="eastAsia" w:ascii="Times New Roman" w:hAnsi="Times New Roman" w:eastAsia="仿宋_GB2312"/>
          <w:b w:val="0"/>
          <w:bCs w:val="0"/>
          <w:sz w:val="32"/>
          <w:szCs w:val="32"/>
          <w:highlight w:val="none"/>
          <w:lang w:val="en-US" w:eastAsia="zh-CN"/>
        </w:rPr>
        <w:t>20</w:t>
      </w:r>
      <w:r>
        <w:rPr>
          <w:rFonts w:hint="eastAsia" w:ascii="Times New Roman" w:hAnsi="Times New Roman" w:eastAsia="仿宋_GB2312"/>
          <w:b w:val="0"/>
          <w:bCs w:val="0"/>
          <w:sz w:val="32"/>
          <w:szCs w:val="32"/>
          <w:highlight w:val="none"/>
        </w:rPr>
        <w:t xml:space="preserve">分，得分率为 </w:t>
      </w:r>
      <w:r>
        <w:rPr>
          <w:rFonts w:hint="eastAsia" w:ascii="Times New Roman" w:hAnsi="Times New Roman" w:eastAsia="仿宋_GB2312"/>
          <w:b w:val="0"/>
          <w:bCs w:val="0"/>
          <w:sz w:val="32"/>
          <w:szCs w:val="32"/>
          <w:highlight w:val="none"/>
          <w:lang w:val="en-US" w:eastAsia="zh-CN"/>
        </w:rPr>
        <w:t>100</w:t>
      </w:r>
      <w:r>
        <w:rPr>
          <w:rFonts w:hint="eastAsia" w:ascii="Times New Roman" w:hAnsi="Times New Roman" w:eastAsia="仿宋_GB2312"/>
          <w:b w:val="0"/>
          <w:bCs w:val="0"/>
          <w:sz w:val="32"/>
          <w:szCs w:val="32"/>
          <w:highlight w:val="none"/>
        </w:rPr>
        <w:t>%。项目产出类指标权重为</w:t>
      </w:r>
      <w:r>
        <w:rPr>
          <w:rFonts w:hint="eastAsia" w:ascii="Times New Roman" w:hAnsi="Times New Roman" w:eastAsia="仿宋_GB2312"/>
          <w:b w:val="0"/>
          <w:bCs w:val="0"/>
          <w:sz w:val="32"/>
          <w:szCs w:val="32"/>
          <w:highlight w:val="none"/>
          <w:lang w:val="en-US" w:eastAsia="zh-CN"/>
        </w:rPr>
        <w:t>3</w:t>
      </w:r>
      <w:r>
        <w:rPr>
          <w:rFonts w:hint="eastAsia" w:ascii="Times New Roman" w:hAnsi="Times New Roman" w:eastAsia="仿宋_GB2312"/>
          <w:b w:val="0"/>
          <w:bCs w:val="0"/>
          <w:sz w:val="32"/>
          <w:szCs w:val="32"/>
          <w:highlight w:val="none"/>
        </w:rPr>
        <w:t>0分，得分为</w:t>
      </w:r>
      <w:r>
        <w:rPr>
          <w:rFonts w:hint="eastAsia" w:ascii="Times New Roman" w:hAnsi="Times New Roman" w:eastAsia="仿宋_GB2312"/>
          <w:b w:val="0"/>
          <w:bCs w:val="0"/>
          <w:sz w:val="32"/>
          <w:szCs w:val="32"/>
          <w:highlight w:val="none"/>
          <w:lang w:val="en-US" w:eastAsia="zh-CN"/>
        </w:rPr>
        <w:t>30</w:t>
      </w:r>
      <w:r>
        <w:rPr>
          <w:rFonts w:hint="eastAsia" w:ascii="Times New Roman" w:hAnsi="Times New Roman" w:eastAsia="仿宋_GB2312"/>
          <w:b w:val="0"/>
          <w:bCs w:val="0"/>
          <w:sz w:val="32"/>
          <w:szCs w:val="32"/>
          <w:highlight w:val="none"/>
        </w:rPr>
        <w:t>分，</w:t>
      </w:r>
    </w:p>
    <w:p>
      <w:pPr>
        <w:pStyle w:val="10"/>
        <w:widowControl w:val="0"/>
        <w:spacing w:before="0" w:after="0" w:line="560" w:lineRule="exact"/>
        <w:jc w:val="both"/>
        <w:outlineLvl w:val="9"/>
        <w:rPr>
          <w:rFonts w:hint="eastAsia" w:ascii="Times New Roman" w:hAnsi="Times New Roman" w:eastAsia="仿宋_GB2312"/>
          <w:b w:val="0"/>
          <w:bCs w:val="0"/>
          <w:sz w:val="32"/>
          <w:szCs w:val="32"/>
          <w:highlight w:val="none"/>
          <w:lang w:eastAsia="zh-CN"/>
        </w:rPr>
      </w:pPr>
      <w:r>
        <w:rPr>
          <w:rFonts w:hint="eastAsia" w:ascii="Times New Roman" w:hAnsi="Times New Roman" w:eastAsia="仿宋_GB2312"/>
          <w:b w:val="0"/>
          <w:bCs w:val="0"/>
          <w:sz w:val="32"/>
          <w:szCs w:val="32"/>
          <w:highlight w:val="none"/>
          <w:lang w:val="en-US" w:eastAsia="zh-CN"/>
        </w:rPr>
        <w:t>成本类指标权重为10分，得分为10分，得分率为100%；</w:t>
      </w:r>
      <w:r>
        <w:rPr>
          <w:rFonts w:hint="eastAsia" w:ascii="Times New Roman" w:hAnsi="Times New Roman" w:eastAsia="仿宋_GB2312"/>
          <w:b w:val="0"/>
          <w:bCs w:val="0"/>
          <w:sz w:val="32"/>
          <w:szCs w:val="32"/>
          <w:highlight w:val="none"/>
        </w:rPr>
        <w:t xml:space="preserve">得分率为 </w:t>
      </w:r>
      <w:r>
        <w:rPr>
          <w:rFonts w:hint="eastAsia" w:ascii="Times New Roman" w:hAnsi="Times New Roman" w:eastAsia="仿宋_GB2312"/>
          <w:b w:val="0"/>
          <w:bCs w:val="0"/>
          <w:sz w:val="32"/>
          <w:szCs w:val="32"/>
          <w:highlight w:val="none"/>
          <w:lang w:val="en-US" w:eastAsia="zh-CN"/>
        </w:rPr>
        <w:t>100</w:t>
      </w:r>
      <w:r>
        <w:rPr>
          <w:rFonts w:hint="eastAsia" w:ascii="Times New Roman" w:hAnsi="Times New Roman" w:eastAsia="仿宋_GB2312"/>
          <w:b w:val="0"/>
          <w:bCs w:val="0"/>
          <w:sz w:val="32"/>
          <w:szCs w:val="32"/>
          <w:highlight w:val="none"/>
        </w:rPr>
        <w:t>%。项目效益类指标权重为20分，得分为</w:t>
      </w:r>
      <w:r>
        <w:rPr>
          <w:rFonts w:hint="eastAsia" w:ascii="Times New Roman" w:hAnsi="Times New Roman" w:eastAsia="仿宋_GB2312"/>
          <w:b w:val="0"/>
          <w:bCs w:val="0"/>
          <w:sz w:val="32"/>
          <w:szCs w:val="32"/>
          <w:highlight w:val="none"/>
          <w:lang w:val="en-US" w:eastAsia="zh-CN"/>
        </w:rPr>
        <w:t>20</w:t>
      </w:r>
      <w:r>
        <w:rPr>
          <w:rFonts w:hint="eastAsia" w:ascii="Times New Roman" w:hAnsi="Times New Roman" w:eastAsia="仿宋_GB2312"/>
          <w:b w:val="0"/>
          <w:bCs w:val="0"/>
          <w:sz w:val="32"/>
          <w:szCs w:val="32"/>
          <w:highlight w:val="none"/>
        </w:rPr>
        <w:t>分，得分率为</w:t>
      </w:r>
      <w:r>
        <w:rPr>
          <w:rFonts w:hint="eastAsia" w:ascii="Times New Roman" w:hAnsi="Times New Roman" w:eastAsia="仿宋_GB2312"/>
          <w:b w:val="0"/>
          <w:bCs w:val="0"/>
          <w:sz w:val="32"/>
          <w:szCs w:val="32"/>
          <w:highlight w:val="none"/>
          <w:lang w:val="en-US" w:eastAsia="zh-CN"/>
        </w:rPr>
        <w:t>100</w:t>
      </w:r>
      <w:r>
        <w:rPr>
          <w:rFonts w:hint="eastAsia" w:ascii="Times New Roman" w:hAnsi="Times New Roman" w:eastAsia="仿宋_GB2312"/>
          <w:b w:val="0"/>
          <w:bCs w:val="0"/>
          <w:sz w:val="32"/>
          <w:szCs w:val="32"/>
          <w:highlight w:val="none"/>
        </w:rPr>
        <w:t>%。具体打分情况详见：附件1综合评分表</w:t>
      </w:r>
      <w:r>
        <w:rPr>
          <w:rFonts w:hint="eastAsia" w:ascii="Times New Roman" w:hAnsi="Times New Roman" w:eastAsia="仿宋_GB2312"/>
          <w:b w:val="0"/>
          <w:bCs w:val="0"/>
          <w:sz w:val="32"/>
          <w:szCs w:val="32"/>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表1综合评分表</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32"/>
                <w:szCs w:val="32"/>
                <w:highlight w:val="none"/>
              </w:rPr>
            </w:pPr>
            <w:r>
              <w:rPr>
                <w:rFonts w:hint="eastAsia"/>
                <w:b/>
                <w:bCs/>
                <w:color w:val="000000"/>
                <w:sz w:val="32"/>
                <w:szCs w:val="3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32"/>
                <w:szCs w:val="32"/>
                <w:highlight w:val="none"/>
              </w:rPr>
            </w:pPr>
            <w:r>
              <w:rPr>
                <w:rFonts w:hint="eastAsia"/>
                <w:b/>
                <w:bCs/>
                <w:color w:val="000000"/>
                <w:sz w:val="32"/>
                <w:szCs w:val="3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32"/>
                <w:szCs w:val="32"/>
                <w:highlight w:val="none"/>
              </w:rPr>
            </w:pPr>
            <w:r>
              <w:rPr>
                <w:rFonts w:hint="eastAsia"/>
                <w:b/>
                <w:bCs/>
                <w:color w:val="000000"/>
                <w:sz w:val="32"/>
                <w:szCs w:val="32"/>
                <w:highlight w:val="none"/>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32"/>
                <w:szCs w:val="32"/>
                <w:highlight w:val="none"/>
              </w:rPr>
            </w:pPr>
            <w:r>
              <w:rPr>
                <w:rFonts w:hint="eastAsia"/>
                <w:color w:val="000000"/>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32"/>
                <w:szCs w:val="32"/>
                <w:highlight w:val="none"/>
                <w:lang w:val="en-US" w:eastAsia="zh-CN"/>
              </w:rPr>
            </w:pPr>
            <w:r>
              <w:rPr>
                <w:rFonts w:hint="eastAsia"/>
                <w:color w:val="000000"/>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32"/>
                <w:szCs w:val="32"/>
                <w:highlight w:val="none"/>
                <w:lang w:val="en-US" w:eastAsia="zh-CN"/>
              </w:rPr>
            </w:pPr>
            <w:r>
              <w:rPr>
                <w:rFonts w:hint="eastAsia"/>
                <w:color w:val="000000"/>
                <w:sz w:val="32"/>
                <w:szCs w:val="32"/>
                <w:highlight w:val="none"/>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32"/>
                <w:szCs w:val="32"/>
                <w:highlight w:val="none"/>
              </w:rPr>
            </w:pPr>
            <w:r>
              <w:rPr>
                <w:rFonts w:hint="eastAsia"/>
                <w:color w:val="000000"/>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32"/>
                <w:szCs w:val="32"/>
                <w:highlight w:val="none"/>
                <w:lang w:val="en-US" w:eastAsia="zh-CN"/>
              </w:rPr>
            </w:pPr>
            <w:r>
              <w:rPr>
                <w:rFonts w:hint="eastAsia"/>
                <w:color w:val="000000"/>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32"/>
                <w:szCs w:val="32"/>
                <w:highlight w:val="none"/>
                <w:lang w:val="en-US" w:eastAsia="zh-CN"/>
              </w:rPr>
            </w:pPr>
            <w:r>
              <w:rPr>
                <w:rFonts w:hint="eastAsia"/>
                <w:color w:val="000000"/>
                <w:sz w:val="32"/>
                <w:szCs w:val="32"/>
                <w:highlight w:val="none"/>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32"/>
                <w:szCs w:val="32"/>
                <w:highlight w:val="none"/>
              </w:rPr>
            </w:pPr>
            <w:r>
              <w:rPr>
                <w:rFonts w:hint="eastAsia"/>
                <w:color w:val="000000"/>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32"/>
                <w:szCs w:val="32"/>
                <w:highlight w:val="none"/>
                <w:lang w:val="en-US" w:eastAsia="zh-CN"/>
              </w:rPr>
            </w:pPr>
            <w:r>
              <w:rPr>
                <w:rFonts w:hint="eastAsia"/>
                <w:color w:val="000000"/>
                <w:sz w:val="32"/>
                <w:szCs w:val="32"/>
                <w:highlight w:val="none"/>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32"/>
                <w:szCs w:val="32"/>
                <w:highlight w:val="none"/>
                <w:lang w:val="en-US" w:eastAsia="zh-CN"/>
              </w:rPr>
            </w:pPr>
            <w:r>
              <w:rPr>
                <w:rFonts w:hint="eastAsia"/>
                <w:color w:val="000000"/>
                <w:sz w:val="32"/>
                <w:szCs w:val="32"/>
                <w:highlight w:val="none"/>
                <w:lang w:val="en-US" w:eastAsia="zh-CN"/>
              </w:rPr>
              <w:t>30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eastAsia="宋体"/>
                <w:color w:val="000000"/>
                <w:sz w:val="32"/>
                <w:szCs w:val="32"/>
                <w:highlight w:val="none"/>
                <w:lang w:val="en-US" w:eastAsia="zh-CN"/>
              </w:rPr>
            </w:pPr>
            <w:r>
              <w:rPr>
                <w:rFonts w:hint="eastAsia"/>
                <w:color w:val="000000"/>
                <w:sz w:val="32"/>
                <w:szCs w:val="32"/>
                <w:highlight w:val="none"/>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color w:val="000000"/>
                <w:sz w:val="32"/>
                <w:szCs w:val="32"/>
                <w:highlight w:val="none"/>
                <w:lang w:val="en-US" w:eastAsia="zh-CN"/>
              </w:rPr>
            </w:pPr>
            <w:r>
              <w:rPr>
                <w:rFonts w:hint="eastAsia"/>
                <w:color w:val="000000"/>
                <w:sz w:val="32"/>
                <w:szCs w:val="32"/>
                <w:highlight w:val="none"/>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color w:val="000000"/>
                <w:sz w:val="32"/>
                <w:szCs w:val="32"/>
                <w:highlight w:val="none"/>
                <w:lang w:val="en-US" w:eastAsia="zh-CN"/>
              </w:rPr>
            </w:pPr>
            <w:r>
              <w:rPr>
                <w:rFonts w:hint="eastAsia"/>
                <w:color w:val="000000"/>
                <w:sz w:val="32"/>
                <w:szCs w:val="32"/>
                <w:highlight w:val="none"/>
                <w:lang w:val="en-US" w:eastAsia="zh-CN"/>
              </w:rPr>
              <w:t>10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32"/>
                <w:szCs w:val="32"/>
                <w:highlight w:val="none"/>
              </w:rPr>
            </w:pPr>
            <w:r>
              <w:rPr>
                <w:rFonts w:hint="eastAsia"/>
                <w:color w:val="000000"/>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32"/>
                <w:szCs w:val="32"/>
                <w:highlight w:val="none"/>
                <w:lang w:val="en-US" w:eastAsia="zh-CN"/>
              </w:rPr>
            </w:pPr>
            <w:r>
              <w:rPr>
                <w:rFonts w:hint="eastAsia"/>
                <w:color w:val="000000"/>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32"/>
                <w:szCs w:val="32"/>
                <w:highlight w:val="none"/>
                <w:lang w:val="en-US" w:eastAsia="zh-CN"/>
              </w:rPr>
            </w:pPr>
            <w:r>
              <w:rPr>
                <w:rFonts w:hint="eastAsia"/>
                <w:color w:val="000000"/>
                <w:sz w:val="32"/>
                <w:szCs w:val="32"/>
                <w:highlight w:val="none"/>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32"/>
                <w:szCs w:val="32"/>
                <w:highlight w:val="none"/>
              </w:rPr>
            </w:pPr>
            <w:r>
              <w:rPr>
                <w:rFonts w:hint="eastAsia" w:cs="宋体"/>
                <w:b/>
                <w:bCs/>
                <w:color w:val="000000"/>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32"/>
                <w:szCs w:val="32"/>
                <w:highlight w:val="none"/>
                <w:lang w:val="en-US" w:eastAsia="zh-CN"/>
              </w:rPr>
            </w:pPr>
            <w:r>
              <w:rPr>
                <w:rFonts w:hint="eastAsia"/>
                <w:b/>
                <w:bCs/>
                <w:color w:val="000000"/>
                <w:sz w:val="32"/>
                <w:szCs w:val="3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32"/>
                <w:szCs w:val="32"/>
                <w:highlight w:val="none"/>
                <w:lang w:val="en-US" w:eastAsia="zh-CN"/>
              </w:rPr>
            </w:pPr>
            <w:r>
              <w:rPr>
                <w:rFonts w:hint="eastAsia"/>
                <w:b/>
                <w:bCs/>
                <w:color w:val="000000"/>
                <w:sz w:val="32"/>
                <w:szCs w:val="32"/>
                <w:highlight w:val="none"/>
                <w:lang w:val="en-US" w:eastAsia="zh-CN"/>
              </w:rPr>
              <w:t>100</w:t>
            </w:r>
          </w:p>
        </w:tc>
      </w:tr>
    </w:tbl>
    <w:p>
      <w:pPr>
        <w:spacing w:line="560" w:lineRule="exact"/>
        <w:ind w:firstLine="640" w:firstLineChars="200"/>
        <w:rPr>
          <w:rFonts w:eastAsia="黑体"/>
          <w:sz w:val="32"/>
          <w:szCs w:val="32"/>
          <w:highlight w:val="none"/>
        </w:rPr>
      </w:pPr>
      <w:r>
        <w:rPr>
          <w:rFonts w:eastAsia="黑体"/>
          <w:sz w:val="32"/>
          <w:szCs w:val="32"/>
          <w:highlight w:val="none"/>
        </w:rPr>
        <w:t>四、绩效评价指标分析</w:t>
      </w:r>
    </w:p>
    <w:p>
      <w:pPr>
        <w:pStyle w:val="10"/>
        <w:spacing w:before="0" w:after="0" w:line="560" w:lineRule="exact"/>
        <w:ind w:firstLine="643" w:firstLineChars="200"/>
        <w:jc w:val="both"/>
        <w:rPr>
          <w:rFonts w:ascii="Times New Roman" w:hAnsi="Times New Roman" w:eastAsia="楷体_GB2312"/>
          <w:sz w:val="32"/>
          <w:szCs w:val="32"/>
          <w:highlight w:val="none"/>
        </w:rPr>
      </w:pPr>
      <w:r>
        <w:rPr>
          <w:rFonts w:ascii="Times New Roman" w:hAnsi="Times New Roman" w:eastAsia="楷体_GB2312"/>
          <w:sz w:val="32"/>
          <w:szCs w:val="32"/>
          <w:highlight w:val="none"/>
        </w:rPr>
        <w:t>（一）项目决策情况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w:t>
      </w:r>
      <w:r>
        <w:rPr>
          <w:rFonts w:hint="default" w:ascii="Times New Roman" w:hAnsi="Times New Roman" w:eastAsia="仿宋_GB2312" w:cs="Times New Roman"/>
          <w:sz w:val="32"/>
          <w:szCs w:val="32"/>
          <w:highlight w:val="none"/>
          <w:lang w:val="en-US" w:eastAsia="zh-CN"/>
        </w:rPr>
        <w:t>容，由6个三级指标构成，权重分值为20分，实际得分20分，得分率为100%。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Hans"/>
        </w:rPr>
        <w:t>年初结合实际工作内容</w:t>
      </w:r>
      <w:r>
        <w:rPr>
          <w:rFonts w:hint="eastAsia" w:ascii="仿宋_GB2312" w:hAnsi="仿宋_GB2312" w:eastAsia="仿宋_GB2312" w:cs="仿宋_GB2312"/>
          <w:sz w:val="32"/>
          <w:szCs w:val="32"/>
          <w:highlight w:val="none"/>
          <w:lang w:val="en-US" w:eastAsia="zh-CN"/>
        </w:rPr>
        <w:t>设定绩效目标</w:t>
      </w:r>
      <w:r>
        <w:rPr>
          <w:rFonts w:hint="eastAsia" w:ascii="仿宋_GB2312" w:hAnsi="仿宋_GB2312" w:eastAsia="仿宋_GB2312" w:cs="仿宋_GB2312"/>
          <w:sz w:val="32"/>
          <w:szCs w:val="32"/>
          <w:highlight w:val="none"/>
          <w:lang w:val="en-US" w:eastAsia="zh-Hans"/>
        </w:rPr>
        <w:t>，绩效目标</w:t>
      </w:r>
      <w:r>
        <w:rPr>
          <w:rFonts w:hint="eastAsia" w:ascii="仿宋_GB2312" w:hAnsi="仿宋_GB2312" w:eastAsia="仿宋_GB2312" w:cs="仿宋_GB2312"/>
          <w:sz w:val="32"/>
          <w:szCs w:val="32"/>
          <w:highlight w:val="none"/>
          <w:lang w:val="en-US" w:eastAsia="zh-CN"/>
        </w:rPr>
        <w:t>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资金分配额度与项目单位实际工作内容相适应，资金分配额度合理，资金分配依据充分。</w:t>
      </w:r>
    </w:p>
    <w:p>
      <w:pPr>
        <w:pStyle w:val="10"/>
        <w:numPr>
          <w:ilvl w:val="0"/>
          <w:numId w:val="5"/>
        </w:numPr>
        <w:spacing w:before="0" w:after="0" w:line="560" w:lineRule="exact"/>
        <w:ind w:firstLine="643" w:firstLineChars="200"/>
        <w:jc w:val="both"/>
        <w:rPr>
          <w:rFonts w:ascii="楷体" w:hAnsi="楷体" w:eastAsia="楷体" w:cs="楷体"/>
          <w:sz w:val="32"/>
          <w:szCs w:val="32"/>
          <w:highlight w:val="none"/>
        </w:rPr>
      </w:pPr>
      <w:r>
        <w:rPr>
          <w:rFonts w:hint="eastAsia" w:ascii="楷体" w:hAnsi="楷体" w:eastAsia="楷体" w:cs="楷体"/>
          <w:sz w:val="32"/>
          <w:szCs w:val="32"/>
          <w:highlight w:val="none"/>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5个三级指标构成，权重分值为20分，实际得分20分，得分率为20%</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w:t>
      </w:r>
      <w:r>
        <w:rPr>
          <w:rFonts w:hint="eastAsia" w:ascii="仿宋_GB2312" w:hAnsi="仿宋_GB2312" w:eastAsia="仿宋_GB2312" w:cs="仿宋_GB2312"/>
          <w:sz w:val="32"/>
          <w:szCs w:val="32"/>
          <w:highlight w:val="none"/>
          <w:lang w:val="en-US" w:eastAsia="zh-CN"/>
        </w:rPr>
        <w:t>）资金到位率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default" w:ascii="Times New Roman" w:hAnsi="Times New Roman" w:eastAsia="仿宋_GB2312" w:cs="Times New Roman"/>
          <w:b w:val="0"/>
          <w:bCs w:val="0"/>
          <w:sz w:val="32"/>
          <w:szCs w:val="32"/>
          <w:highlight w:val="none"/>
          <w:lang w:val="en-US" w:eastAsia="zh-CN"/>
        </w:rPr>
        <w:t>647.27万元，财政资金及时足额到位，到位率100%，预算资金按</w:t>
      </w:r>
      <w:r>
        <w:rPr>
          <w:rFonts w:hint="default" w:ascii="Times New Roman" w:hAnsi="Times New Roman" w:eastAsia="仿宋_GB2312" w:cs="Times New Roman"/>
          <w:sz w:val="32"/>
          <w:szCs w:val="32"/>
          <w:highlight w:val="none"/>
          <w:lang w:val="en-US" w:eastAsia="zh-CN"/>
        </w:rPr>
        <w:t>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w:t>
      </w:r>
      <w:r>
        <w:rPr>
          <w:rFonts w:hint="eastAsia" w:ascii="仿宋_GB2312" w:hAnsi="仿宋_GB2312" w:eastAsia="仿宋_GB2312" w:cs="仿宋_GB2312"/>
          <w:sz w:val="32"/>
          <w:szCs w:val="32"/>
          <w:highlight w:val="none"/>
          <w:lang w:val="en-US" w:eastAsia="zh-CN"/>
        </w:rPr>
        <w:t>）预算执行率</w:t>
      </w:r>
    </w:p>
    <w:p>
      <w:pPr>
        <w:shd w:val="clear"/>
        <w:spacing w:line="600" w:lineRule="exact"/>
        <w:ind w:firstLine="640" w:firstLineChars="200"/>
        <w:outlineLvl w:val="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default" w:ascii="Times New Roman" w:hAnsi="Times New Roman" w:eastAsia="仿宋_GB2312" w:cs="Times New Roman"/>
          <w:b w:val="0"/>
          <w:bCs w:val="0"/>
          <w:sz w:val="32"/>
          <w:szCs w:val="32"/>
          <w:highlight w:val="none"/>
          <w:lang w:val="en-US" w:eastAsia="zh-CN"/>
        </w:rPr>
        <w:t>647.27万元，预算执行率为100%。</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3</w:t>
      </w:r>
      <w:r>
        <w:rPr>
          <w:rFonts w:hint="eastAsia" w:ascii="仿宋_GB2312" w:hAnsi="仿宋_GB2312" w:eastAsia="仿宋_GB2312" w:cs="仿宋_GB2312"/>
          <w:b w:val="0"/>
          <w:bCs w:val="0"/>
          <w:sz w:val="32"/>
          <w:szCs w:val="32"/>
          <w:highlight w:val="none"/>
          <w:lang w:val="en-US" w:eastAsia="zh-CN"/>
        </w:rPr>
        <w:t>）资金使用合规性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项目严格按照预期绩</w:t>
      </w:r>
      <w:r>
        <w:rPr>
          <w:rFonts w:hint="eastAsia" w:ascii="仿宋_GB2312" w:hAnsi="仿宋_GB2312" w:eastAsia="仿宋_GB2312" w:cs="仿宋_GB2312"/>
          <w:sz w:val="32"/>
          <w:szCs w:val="32"/>
          <w:highlight w:val="none"/>
          <w:lang w:val="en-US" w:eastAsia="zh-CN"/>
        </w:rPr>
        <w:t>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w:t>
      </w:r>
      <w:r>
        <w:rPr>
          <w:rFonts w:hint="eastAsia" w:ascii="仿宋_GB2312" w:hAnsi="仿宋_GB2312" w:eastAsia="仿宋_GB2312" w:cs="仿宋_GB2312"/>
          <w:sz w:val="32"/>
          <w:szCs w:val="32"/>
          <w:highlight w:val="none"/>
          <w:lang w:val="en-US" w:eastAsia="zh-CN"/>
        </w:rPr>
        <w:t>）管理制度健全性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w:t>
      </w:r>
      <w:r>
        <w:rPr>
          <w:rFonts w:hint="eastAsia" w:ascii="仿宋_GB2312" w:hAnsi="仿宋_GB2312" w:eastAsia="仿宋_GB2312" w:cs="仿宋_GB2312"/>
          <w:sz w:val="32"/>
          <w:szCs w:val="32"/>
          <w:highlight w:val="none"/>
          <w:lang w:val="en-US" w:eastAsia="zh-CN"/>
        </w:rPr>
        <w:t>）制度执行有效性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2"/>
        <w:numPr>
          <w:ilvl w:val="0"/>
          <w:numId w:val="5"/>
        </w:numPr>
        <w:spacing w:line="560" w:lineRule="exact"/>
        <w:ind w:firstLine="643"/>
        <w:rPr>
          <w:rFonts w:eastAsia="楷体_GB2312"/>
          <w:b/>
          <w:bCs/>
          <w:sz w:val="32"/>
          <w:szCs w:val="32"/>
          <w:highlight w:val="none"/>
        </w:rPr>
      </w:pPr>
      <w:r>
        <w:rPr>
          <w:rFonts w:eastAsia="楷体_GB2312"/>
          <w:b/>
          <w:bCs/>
          <w:sz w:val="32"/>
          <w:szCs w:val="32"/>
          <w:highlight w:val="none"/>
        </w:rPr>
        <w:t>项目产出</w:t>
      </w:r>
      <w:r>
        <w:rPr>
          <w:rFonts w:hint="eastAsia" w:eastAsia="楷体_GB2312"/>
          <w:b/>
          <w:bCs/>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项目产出类指标包括产出数量、产出质量、产出时效、产出成本四方面的内容，由4个三级指标构成，权重分为30分，实际得分30分，得分率为100%。具体产出指标完成情况如下：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b/>
          <w:bCs w:val="0"/>
          <w:color w:val="auto"/>
          <w:sz w:val="32"/>
          <w:szCs w:val="32"/>
          <w:highlight w:val="none"/>
          <w:lang w:val="en-US" w:eastAsia="zh-CN"/>
        </w:rPr>
      </w:pPr>
      <w:bookmarkStart w:id="4" w:name="_Toc6754"/>
      <w:r>
        <w:rPr>
          <w:rFonts w:hint="eastAsia" w:ascii="汉仪书宋二S" w:hAnsi="汉仪书宋二S" w:eastAsia="汉仪书宋二S" w:cs="汉仪书宋二S"/>
          <w:b/>
          <w:bCs w:val="0"/>
          <w:color w:val="auto"/>
          <w:sz w:val="32"/>
          <w:szCs w:val="32"/>
          <w:highlight w:val="none"/>
          <w:lang w:val="en-US" w:eastAsia="zh-CN"/>
        </w:rPr>
        <w:t>①</w:t>
      </w:r>
      <w:r>
        <w:rPr>
          <w:rFonts w:hint="eastAsia" w:ascii="仿宋_GB2312" w:hAnsi="仿宋_GB2312" w:eastAsia="仿宋_GB2312" w:cs="仿宋_GB2312"/>
          <w:b w:val="0"/>
          <w:bCs w:val="0"/>
          <w:sz w:val="32"/>
          <w:szCs w:val="32"/>
          <w:highlight w:val="none"/>
          <w:lang w:val="en-US" w:eastAsia="zh-CN"/>
        </w:rPr>
        <w:t>数量指标：</w:t>
      </w:r>
    </w:p>
    <w:p>
      <w:pPr>
        <w:shd w:val="clear"/>
        <w:spacing w:line="600" w:lineRule="exact"/>
        <w:ind w:firstLine="640" w:firstLineChars="200"/>
        <w:outlineLvl w:val="0"/>
        <w:rPr>
          <w:rFonts w:hint="default" w:ascii="Times New Roman" w:hAnsi="Times New Roman" w:eastAsia="仿宋_GB2312" w:cs="Times New Roman"/>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第三方服务企业数量，</w:t>
      </w:r>
      <w:bookmarkEnd w:id="4"/>
      <w:r>
        <w:rPr>
          <w:rFonts w:hint="eastAsia" w:ascii="仿宋_GB2312" w:hAnsi="仿宋_GB2312" w:eastAsia="仿宋_GB2312" w:cs="仿宋_GB2312"/>
          <w:b w:val="0"/>
          <w:bCs w:val="0"/>
          <w:sz w:val="32"/>
          <w:szCs w:val="32"/>
          <w:highlight w:val="none"/>
          <w:lang w:val="en-US" w:eastAsia="zh-CN"/>
        </w:rPr>
        <w:t>目标值≥</w:t>
      </w:r>
      <w:r>
        <w:rPr>
          <w:rFonts w:hint="default" w:ascii="Times New Roman" w:hAnsi="Times New Roman" w:eastAsia="仿宋_GB2312" w:cs="Times New Roman"/>
          <w:b w:val="0"/>
          <w:bCs w:val="0"/>
          <w:sz w:val="32"/>
          <w:szCs w:val="32"/>
          <w:highlight w:val="none"/>
          <w:lang w:val="en-US" w:eastAsia="zh-CN"/>
        </w:rPr>
        <w:t>3家，实际完成值3家，完成率100%；</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图纸设计，目标值=</w:t>
      </w:r>
      <w:r>
        <w:rPr>
          <w:rFonts w:hint="default" w:ascii="Times New Roman" w:hAnsi="Times New Roman" w:eastAsia="仿宋_GB2312" w:cs="Times New Roman"/>
          <w:b w:val="0"/>
          <w:bCs w:val="0"/>
          <w:sz w:val="32"/>
          <w:szCs w:val="32"/>
          <w:highlight w:val="none"/>
          <w:lang w:val="en-US" w:eastAsia="zh-CN"/>
        </w:rPr>
        <w:t>1套，实际完成值1套，完成率100%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工程质量检测报告数，目标值≥</w:t>
      </w:r>
      <w:r>
        <w:rPr>
          <w:rFonts w:hint="default" w:ascii="Times New Roman" w:hAnsi="Times New Roman" w:eastAsia="仿宋_GB2312" w:cs="Times New Roman"/>
          <w:b w:val="0"/>
          <w:bCs w:val="0"/>
          <w:sz w:val="32"/>
          <w:szCs w:val="32"/>
          <w:highlight w:val="none"/>
          <w:lang w:val="en-US" w:eastAsia="zh-CN"/>
        </w:rPr>
        <w:t>50</w:t>
      </w:r>
      <w:r>
        <w:rPr>
          <w:rFonts w:hint="eastAsia" w:ascii="仿宋_GB2312" w:hAnsi="仿宋_GB2312" w:eastAsia="仿宋_GB2312" w:cs="仿宋_GB2312"/>
          <w:b w:val="0"/>
          <w:bCs w:val="0"/>
          <w:sz w:val="32"/>
          <w:szCs w:val="32"/>
          <w:highlight w:val="none"/>
          <w:lang w:val="en-US" w:eastAsia="zh-CN"/>
        </w:rPr>
        <w:t>份，实际完成值</w:t>
      </w:r>
      <w:r>
        <w:rPr>
          <w:rFonts w:hint="default" w:ascii="Times New Roman" w:hAnsi="Times New Roman" w:eastAsia="仿宋_GB2312" w:cs="Times New Roman"/>
          <w:b w:val="0"/>
          <w:bCs w:val="0"/>
          <w:sz w:val="32"/>
          <w:szCs w:val="32"/>
          <w:highlight w:val="none"/>
          <w:lang w:val="en-US" w:eastAsia="zh-CN"/>
        </w:rPr>
        <w:t>50</w:t>
      </w:r>
      <w:r>
        <w:rPr>
          <w:rFonts w:hint="eastAsia" w:ascii="仿宋_GB2312" w:hAnsi="仿宋_GB2312" w:eastAsia="仿宋_GB2312" w:cs="仿宋_GB2312"/>
          <w:b w:val="0"/>
          <w:bCs w:val="0"/>
          <w:sz w:val="32"/>
          <w:szCs w:val="32"/>
          <w:highlight w:val="none"/>
          <w:lang w:val="en-US" w:eastAsia="zh-CN"/>
        </w:rPr>
        <w:t>份，完成率</w:t>
      </w:r>
      <w:r>
        <w:rPr>
          <w:rFonts w:hint="default" w:ascii="Times New Roman" w:hAnsi="Times New Roman" w:eastAsia="仿宋_GB2312" w:cs="Times New Roman"/>
          <w:b w:val="0"/>
          <w:bCs w:val="0"/>
          <w:sz w:val="32"/>
          <w:szCs w:val="32"/>
          <w:highlight w:val="none"/>
          <w:lang w:val="en-US" w:eastAsia="zh-CN"/>
        </w:rPr>
        <w:t>100%；</w:t>
      </w:r>
    </w:p>
    <w:p>
      <w:pPr>
        <w:shd w:val="clear"/>
        <w:spacing w:line="600" w:lineRule="exact"/>
        <w:ind w:firstLine="643" w:firstLineChars="200"/>
        <w:outlineLvl w:val="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②质量指标：</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第三方服务质量合格率，目标值≥</w:t>
      </w:r>
      <w:r>
        <w:rPr>
          <w:rFonts w:hint="default" w:ascii="Times New Roman" w:hAnsi="Times New Roman" w:eastAsia="仿宋_GB2312" w:cs="Times New Roman"/>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lang w:val="en-US" w:eastAsia="zh-CN"/>
        </w:rPr>
        <w:t>%，实际完成值</w:t>
      </w:r>
      <w:r>
        <w:rPr>
          <w:rFonts w:hint="default" w:ascii="Times New Roman" w:hAnsi="Times New Roman" w:eastAsia="仿宋_GB2312" w:cs="Times New Roman"/>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lang w:val="en-US" w:eastAsia="zh-CN"/>
        </w:rPr>
        <w:t>，完成率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资金支付规范合格率，目标值≥</w:t>
      </w:r>
      <w:r>
        <w:rPr>
          <w:rFonts w:hint="default" w:ascii="Times New Roman" w:hAnsi="Times New Roman" w:eastAsia="仿宋_GB2312" w:cs="Times New Roman"/>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lang w:val="en-US" w:eastAsia="zh-CN"/>
        </w:rPr>
        <w:t>，实际完成值</w:t>
      </w:r>
      <w:r>
        <w:rPr>
          <w:rFonts w:hint="default" w:ascii="Times New Roman" w:hAnsi="Times New Roman" w:eastAsia="仿宋_GB2312" w:cs="Times New Roman"/>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lang w:val="en-US" w:eastAsia="zh-CN"/>
        </w:rPr>
        <w:t>%，完成率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图纸审查合格率，目标值≥</w:t>
      </w:r>
      <w:r>
        <w:rPr>
          <w:rFonts w:hint="default" w:ascii="Times New Roman" w:hAnsi="Times New Roman" w:eastAsia="仿宋_GB2312" w:cs="Times New Roman"/>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lang w:val="en-US" w:eastAsia="zh-CN"/>
        </w:rPr>
        <w:t>，实际完成值</w:t>
      </w:r>
      <w:r>
        <w:rPr>
          <w:rFonts w:hint="default" w:ascii="Times New Roman" w:hAnsi="Times New Roman" w:eastAsia="仿宋_GB2312" w:cs="Times New Roman"/>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lang w:val="en-US" w:eastAsia="zh-CN"/>
        </w:rPr>
        <w:t>，完成率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工程质量检查合格率，目标值≥</w:t>
      </w:r>
      <w:r>
        <w:rPr>
          <w:rFonts w:hint="default" w:ascii="Times New Roman" w:hAnsi="Times New Roman" w:eastAsia="仿宋_GB2312" w:cs="Times New Roman"/>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lang w:val="en-US" w:eastAsia="zh-CN"/>
        </w:rPr>
        <w:t>，实际完成值</w:t>
      </w:r>
      <w:r>
        <w:rPr>
          <w:rFonts w:hint="default" w:ascii="Times New Roman" w:hAnsi="Times New Roman" w:eastAsia="仿宋_GB2312" w:cs="Times New Roman"/>
          <w:b w:val="0"/>
          <w:bCs w:val="0"/>
          <w:sz w:val="32"/>
          <w:szCs w:val="32"/>
          <w:highlight w:val="none"/>
          <w:lang w:val="en-US" w:eastAsia="zh-CN"/>
        </w:rPr>
        <w:t>90%</w:t>
      </w:r>
      <w:r>
        <w:rPr>
          <w:rFonts w:hint="eastAsia" w:ascii="仿宋_GB2312" w:hAnsi="仿宋_GB2312" w:eastAsia="仿宋_GB2312" w:cs="仿宋_GB2312"/>
          <w:b w:val="0"/>
          <w:bCs w:val="0"/>
          <w:sz w:val="32"/>
          <w:szCs w:val="32"/>
          <w:highlight w:val="none"/>
          <w:lang w:val="en-US" w:eastAsia="zh-CN"/>
        </w:rPr>
        <w:t>，完成率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3" w:firstLineChars="200"/>
        <w:outlineLvl w:val="0"/>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③时效指标：</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项目开工及时率，目标值=</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，实际完成值</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图纸设计及时率，目标值=</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，实际完成值</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工程质量检测及时率，目标值=</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，实际完成值</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w:t>
      </w:r>
      <w:r>
        <w:rPr>
          <w:rFonts w:hint="eastAsia" w:ascii="方正楷体_GB2312" w:hAnsi="方正楷体_GB2312" w:eastAsia="方正楷体_GB2312" w:cs="方正楷体_GB2312"/>
          <w:b/>
          <w:bCs/>
          <w:sz w:val="32"/>
          <w:szCs w:val="32"/>
          <w:lang w:val="en-US" w:eastAsia="zh-CN"/>
        </w:rPr>
        <w:t>成本情况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类指标包括</w:t>
      </w:r>
      <w:r>
        <w:rPr>
          <w:rFonts w:hint="eastAsia" w:eastAsia="仿宋_GB2312" w:cs="Times New Roman"/>
          <w:sz w:val="32"/>
          <w:szCs w:val="32"/>
          <w:lang w:val="en-US" w:eastAsia="zh-CN"/>
        </w:rPr>
        <w:t>经济成本、社会成本、生态成本三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%。具体</w:t>
      </w:r>
      <w:r>
        <w:rPr>
          <w:rFonts w:hint="eastAsia" w:eastAsia="仿宋_GB2312" w:cs="Times New Roman"/>
          <w:sz w:val="32"/>
          <w:szCs w:val="32"/>
          <w:lang w:val="en-US" w:eastAsia="zh-CN"/>
        </w:rPr>
        <w:t>成本</w:t>
      </w:r>
      <w:r>
        <w:rPr>
          <w:rFonts w:hint="default" w:ascii="Times New Roman" w:hAnsi="Times New Roman" w:eastAsia="仿宋_GB2312" w:cs="Times New Roman"/>
          <w:sz w:val="32"/>
          <w:szCs w:val="32"/>
          <w:lang w:val="en-US" w:eastAsia="zh-CN"/>
        </w:rPr>
        <w:t>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规划设计费，目标值≤</w:t>
      </w:r>
      <w:r>
        <w:rPr>
          <w:rFonts w:hint="default" w:ascii="Times New Roman" w:hAnsi="Times New Roman" w:eastAsia="仿宋_GB2312" w:cs="Times New Roman"/>
          <w:b w:val="0"/>
          <w:bCs w:val="0"/>
          <w:sz w:val="32"/>
          <w:szCs w:val="32"/>
          <w:highlight w:val="none"/>
          <w:lang w:val="en-US" w:eastAsia="zh-CN"/>
        </w:rPr>
        <w:t>486.02</w:t>
      </w:r>
      <w:r>
        <w:rPr>
          <w:rFonts w:hint="eastAsia" w:ascii="仿宋_GB2312" w:hAnsi="仿宋_GB2312" w:eastAsia="仿宋_GB2312" w:cs="仿宋_GB2312"/>
          <w:b w:val="0"/>
          <w:bCs w:val="0"/>
          <w:sz w:val="32"/>
          <w:szCs w:val="32"/>
          <w:highlight w:val="none"/>
          <w:lang w:val="en-US" w:eastAsia="zh-CN"/>
        </w:rPr>
        <w:t>万元，实际完成值</w:t>
      </w:r>
      <w:r>
        <w:rPr>
          <w:rFonts w:hint="default" w:ascii="Times New Roman" w:hAnsi="Times New Roman" w:eastAsia="仿宋_GB2312" w:cs="Times New Roman"/>
          <w:b w:val="0"/>
          <w:bCs w:val="0"/>
          <w:sz w:val="32"/>
          <w:szCs w:val="32"/>
          <w:highlight w:val="none"/>
          <w:lang w:val="en-US" w:eastAsia="zh-CN"/>
        </w:rPr>
        <w:t>486.02</w:t>
      </w:r>
      <w:r>
        <w:rPr>
          <w:rFonts w:hint="eastAsia" w:ascii="仿宋_GB2312" w:hAnsi="仿宋_GB2312" w:eastAsia="仿宋_GB2312" w:cs="仿宋_GB2312"/>
          <w:b w:val="0"/>
          <w:bCs w:val="0"/>
          <w:sz w:val="32"/>
          <w:szCs w:val="32"/>
          <w:highlight w:val="none"/>
          <w:lang w:val="en-US" w:eastAsia="zh-CN"/>
        </w:rPr>
        <w:t>万元，完成率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监理费，目标值≤</w:t>
      </w:r>
      <w:r>
        <w:rPr>
          <w:rFonts w:hint="default" w:ascii="Times New Roman" w:hAnsi="Times New Roman" w:eastAsia="仿宋_GB2312" w:cs="Times New Roman"/>
          <w:b w:val="0"/>
          <w:bCs w:val="0"/>
          <w:sz w:val="32"/>
          <w:szCs w:val="32"/>
          <w:highlight w:val="none"/>
          <w:lang w:val="en-US" w:eastAsia="zh-CN"/>
        </w:rPr>
        <w:t>138.85</w:t>
      </w:r>
      <w:r>
        <w:rPr>
          <w:rFonts w:hint="eastAsia" w:ascii="仿宋_GB2312" w:hAnsi="仿宋_GB2312" w:eastAsia="仿宋_GB2312" w:cs="仿宋_GB2312"/>
          <w:b w:val="0"/>
          <w:bCs w:val="0"/>
          <w:sz w:val="32"/>
          <w:szCs w:val="32"/>
          <w:highlight w:val="none"/>
          <w:lang w:val="en-US" w:eastAsia="zh-CN"/>
        </w:rPr>
        <w:t>万元，实际完成值</w:t>
      </w:r>
      <w:r>
        <w:rPr>
          <w:rFonts w:hint="default" w:ascii="Times New Roman" w:hAnsi="Times New Roman" w:eastAsia="仿宋_GB2312" w:cs="Times New Roman"/>
          <w:b w:val="0"/>
          <w:bCs w:val="0"/>
          <w:sz w:val="32"/>
          <w:szCs w:val="32"/>
          <w:highlight w:val="none"/>
          <w:lang w:val="en-US" w:eastAsia="zh-CN"/>
        </w:rPr>
        <w:t>138.85</w:t>
      </w:r>
      <w:r>
        <w:rPr>
          <w:rFonts w:hint="eastAsia" w:ascii="仿宋_GB2312" w:hAnsi="仿宋_GB2312" w:eastAsia="仿宋_GB2312" w:cs="仿宋_GB2312"/>
          <w:b w:val="0"/>
          <w:bCs w:val="0"/>
          <w:sz w:val="32"/>
          <w:szCs w:val="32"/>
          <w:highlight w:val="none"/>
          <w:lang w:val="en-US" w:eastAsia="zh-CN"/>
        </w:rPr>
        <w:t>万元，完成率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检测费，目标值≤</w:t>
      </w:r>
      <w:r>
        <w:rPr>
          <w:rFonts w:hint="default" w:ascii="Times New Roman" w:hAnsi="Times New Roman" w:eastAsia="仿宋_GB2312" w:cs="Times New Roman"/>
          <w:b w:val="0"/>
          <w:bCs w:val="0"/>
          <w:sz w:val="32"/>
          <w:szCs w:val="32"/>
          <w:highlight w:val="none"/>
          <w:lang w:val="en-US" w:eastAsia="zh-CN"/>
        </w:rPr>
        <w:t>14.84</w:t>
      </w:r>
      <w:r>
        <w:rPr>
          <w:rFonts w:hint="eastAsia" w:ascii="仿宋_GB2312" w:hAnsi="仿宋_GB2312" w:eastAsia="仿宋_GB2312" w:cs="仿宋_GB2312"/>
          <w:b w:val="0"/>
          <w:bCs w:val="0"/>
          <w:sz w:val="32"/>
          <w:szCs w:val="32"/>
          <w:highlight w:val="none"/>
          <w:lang w:val="en-US" w:eastAsia="zh-CN"/>
        </w:rPr>
        <w:t>万元，实际完成值</w:t>
      </w:r>
      <w:r>
        <w:rPr>
          <w:rFonts w:hint="default" w:ascii="Times New Roman" w:hAnsi="Times New Roman" w:eastAsia="仿宋_GB2312" w:cs="Times New Roman"/>
          <w:b w:val="0"/>
          <w:bCs w:val="0"/>
          <w:sz w:val="32"/>
          <w:szCs w:val="32"/>
          <w:highlight w:val="none"/>
          <w:lang w:val="en-US" w:eastAsia="zh-CN"/>
        </w:rPr>
        <w:t>14.84</w:t>
      </w:r>
      <w:r>
        <w:rPr>
          <w:rFonts w:hint="eastAsia" w:ascii="仿宋_GB2312" w:hAnsi="仿宋_GB2312" w:eastAsia="仿宋_GB2312" w:cs="仿宋_GB2312"/>
          <w:b w:val="0"/>
          <w:bCs w:val="0"/>
          <w:sz w:val="32"/>
          <w:szCs w:val="32"/>
          <w:highlight w:val="none"/>
          <w:lang w:val="en-US" w:eastAsia="zh-CN"/>
        </w:rPr>
        <w:t>万元，完成率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质保金，目标值≤</w:t>
      </w:r>
      <w:r>
        <w:rPr>
          <w:rFonts w:hint="default" w:ascii="Times New Roman" w:hAnsi="Times New Roman" w:eastAsia="仿宋_GB2312" w:cs="Times New Roman"/>
          <w:b w:val="0"/>
          <w:bCs w:val="0"/>
          <w:sz w:val="32"/>
          <w:szCs w:val="32"/>
          <w:highlight w:val="none"/>
          <w:lang w:val="en-US" w:eastAsia="zh-CN"/>
        </w:rPr>
        <w:t>1.06万</w:t>
      </w:r>
      <w:r>
        <w:rPr>
          <w:rFonts w:hint="eastAsia" w:ascii="仿宋_GB2312" w:hAnsi="仿宋_GB2312" w:eastAsia="仿宋_GB2312" w:cs="仿宋_GB2312"/>
          <w:b w:val="0"/>
          <w:bCs w:val="0"/>
          <w:sz w:val="32"/>
          <w:szCs w:val="32"/>
          <w:highlight w:val="none"/>
          <w:lang w:val="en-US" w:eastAsia="zh-CN"/>
        </w:rPr>
        <w:t>元，实际完成值</w:t>
      </w:r>
      <w:r>
        <w:rPr>
          <w:rFonts w:hint="default" w:ascii="Times New Roman" w:hAnsi="Times New Roman" w:eastAsia="仿宋_GB2312" w:cs="Times New Roman"/>
          <w:b w:val="0"/>
          <w:bCs w:val="0"/>
          <w:sz w:val="32"/>
          <w:szCs w:val="32"/>
          <w:highlight w:val="none"/>
          <w:lang w:val="en-US" w:eastAsia="zh-CN"/>
        </w:rPr>
        <w:t>1.06</w:t>
      </w:r>
      <w:r>
        <w:rPr>
          <w:rFonts w:hint="eastAsia" w:ascii="仿宋_GB2312" w:hAnsi="仿宋_GB2312" w:eastAsia="仿宋_GB2312" w:cs="仿宋_GB2312"/>
          <w:b w:val="0"/>
          <w:bCs w:val="0"/>
          <w:sz w:val="32"/>
          <w:szCs w:val="32"/>
          <w:highlight w:val="none"/>
          <w:lang w:val="en-US" w:eastAsia="zh-CN"/>
        </w:rPr>
        <w:t>万元，完成率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造价金，目标值≤</w:t>
      </w:r>
      <w:r>
        <w:rPr>
          <w:rFonts w:hint="default" w:ascii="Times New Roman" w:hAnsi="Times New Roman" w:eastAsia="仿宋_GB2312" w:cs="Times New Roman"/>
          <w:b w:val="0"/>
          <w:bCs w:val="0"/>
          <w:sz w:val="32"/>
          <w:szCs w:val="32"/>
          <w:highlight w:val="none"/>
          <w:lang w:val="en-US" w:eastAsia="zh-CN"/>
        </w:rPr>
        <w:t>6.50</w:t>
      </w:r>
      <w:r>
        <w:rPr>
          <w:rFonts w:hint="eastAsia" w:ascii="仿宋_GB2312" w:hAnsi="仿宋_GB2312" w:eastAsia="仿宋_GB2312" w:cs="仿宋_GB2312"/>
          <w:b w:val="0"/>
          <w:bCs w:val="0"/>
          <w:sz w:val="32"/>
          <w:szCs w:val="32"/>
          <w:highlight w:val="none"/>
          <w:lang w:val="en-US" w:eastAsia="zh-CN"/>
        </w:rPr>
        <w:t>万元，实际完成值</w:t>
      </w:r>
      <w:r>
        <w:rPr>
          <w:rFonts w:hint="default" w:ascii="Times New Roman" w:hAnsi="Times New Roman" w:eastAsia="仿宋_GB2312" w:cs="Times New Roman"/>
          <w:b w:val="0"/>
          <w:bCs w:val="0"/>
          <w:sz w:val="32"/>
          <w:szCs w:val="32"/>
          <w:highlight w:val="none"/>
          <w:lang w:val="en-US" w:eastAsia="zh-CN"/>
        </w:rPr>
        <w:t>6.50</w:t>
      </w:r>
      <w:r>
        <w:rPr>
          <w:rFonts w:hint="eastAsia" w:ascii="仿宋_GB2312" w:hAnsi="仿宋_GB2312" w:eastAsia="仿宋_GB2312" w:cs="仿宋_GB2312"/>
          <w:b w:val="0"/>
          <w:bCs w:val="0"/>
          <w:sz w:val="32"/>
          <w:szCs w:val="32"/>
          <w:highlight w:val="none"/>
          <w:lang w:val="en-US" w:eastAsia="zh-CN"/>
        </w:rPr>
        <w:t>万元，完成率</w:t>
      </w:r>
      <w:r>
        <w:rPr>
          <w:rFonts w:hint="default" w:ascii="Times New Roman" w:hAnsi="Times New Roman" w:eastAsia="仿宋_GB2312" w:cs="Times New Roman"/>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lang w:val="en-US" w:eastAsia="zh-CN"/>
        </w:rPr>
        <w:t>；</w:t>
      </w:r>
    </w:p>
    <w:p>
      <w:pPr>
        <w:pStyle w:val="12"/>
        <w:numPr>
          <w:ilvl w:val="0"/>
          <w:numId w:val="5"/>
        </w:numPr>
        <w:spacing w:line="560" w:lineRule="exact"/>
        <w:ind w:firstLine="643"/>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由2个三级指标构成，权重分为20分，实际得分20分，得分率为100%。具体效益指标及满意度指标完成情况如下：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Cs/>
          <w:color w:val="auto"/>
          <w:sz w:val="32"/>
          <w:szCs w:val="32"/>
          <w:highlight w:val="none"/>
          <w:lang w:val="en-US" w:eastAsia="zh-CN"/>
        </w:rPr>
      </w:pPr>
      <w:r>
        <w:rPr>
          <w:rFonts w:hint="eastAsia" w:ascii="Times New Roman" w:hAnsi="Times New Roman" w:eastAsia="仿宋_GB2312"/>
          <w:bCs/>
          <w:color w:val="auto"/>
          <w:sz w:val="32"/>
          <w:szCs w:val="32"/>
          <w:highlight w:val="none"/>
          <w:lang w:val="en-US" w:eastAsia="zh-CN"/>
        </w:rPr>
        <w:t>工程质量安全，目标值提升，实际完成值提升，完成率100%；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Times New Roman" w:hAnsi="Times New Roman" w:eastAsia="仿宋_GB2312"/>
          <w:bCs/>
          <w:color w:val="auto"/>
          <w:sz w:val="32"/>
          <w:szCs w:val="32"/>
          <w:highlight w:val="none"/>
          <w:lang w:val="en-US" w:eastAsia="zh-CN"/>
        </w:rPr>
        <w:t>项目管理规范性，目标值提升，实际完成值提升，完成率100%</w:t>
      </w:r>
      <w:r>
        <w:rPr>
          <w:rFonts w:hint="eastAsia" w:ascii="仿宋_GB2312" w:hAnsi="仿宋_GB2312" w:eastAsia="仿宋_GB2312" w:cs="仿宋_GB2312"/>
          <w:b w:val="0"/>
          <w:bCs w:val="0"/>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pPr>
        <w:pStyle w:val="19"/>
        <w:spacing w:line="560" w:lineRule="exact"/>
        <w:ind w:firstLine="64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满意度指标：</w:t>
      </w:r>
      <w:r>
        <w:rPr>
          <w:rFonts w:hint="eastAsia" w:ascii="Times New Roman" w:hAnsi="Times New Roman" w:eastAsia="仿宋_GB2312"/>
          <w:bCs/>
          <w:color w:val="auto"/>
          <w:sz w:val="32"/>
          <w:szCs w:val="32"/>
          <w:highlight w:val="none"/>
          <w:lang w:val="en-US" w:eastAsia="zh-CN"/>
        </w:rPr>
        <w:t>学校满意度，目标值≥</w:t>
      </w:r>
      <w:r>
        <w:rPr>
          <w:rFonts w:hint="eastAsia" w:eastAsia="仿宋_GB2312"/>
          <w:bCs/>
          <w:color w:val="auto"/>
          <w:sz w:val="32"/>
          <w:szCs w:val="32"/>
          <w:highlight w:val="none"/>
          <w:lang w:val="en-US" w:eastAsia="zh-CN"/>
        </w:rPr>
        <w:t>90</w:t>
      </w:r>
      <w:r>
        <w:rPr>
          <w:rFonts w:hint="eastAsia" w:ascii="Times New Roman" w:hAnsi="Times New Roman" w:eastAsia="仿宋_GB2312"/>
          <w:bCs/>
          <w:color w:val="auto"/>
          <w:sz w:val="32"/>
          <w:szCs w:val="32"/>
          <w:highlight w:val="none"/>
          <w:lang w:val="en-US" w:eastAsia="zh-CN"/>
        </w:rPr>
        <w:t>%，实际完成值</w:t>
      </w:r>
      <w:r>
        <w:rPr>
          <w:rFonts w:hint="eastAsia" w:eastAsia="仿宋_GB2312"/>
          <w:bCs/>
          <w:color w:val="auto"/>
          <w:sz w:val="32"/>
          <w:szCs w:val="32"/>
          <w:highlight w:val="none"/>
          <w:lang w:val="en-US" w:eastAsia="zh-CN"/>
        </w:rPr>
        <w:t>92</w:t>
      </w:r>
      <w:r>
        <w:rPr>
          <w:rFonts w:hint="eastAsia" w:ascii="Times New Roman" w:hAnsi="Times New Roman" w:eastAsia="仿宋_GB2312"/>
          <w:bCs/>
          <w:color w:val="auto"/>
          <w:sz w:val="32"/>
          <w:szCs w:val="32"/>
          <w:highlight w:val="none"/>
          <w:lang w:val="en-US" w:eastAsia="zh-CN"/>
        </w:rPr>
        <w:t>%，完成率10</w:t>
      </w:r>
      <w:r>
        <w:rPr>
          <w:rFonts w:hint="eastAsia" w:eastAsia="仿宋_GB2312"/>
          <w:bCs/>
          <w:color w:val="auto"/>
          <w:sz w:val="32"/>
          <w:szCs w:val="32"/>
          <w:highlight w:val="none"/>
          <w:lang w:val="en-US" w:eastAsia="zh-CN"/>
        </w:rPr>
        <w:t>2.22</w:t>
      </w:r>
      <w:r>
        <w:rPr>
          <w:rFonts w:hint="eastAsia" w:ascii="Times New Roman" w:hAnsi="Times New Roman" w:eastAsia="仿宋_GB2312"/>
          <w:bCs/>
          <w:color w:val="auto"/>
          <w:sz w:val="32"/>
          <w:szCs w:val="32"/>
          <w:highlight w:val="none"/>
          <w:lang w:val="en-US" w:eastAsia="zh-CN"/>
        </w:rPr>
        <w:t>%。</w:t>
      </w:r>
      <w:r>
        <w:rPr>
          <w:rFonts w:hint="eastAsia" w:ascii="仿宋_GB2312" w:hAnsi="仿宋_GB2312" w:eastAsia="仿宋_GB2312" w:cs="仿宋_GB2312"/>
          <w:kern w:val="2"/>
          <w:sz w:val="32"/>
          <w:szCs w:val="32"/>
          <w:highlight w:val="none"/>
          <w:lang w:val="en-US" w:eastAsia="zh-CN" w:bidi="ar-SA"/>
        </w:rPr>
        <w:t>偏差原因：项目有效保障项目顺利推进，改善哈密职业教育办学条件，受到学校的喜爱，实际学校满意度达92%，大于年初目标满意度。改进措施：在下一年度设置绩效目标时不可低估学校满意度，将满意度目标值提高。</w:t>
      </w:r>
    </w:p>
    <w:p>
      <w:pPr>
        <w:spacing w:line="560" w:lineRule="exact"/>
        <w:ind w:firstLine="640" w:firstLineChars="200"/>
        <w:rPr>
          <w:rFonts w:hint="eastAsia" w:ascii="Times New Roman" w:hAnsi="Times New Roman" w:eastAsia="黑体" w:cs="Times New Roman"/>
          <w:sz w:val="32"/>
          <w:szCs w:val="32"/>
          <w:highlight w:val="none"/>
          <w:lang w:eastAsia="zh-Hans"/>
        </w:rPr>
      </w:pPr>
      <w:r>
        <w:rPr>
          <w:rFonts w:hint="eastAsia" w:ascii="Times New Roman" w:hAnsi="Times New Roman" w:eastAsia="黑体" w:cs="Times New Roman"/>
          <w:sz w:val="32"/>
          <w:szCs w:val="32"/>
          <w:highlight w:val="none"/>
          <w:lang w:eastAsia="zh-Hans"/>
        </w:rPr>
        <w:t>五、预算执行进度与绩效指标总体完成率偏差</w:t>
      </w:r>
    </w:p>
    <w:p>
      <w:pPr>
        <w:pStyle w:val="19"/>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新疆铁道职业技术学院哈密新校区一期建设项目前期费年初预算647.27万元，全年预算647.27万元，实际支出647.27万元，预算执行率为100%，项目绩效指标总体完成率为100.13%，偏差率0.13%。</w:t>
      </w:r>
    </w:p>
    <w:p>
      <w:pPr>
        <w:spacing w:line="560" w:lineRule="exact"/>
        <w:ind w:firstLine="640" w:firstLineChars="200"/>
        <w:rPr>
          <w:rStyle w:val="18"/>
          <w:rFonts w:ascii="Times New Roman" w:hAnsi="Times New Roman" w:cs="Times New Roman"/>
          <w:color w:val="auto"/>
          <w:sz w:val="32"/>
          <w:szCs w:val="32"/>
          <w:highlight w:val="none"/>
        </w:rPr>
      </w:pPr>
      <w:r>
        <w:rPr>
          <w:rFonts w:hint="eastAsia" w:eastAsia="黑体"/>
          <w:sz w:val="32"/>
          <w:szCs w:val="32"/>
          <w:highlight w:val="none"/>
          <w:lang w:eastAsia="zh-Hans"/>
        </w:rPr>
        <w:t>六</w:t>
      </w:r>
      <w:r>
        <w:rPr>
          <w:rFonts w:eastAsia="黑体"/>
          <w:sz w:val="32"/>
          <w:szCs w:val="32"/>
          <w:highlight w:val="none"/>
        </w:rPr>
        <w:t>、主要经验及做法、存在的问题及原因分析</w:t>
      </w:r>
    </w:p>
    <w:p>
      <w:pPr>
        <w:spacing w:line="560" w:lineRule="exact"/>
        <w:ind w:firstLine="627" w:firstLineChars="200"/>
        <w:rPr>
          <w:rFonts w:eastAsia="楷体"/>
          <w:b/>
          <w:spacing w:val="-4"/>
          <w:sz w:val="32"/>
          <w:szCs w:val="32"/>
          <w:highlight w:val="none"/>
        </w:rPr>
      </w:pPr>
      <w:r>
        <w:rPr>
          <w:rFonts w:eastAsia="楷体"/>
          <w:b/>
          <w:spacing w:val="-4"/>
          <w:sz w:val="32"/>
          <w:szCs w:val="32"/>
          <w:highlight w:val="none"/>
        </w:rPr>
        <w:t>（一）主要经验及做法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sz w:val="32"/>
          <w:szCs w:val="32"/>
          <w:highlight w:val="none"/>
          <w:lang w:val="en-US" w:eastAsia="zh-CN"/>
        </w:rPr>
        <w:t>1.加强组织，科学决策。成立项目建设领导小组，</w:t>
      </w:r>
      <w:r>
        <w:rPr>
          <w:rFonts w:hint="default" w:ascii="Times New Roman" w:hAnsi="Times New Roman" w:eastAsia="仿宋_GB2312" w:cs="Times New Roman"/>
          <w:kern w:val="2"/>
          <w:sz w:val="32"/>
          <w:szCs w:val="32"/>
          <w:highlight w:val="none"/>
          <w:lang w:val="en-US" w:eastAsia="zh-CN" w:bidi="ar-SA"/>
        </w:rPr>
        <w:t>坚持主要领导亲自抓，分管领导具体抓，科学安排，细化分工，</w:t>
      </w:r>
      <w:r>
        <w:rPr>
          <w:rFonts w:hint="default" w:ascii="Times New Roman" w:hAnsi="Times New Roman" w:eastAsia="仿宋_GB2312" w:cs="Times New Roman"/>
          <w:sz w:val="32"/>
          <w:szCs w:val="32"/>
          <w:highlight w:val="none"/>
          <w:lang w:val="en-US" w:eastAsia="zh-CN"/>
        </w:rPr>
        <w:t>全面推进项目实施。下设办公室及4个专项工作小组，全面保障项目用地、资金、施工、考核监督等项目实施基本要素。</w:t>
      </w:r>
      <w:r>
        <w:rPr>
          <w:rFonts w:hint="default" w:ascii="Times New Roman" w:hAnsi="Times New Roman" w:eastAsia="仿宋_GB2312" w:cs="Times New Roman"/>
          <w:b w:val="0"/>
          <w:kern w:val="2"/>
          <w:sz w:val="32"/>
          <w:szCs w:val="32"/>
          <w:highlight w:val="none"/>
          <w:lang w:val="en-US" w:eastAsia="zh-CN" w:bidi="ar-SA"/>
        </w:rPr>
        <w:t>严格执行“三重一大”议事流程，坚持民主集中制，群策群力，</w:t>
      </w:r>
      <w:r>
        <w:rPr>
          <w:rFonts w:hint="default" w:ascii="Times New Roman" w:hAnsi="Times New Roman" w:eastAsia="仿宋_GB2312" w:cs="Times New Roman"/>
          <w:kern w:val="2"/>
          <w:sz w:val="32"/>
          <w:szCs w:val="32"/>
          <w:highlight w:val="none"/>
          <w:lang w:val="en-US" w:eastAsia="zh-CN" w:bidi="ar-SA"/>
        </w:rPr>
        <w:t>规范项目决策，对于项目实施过程中的招投标、合同签订、变更签证、资金拨付等事项均由局党组（党委）审议通过后才予以实施，确保了党对项目建设工作的领导。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default" w:ascii="Times New Roman" w:hAnsi="Times New Roman" w:eastAsia="仿宋_GB2312" w:cs="Times New Roman"/>
          <w:sz w:val="32"/>
          <w:szCs w:val="32"/>
          <w:highlight w:val="none"/>
          <w:lang w:val="en-US" w:eastAsia="zh-CN"/>
        </w:rPr>
        <w:t>2.严格流程，规范实施。</w:t>
      </w:r>
      <w:r>
        <w:rPr>
          <w:rFonts w:hint="default" w:ascii="Times New Roman" w:hAnsi="Times New Roman" w:eastAsia="仿宋_GB2312" w:cs="Times New Roman"/>
          <w:kern w:val="2"/>
          <w:sz w:val="32"/>
          <w:szCs w:val="32"/>
          <w:highlight w:val="none"/>
          <w:lang w:val="en-US" w:eastAsia="zh-CN" w:bidi="ar-SA"/>
        </w:rPr>
        <w:t>扎实开展项目论证，结合学校实际及中长期发展规划，认真研究项目实施的可行性与必要性，全力保障土地、资金来源等项目实施要素。严格按照工程项目基本程序办理前期手续，科学开展勘察、规划、设计（含初设）、造价咨询（含概算）等第三方服务工作。合理确定招标（采购）方式（原则上资金未到位前不宜开展招投标工作），规范择取招标代理机构，主动开展招标公告、招标文件公平竞争审查。聘请法律顾问，对各类合同进行法律审查，合同签订要注意维护中小微企业、民营企业合法权益。按照工程建设程序组织项目开工、建设、验收、备案、建档等相关工作，加</w:t>
      </w:r>
      <w:r>
        <w:rPr>
          <w:rFonts w:hint="eastAsia" w:ascii="仿宋_GB2312" w:hAnsi="仿宋_GB2312" w:eastAsia="仿宋_GB2312" w:cs="仿宋_GB2312"/>
          <w:kern w:val="2"/>
          <w:sz w:val="32"/>
          <w:szCs w:val="32"/>
          <w:highlight w:val="none"/>
          <w:lang w:val="en-US" w:eastAsia="zh-CN" w:bidi="ar-SA"/>
        </w:rPr>
        <w:t>强部门协调，强化工程质量、施工安全，注重变更、签证，严格控制项目投资。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eastAsia="楷体_GB2312"/>
          <w:b/>
          <w:bCs/>
          <w:sz w:val="32"/>
          <w:szCs w:val="32"/>
          <w:highlight w:val="none"/>
        </w:rPr>
      </w:pPr>
      <w:r>
        <w:rPr>
          <w:rFonts w:hint="eastAsia" w:eastAsia="楷体_GB2312"/>
          <w:b/>
          <w:bCs/>
          <w:sz w:val="32"/>
          <w:szCs w:val="32"/>
          <w:highlight w:val="none"/>
          <w:lang w:eastAsia="zh-CN"/>
        </w:rPr>
        <w:t>（</w:t>
      </w:r>
      <w:r>
        <w:rPr>
          <w:rFonts w:hint="eastAsia" w:eastAsia="楷体_GB2312"/>
          <w:b/>
          <w:bCs/>
          <w:sz w:val="32"/>
          <w:szCs w:val="32"/>
          <w:highlight w:val="none"/>
          <w:lang w:val="en-US" w:eastAsia="zh-CN"/>
        </w:rPr>
        <w:t>二</w:t>
      </w:r>
      <w:r>
        <w:rPr>
          <w:rFonts w:hint="eastAsia" w:eastAsia="楷体_GB2312"/>
          <w:b/>
          <w:bCs/>
          <w:sz w:val="32"/>
          <w:szCs w:val="32"/>
          <w:highlight w:val="none"/>
          <w:lang w:eastAsia="zh-CN"/>
        </w:rPr>
        <w:t>）</w:t>
      </w:r>
      <w:r>
        <w:rPr>
          <w:rFonts w:eastAsia="楷体_GB2312"/>
          <w:b/>
          <w:bCs/>
          <w:sz w:val="32"/>
          <w:szCs w:val="32"/>
          <w:highlight w:val="none"/>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kern w:val="2"/>
          <w:sz w:val="32"/>
          <w:szCs w:val="32"/>
          <w:highlight w:val="none"/>
          <w:lang w:val="en-US" w:eastAsia="zh-CN" w:bidi="ar-SA"/>
        </w:rPr>
        <w:t>由于项目实施绩效管理时间不长，同时受到“重分配、轻管理、重产出、轻投入”思想观念的影响，导致项目实施科室对项目绩效管理不重视，存在绩效管理意识淡薄的情况。</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textAlignment w:val="auto"/>
        <w:rPr>
          <w:rFonts w:eastAsia="黑体"/>
          <w:sz w:val="32"/>
          <w:szCs w:val="32"/>
          <w:highlight w:val="none"/>
        </w:rPr>
      </w:pPr>
      <w:r>
        <w:rPr>
          <w:rFonts w:eastAsia="黑体"/>
          <w:sz w:val="32"/>
          <w:szCs w:val="32"/>
          <w:highlight w:val="none"/>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kern w:val="2"/>
          <w:sz w:val="32"/>
          <w:szCs w:val="32"/>
          <w:highlight w:val="none"/>
          <w:lang w:val="en-US" w:eastAsia="zh-CN" w:bidi="ar-SA"/>
        </w:rPr>
        <w:t>按照项目实施主体原则，压紧主体责任，通过实地督察、督办等方式，积极开展过程性、阶段性督导检查，确保工程进度、施工安全和工程质量。</w:t>
      </w:r>
    </w:p>
    <w:p>
      <w:pPr>
        <w:spacing w:line="560" w:lineRule="exact"/>
        <w:ind w:firstLine="640" w:firstLineChars="200"/>
        <w:rPr>
          <w:rFonts w:eastAsia="黑体"/>
          <w:sz w:val="32"/>
          <w:szCs w:val="32"/>
          <w:highlight w:val="none"/>
        </w:rPr>
      </w:pPr>
      <w:r>
        <w:rPr>
          <w:rFonts w:hint="eastAsia" w:eastAsia="黑体"/>
          <w:sz w:val="32"/>
          <w:szCs w:val="32"/>
          <w:highlight w:val="none"/>
          <w:lang w:eastAsia="zh-Hans"/>
        </w:rPr>
        <w:t>八、</w:t>
      </w:r>
      <w:r>
        <w:rPr>
          <w:rFonts w:eastAsia="黑体"/>
          <w:sz w:val="32"/>
          <w:szCs w:val="32"/>
          <w:highlight w:val="none"/>
        </w:rPr>
        <w:t>其他需要说</w:t>
      </w:r>
      <w:bookmarkStart w:id="5" w:name="page8"/>
      <w:bookmarkEnd w:id="5"/>
      <w:r>
        <w:rPr>
          <w:rFonts w:eastAsia="黑体"/>
          <w:sz w:val="32"/>
          <w:szCs w:val="32"/>
          <w:highlight w:val="none"/>
        </w:rPr>
        <w:t>明的问题</w:t>
      </w:r>
    </w:p>
    <w:p>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1、该项目在财政的指导和帮助下，项目在资金申请前置条件的落实上，发挥了积极的“花钱必问效，无效必问责”的项目绩效管理和实施的理念引导；</w:t>
      </w:r>
    </w:p>
    <w:p>
      <w:pPr>
        <w:pStyle w:val="10"/>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2、项目在实施的过程中进行了绩效的全过程管理，资金使用流程严谨合规，确保资金用途显效、高效；</w:t>
      </w:r>
    </w:p>
    <w:p>
      <w:pPr>
        <w:widowControl/>
        <w:jc w:val="both"/>
        <w:textAlignment w:val="center"/>
        <w:rPr>
          <w:rFonts w:hint="eastAsia" w:ascii="仿宋_GB2312" w:hAnsi="仿宋_GB2312" w:eastAsia="仿宋_GB2312" w:cs="仿宋_GB2312"/>
          <w:b w:val="0"/>
          <w:bCs w:val="0"/>
          <w:kern w:val="2"/>
          <w:sz w:val="32"/>
          <w:szCs w:val="32"/>
          <w:highlight w:val="none"/>
          <w:lang w:val="en-US" w:eastAsia="zh-CN" w:bidi="ar-SA"/>
        </w:rPr>
        <w:sectPr>
          <w:pgSz w:w="11906" w:h="16838"/>
          <w:pgMar w:top="1440" w:right="1558" w:bottom="1440" w:left="1800" w:header="851" w:footer="992" w:gutter="0"/>
          <w:cols w:space="425" w:num="1"/>
          <w:docGrid w:type="lines" w:linePitch="312" w:charSpace="0"/>
        </w:sect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9"/>
        <w:ind w:firstLine="562"/>
        <w:jc w:val="center"/>
        <w:rPr>
          <w:sz w:val="28"/>
          <w:szCs w:val="40"/>
        </w:rPr>
      </w:pPr>
      <w:bookmarkStart w:id="6" w:name="_Toc26499_WPSOffice_Level2"/>
      <w:bookmarkStart w:id="7" w:name="_Toc30064_WPSOffice_Level1"/>
      <w:r>
        <w:rPr>
          <w:rFonts w:hint="eastAsia"/>
          <w:b/>
          <w:bCs/>
          <w:sz w:val="28"/>
          <w:szCs w:val="40"/>
          <w:highlight w:val="none"/>
          <w:lang w:val="en-US" w:eastAsia="zh-CN"/>
        </w:rPr>
        <w:t>新疆铁道职业技术学院哈密新校区一期建设项目前期费</w:t>
      </w:r>
      <w:r>
        <w:rPr>
          <w:rFonts w:hint="eastAsia"/>
          <w:b/>
          <w:bCs/>
          <w:sz w:val="28"/>
          <w:szCs w:val="40"/>
          <w:highlight w:val="none"/>
        </w:rPr>
        <w:t>绩</w:t>
      </w:r>
      <w:r>
        <w:rPr>
          <w:rFonts w:hint="eastAsia"/>
          <w:b/>
          <w:bCs/>
          <w:sz w:val="28"/>
          <w:szCs w:val="40"/>
        </w:rPr>
        <w:t>效评价指标体系及综合评分表</w:t>
      </w:r>
      <w:bookmarkEnd w:id="6"/>
      <w:bookmarkEnd w:id="7"/>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764"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873"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2353"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5198"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363"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764" w:type="dxa"/>
            <w:vMerge w:val="restart"/>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5198" w:type="dxa"/>
            <w:shd w:val="clear" w:color="auto" w:fill="auto"/>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color w:val="000000"/>
                <w:kern w:val="0"/>
                <w:sz w:val="22"/>
                <w:szCs w:val="22"/>
                <w:highlight w:val="none"/>
              </w:rPr>
            </w:pPr>
          </w:p>
        </w:tc>
        <w:tc>
          <w:tcPr>
            <w:tcW w:w="764" w:type="dxa"/>
            <w:vMerge w:val="continue"/>
            <w:shd w:val="clear" w:color="auto" w:fill="auto"/>
            <w:vAlign w:val="center"/>
          </w:tcPr>
          <w:p>
            <w:pPr>
              <w:widowControl/>
              <w:spacing w:line="0" w:lineRule="atLeast"/>
              <w:jc w:val="center"/>
              <w:rPr>
                <w:color w:val="000000"/>
                <w:kern w:val="0"/>
                <w:sz w:val="22"/>
                <w:szCs w:val="22"/>
                <w:highlight w:val="none"/>
              </w:rPr>
            </w:pP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5198" w:type="dxa"/>
            <w:shd w:val="clear" w:color="auto" w:fill="auto"/>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color w:val="000000"/>
                <w:kern w:val="0"/>
                <w:sz w:val="22"/>
                <w:szCs w:val="22"/>
                <w:highlight w:val="none"/>
              </w:rPr>
            </w:pPr>
          </w:p>
        </w:tc>
        <w:tc>
          <w:tcPr>
            <w:tcW w:w="764" w:type="dxa"/>
            <w:vMerge w:val="restart"/>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5198" w:type="dxa"/>
            <w:shd w:val="clear" w:color="auto" w:fill="auto"/>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1300" w:type="dxa"/>
            <w:shd w:val="clear" w:color="auto" w:fill="auto"/>
            <w:vAlign w:val="center"/>
          </w:tcPr>
          <w:p>
            <w:pPr>
              <w:widowControl/>
              <w:spacing w:line="0" w:lineRule="atLeast"/>
              <w:jc w:val="center"/>
              <w:rPr>
                <w:rFonts w:hint="eastAsia"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pPr>
              <w:widowControl/>
              <w:spacing w:line="0" w:lineRule="atLeast"/>
              <w:jc w:val="center"/>
              <w:rPr>
                <w:color w:val="000000"/>
                <w:kern w:val="0"/>
                <w:sz w:val="22"/>
                <w:szCs w:val="22"/>
                <w:highlight w:val="none"/>
              </w:rPr>
            </w:pPr>
          </w:p>
        </w:tc>
        <w:tc>
          <w:tcPr>
            <w:tcW w:w="764" w:type="dxa"/>
            <w:vMerge w:val="continue"/>
            <w:shd w:val="clear" w:color="auto" w:fill="auto"/>
            <w:vAlign w:val="center"/>
          </w:tcPr>
          <w:p>
            <w:pPr>
              <w:widowControl/>
              <w:spacing w:line="0" w:lineRule="atLeast"/>
              <w:jc w:val="center"/>
              <w:rPr>
                <w:color w:val="000000"/>
                <w:kern w:val="0"/>
                <w:sz w:val="22"/>
                <w:szCs w:val="22"/>
                <w:highlight w:val="none"/>
              </w:rPr>
            </w:pP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pPr>
              <w:spacing w:line="0" w:lineRule="atLeast"/>
              <w:jc w:val="center"/>
              <w:rPr>
                <w:color w:val="000000"/>
                <w:kern w:val="0"/>
                <w:sz w:val="22"/>
                <w:szCs w:val="22"/>
                <w:highlight w:val="none"/>
              </w:rPr>
            </w:pPr>
          </w:p>
        </w:tc>
        <w:tc>
          <w:tcPr>
            <w:tcW w:w="764" w:type="dxa"/>
            <w:vMerge w:val="restart"/>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pPr>
              <w:widowControl/>
              <w:spacing w:line="0" w:lineRule="atLeast"/>
              <w:jc w:val="center"/>
              <w:rPr>
                <w:color w:val="000000"/>
                <w:kern w:val="0"/>
                <w:sz w:val="22"/>
                <w:szCs w:val="22"/>
                <w:highlight w:val="none"/>
              </w:rPr>
            </w:pPr>
          </w:p>
        </w:tc>
        <w:tc>
          <w:tcPr>
            <w:tcW w:w="764" w:type="dxa"/>
            <w:vMerge w:val="continue"/>
            <w:shd w:val="clear" w:color="auto" w:fill="auto"/>
            <w:vAlign w:val="center"/>
          </w:tcPr>
          <w:p>
            <w:pPr>
              <w:widowControl/>
              <w:spacing w:line="0" w:lineRule="atLeast"/>
              <w:jc w:val="center"/>
              <w:rPr>
                <w:color w:val="000000"/>
                <w:kern w:val="0"/>
                <w:sz w:val="22"/>
                <w:szCs w:val="22"/>
                <w:highlight w:val="none"/>
              </w:rPr>
            </w:pP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764" w:type="dxa"/>
            <w:vMerge w:val="restart"/>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pPr>
              <w:spacing w:line="0" w:lineRule="atLeast"/>
              <w:jc w:val="center"/>
              <w:rPr>
                <w:color w:val="000000"/>
                <w:kern w:val="0"/>
                <w:sz w:val="22"/>
                <w:szCs w:val="22"/>
                <w:highlight w:val="none"/>
              </w:rPr>
            </w:pPr>
          </w:p>
        </w:tc>
        <w:tc>
          <w:tcPr>
            <w:tcW w:w="764" w:type="dxa"/>
            <w:vMerge w:val="continue"/>
            <w:shd w:val="clear" w:color="auto" w:fill="auto"/>
            <w:vAlign w:val="center"/>
          </w:tcPr>
          <w:p>
            <w:pPr>
              <w:spacing w:line="0" w:lineRule="atLeast"/>
              <w:jc w:val="center"/>
              <w:rPr>
                <w:color w:val="000000"/>
                <w:kern w:val="0"/>
                <w:sz w:val="22"/>
                <w:szCs w:val="22"/>
                <w:highlight w:val="none"/>
              </w:rPr>
            </w:pP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spacing w:line="0" w:lineRule="atLeast"/>
              <w:jc w:val="center"/>
              <w:rPr>
                <w:color w:val="000000"/>
                <w:kern w:val="0"/>
                <w:sz w:val="22"/>
                <w:szCs w:val="22"/>
                <w:highlight w:val="none"/>
              </w:rPr>
            </w:pPr>
          </w:p>
        </w:tc>
        <w:tc>
          <w:tcPr>
            <w:tcW w:w="764"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pPr>
              <w:spacing w:line="0" w:lineRule="atLeast"/>
              <w:jc w:val="center"/>
              <w:rPr>
                <w:color w:val="000000"/>
                <w:kern w:val="0"/>
                <w:sz w:val="22"/>
                <w:szCs w:val="22"/>
                <w:highlight w:val="none"/>
              </w:rPr>
            </w:pPr>
          </w:p>
        </w:tc>
        <w:tc>
          <w:tcPr>
            <w:tcW w:w="764" w:type="dxa"/>
            <w:vMerge w:val="restart"/>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pPr>
              <w:widowControl/>
              <w:spacing w:line="0" w:lineRule="atLeast"/>
              <w:jc w:val="center"/>
              <w:rPr>
                <w:color w:val="000000"/>
                <w:kern w:val="0"/>
                <w:sz w:val="22"/>
                <w:szCs w:val="22"/>
                <w:highlight w:val="none"/>
              </w:rPr>
            </w:pPr>
          </w:p>
        </w:tc>
        <w:tc>
          <w:tcPr>
            <w:tcW w:w="764" w:type="dxa"/>
            <w:vMerge w:val="continue"/>
            <w:shd w:val="clear" w:color="auto" w:fill="auto"/>
            <w:vAlign w:val="center"/>
          </w:tcPr>
          <w:p>
            <w:pPr>
              <w:widowControl/>
              <w:spacing w:line="0" w:lineRule="atLeast"/>
              <w:jc w:val="center"/>
              <w:rPr>
                <w:color w:val="000000"/>
                <w:kern w:val="0"/>
                <w:sz w:val="22"/>
                <w:szCs w:val="22"/>
                <w:highlight w:val="none"/>
              </w:rPr>
            </w:pP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auto"/>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764"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w:t>
            </w:r>
            <w:r>
              <w:rPr>
                <w:rFonts w:hint="eastAsia"/>
                <w:color w:val="000000"/>
                <w:kern w:val="0"/>
                <w:sz w:val="22"/>
                <w:szCs w:val="22"/>
                <w:highlight w:val="none"/>
                <w:lang w:eastAsia="zh-CN"/>
              </w:rPr>
              <w:t>数量</w:t>
            </w:r>
            <w:r>
              <w:rPr>
                <w:color w:val="000000"/>
                <w:kern w:val="0"/>
                <w:sz w:val="22"/>
                <w:szCs w:val="22"/>
                <w:highlight w:val="none"/>
              </w:rPr>
              <w:t>：项目绩效目标确定的在一定时期（本年度或项目期）内计划产出的产品或提供的服务数量。</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auto" w:fill="auto"/>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pPr>
              <w:widowControl/>
              <w:spacing w:line="0" w:lineRule="atLeast"/>
              <w:jc w:val="center"/>
              <w:rPr>
                <w:color w:val="000000"/>
                <w:kern w:val="0"/>
                <w:sz w:val="22"/>
                <w:szCs w:val="22"/>
                <w:highlight w:val="none"/>
              </w:rPr>
            </w:pPr>
          </w:p>
        </w:tc>
        <w:tc>
          <w:tcPr>
            <w:tcW w:w="764"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auto" w:fill="auto"/>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pPr>
              <w:spacing w:line="0" w:lineRule="atLeast"/>
              <w:jc w:val="center"/>
              <w:rPr>
                <w:color w:val="000000"/>
                <w:kern w:val="0"/>
                <w:sz w:val="22"/>
                <w:szCs w:val="22"/>
                <w:highlight w:val="none"/>
              </w:rPr>
            </w:pPr>
          </w:p>
        </w:tc>
        <w:tc>
          <w:tcPr>
            <w:tcW w:w="764" w:type="dxa"/>
            <w:shd w:val="clear" w:color="auto" w:fill="auto"/>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auto" w:fill="auto"/>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widowControl/>
              <w:spacing w:line="0" w:lineRule="atLeast"/>
              <w:jc w:val="center"/>
              <w:rPr>
                <w:color w:val="000000"/>
                <w:kern w:val="0"/>
                <w:sz w:val="22"/>
                <w:szCs w:val="22"/>
                <w:highlight w:val="none"/>
              </w:rPr>
            </w:pPr>
          </w:p>
        </w:tc>
        <w:tc>
          <w:tcPr>
            <w:tcW w:w="764"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auto" w:fill="auto"/>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764" w:type="dxa"/>
            <w:vMerge w:val="restart"/>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2353" w:type="dxa"/>
            <w:shd w:val="clear" w:color="auto" w:fill="auto"/>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auto" w:fill="auto"/>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pPr>
              <w:widowControl/>
              <w:spacing w:line="0" w:lineRule="atLeast"/>
              <w:jc w:val="center"/>
              <w:rPr>
                <w:color w:val="000000"/>
                <w:kern w:val="0"/>
                <w:sz w:val="22"/>
                <w:szCs w:val="22"/>
                <w:highlight w:val="none"/>
              </w:rPr>
            </w:pPr>
          </w:p>
        </w:tc>
        <w:tc>
          <w:tcPr>
            <w:tcW w:w="764" w:type="dxa"/>
            <w:vMerge w:val="continue"/>
            <w:shd w:val="clear" w:color="auto" w:fill="auto"/>
            <w:vAlign w:val="center"/>
          </w:tcPr>
          <w:p>
            <w:pPr>
              <w:widowControl/>
              <w:spacing w:line="0" w:lineRule="atLeast"/>
              <w:jc w:val="center"/>
              <w:rPr>
                <w:color w:val="000000"/>
                <w:kern w:val="0"/>
                <w:sz w:val="22"/>
                <w:szCs w:val="22"/>
                <w:highlight w:val="none"/>
              </w:rPr>
            </w:pPr>
          </w:p>
        </w:tc>
        <w:tc>
          <w:tcPr>
            <w:tcW w:w="873" w:type="dxa"/>
            <w:shd w:val="clear" w:color="auto" w:fill="auto"/>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2353"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5198" w:type="dxa"/>
            <w:shd w:val="clear" w:color="auto" w:fill="auto"/>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1300" w:type="dxa"/>
            <w:shd w:val="clear" w:color="auto" w:fill="auto"/>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auto" w:fill="auto"/>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汉仪书宋二S">
    <w:altName w:val="宋体"/>
    <w:panose1 w:val="00020600040101010101"/>
    <w:charset w:val="86"/>
    <w:family w:val="auto"/>
    <w:pitch w:val="default"/>
    <w:sig w:usb0="00000000" w:usb1="00000000" w:usb2="00000016" w:usb3="00000000" w:csb0="00040000" w:csb1="00000000"/>
  </w:font>
  <w:font w:name="方正楷体_GB2312">
    <w:altName w:val="宋体"/>
    <w:panose1 w:val="02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590D9A"/>
    <w:multiLevelType w:val="singleLevel"/>
    <w:tmpl w:val="6F590D9A"/>
    <w:lvl w:ilvl="0" w:tentative="0">
      <w:start w:val="7"/>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FF6C4049"/>
    <w:rsid w:val="00076791"/>
    <w:rsid w:val="006F7242"/>
    <w:rsid w:val="007B168A"/>
    <w:rsid w:val="008B2CFE"/>
    <w:rsid w:val="00F26FF6"/>
    <w:rsid w:val="016B6316"/>
    <w:rsid w:val="052815A6"/>
    <w:rsid w:val="07397B77"/>
    <w:rsid w:val="088617AC"/>
    <w:rsid w:val="099A1928"/>
    <w:rsid w:val="0A786C09"/>
    <w:rsid w:val="0A8B29E4"/>
    <w:rsid w:val="0A9B28F7"/>
    <w:rsid w:val="0C096E0D"/>
    <w:rsid w:val="0D524DF2"/>
    <w:rsid w:val="0F380715"/>
    <w:rsid w:val="0FA1275E"/>
    <w:rsid w:val="0FFA5C97"/>
    <w:rsid w:val="10264479"/>
    <w:rsid w:val="10D821E5"/>
    <w:rsid w:val="11EE4E6F"/>
    <w:rsid w:val="12787E89"/>
    <w:rsid w:val="1315645A"/>
    <w:rsid w:val="13471461"/>
    <w:rsid w:val="13B90F01"/>
    <w:rsid w:val="14AE4463"/>
    <w:rsid w:val="175400B6"/>
    <w:rsid w:val="181066D2"/>
    <w:rsid w:val="18273A1C"/>
    <w:rsid w:val="191F0322"/>
    <w:rsid w:val="1C671E73"/>
    <w:rsid w:val="1CD54CDB"/>
    <w:rsid w:val="1CF55E97"/>
    <w:rsid w:val="1E37603B"/>
    <w:rsid w:val="1EF74A9F"/>
    <w:rsid w:val="209D697C"/>
    <w:rsid w:val="212136FE"/>
    <w:rsid w:val="24155071"/>
    <w:rsid w:val="24A24F36"/>
    <w:rsid w:val="259B3353"/>
    <w:rsid w:val="27D05536"/>
    <w:rsid w:val="2C8965FC"/>
    <w:rsid w:val="2DBA3420"/>
    <w:rsid w:val="2DD13DB6"/>
    <w:rsid w:val="315D5844"/>
    <w:rsid w:val="31FC517A"/>
    <w:rsid w:val="32AB72CC"/>
    <w:rsid w:val="33F151B2"/>
    <w:rsid w:val="346A0AC1"/>
    <w:rsid w:val="37A91900"/>
    <w:rsid w:val="38447063"/>
    <w:rsid w:val="38753AF5"/>
    <w:rsid w:val="38C0754E"/>
    <w:rsid w:val="38CA40DD"/>
    <w:rsid w:val="39012164"/>
    <w:rsid w:val="394C1FB4"/>
    <w:rsid w:val="395F2B56"/>
    <w:rsid w:val="3AA2399E"/>
    <w:rsid w:val="3B8719EF"/>
    <w:rsid w:val="3BECE841"/>
    <w:rsid w:val="3F0B1B06"/>
    <w:rsid w:val="3FF7797D"/>
    <w:rsid w:val="3FFDD280"/>
    <w:rsid w:val="42CA0546"/>
    <w:rsid w:val="4493196E"/>
    <w:rsid w:val="45C37A6D"/>
    <w:rsid w:val="47E524E0"/>
    <w:rsid w:val="486648D5"/>
    <w:rsid w:val="4A451D30"/>
    <w:rsid w:val="4CD91AFF"/>
    <w:rsid w:val="4D361B3F"/>
    <w:rsid w:val="4DF72F6D"/>
    <w:rsid w:val="57A8036E"/>
    <w:rsid w:val="582C415B"/>
    <w:rsid w:val="5B667984"/>
    <w:rsid w:val="5BFF6039"/>
    <w:rsid w:val="5D76A616"/>
    <w:rsid w:val="5D7F20B9"/>
    <w:rsid w:val="5DAC7D0E"/>
    <w:rsid w:val="5ED74E21"/>
    <w:rsid w:val="5F0C0016"/>
    <w:rsid w:val="5F98B5AF"/>
    <w:rsid w:val="5FFE8511"/>
    <w:rsid w:val="5FFEACE2"/>
    <w:rsid w:val="60685D8D"/>
    <w:rsid w:val="61225CAB"/>
    <w:rsid w:val="643EE26D"/>
    <w:rsid w:val="64C64FF0"/>
    <w:rsid w:val="64D37E39"/>
    <w:rsid w:val="670D32E7"/>
    <w:rsid w:val="67B62EE3"/>
    <w:rsid w:val="688A4CB2"/>
    <w:rsid w:val="690A194F"/>
    <w:rsid w:val="69D87B72"/>
    <w:rsid w:val="6A042842"/>
    <w:rsid w:val="6A9605C9"/>
    <w:rsid w:val="6CBA7B30"/>
    <w:rsid w:val="6E82642B"/>
    <w:rsid w:val="6EA910A3"/>
    <w:rsid w:val="6F5C41AC"/>
    <w:rsid w:val="6FAF6C78"/>
    <w:rsid w:val="7060279C"/>
    <w:rsid w:val="716D77DE"/>
    <w:rsid w:val="7317C656"/>
    <w:rsid w:val="734ED73F"/>
    <w:rsid w:val="75D73501"/>
    <w:rsid w:val="76201FB0"/>
    <w:rsid w:val="773B361B"/>
    <w:rsid w:val="77CE4490"/>
    <w:rsid w:val="77FD8BE9"/>
    <w:rsid w:val="79A9BD3F"/>
    <w:rsid w:val="7B785783"/>
    <w:rsid w:val="7BFFFDD0"/>
    <w:rsid w:val="7C336E5F"/>
    <w:rsid w:val="7D7A5F86"/>
    <w:rsid w:val="7F356EB0"/>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7F6C763"/>
    <w:rsid w:val="F9FD7907"/>
    <w:rsid w:val="FAEF933D"/>
    <w:rsid w:val="FB3A4A6A"/>
    <w:rsid w:val="FBFFA301"/>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9268</Words>
  <Characters>9838</Characters>
  <Lines>58</Lines>
  <Paragraphs>16</Paragraphs>
  <TotalTime>15</TotalTime>
  <ScaleCrop>false</ScaleCrop>
  <LinksUpToDate>false</LinksUpToDate>
  <CharactersWithSpaces>9852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2023-03-09T13:13:00Z</dcterms:created>
  <dc:creator>审核人</dc:creator>
  <cp:lastModifiedBy>Administrator</cp:lastModifiedBy>
  <dcterms:modified xsi:type="dcterms:W3CDTF">2024-09-25T10:09:55Z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4D7B029372C748C9989105C4D275A48C_13</vt:lpwstr>
  </property>
</Properties>
</file>