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spacing w:line="540" w:lineRule="exact"/>
        <w:jc w:val="center"/>
        <w:rPr>
          <w:rFonts w:hint="default" w:ascii="Times New Roman" w:hAnsi="Times New Roman" w:eastAsia="华文中宋" w:cs="Times New Roman"/>
          <w:b/>
          <w:kern w:val="0"/>
          <w:sz w:val="52"/>
          <w:szCs w:val="52"/>
          <w:highlight w:val="none"/>
        </w:rPr>
      </w:pPr>
    </w:p>
    <w:p>
      <w:pPr>
        <w:shd w:val="clear"/>
        <w:spacing w:line="540" w:lineRule="exact"/>
        <w:rPr>
          <w:rFonts w:hint="default" w:ascii="Times New Roman" w:hAnsi="Times New Roman" w:eastAsia="华文中宋" w:cs="Times New Roman"/>
          <w:b/>
          <w:kern w:val="0"/>
          <w:sz w:val="52"/>
          <w:szCs w:val="52"/>
          <w:highlight w:val="none"/>
        </w:rPr>
      </w:pPr>
    </w:p>
    <w:p>
      <w:pPr>
        <w:shd w:val="clear"/>
        <w:spacing w:line="540" w:lineRule="exact"/>
        <w:jc w:val="center"/>
        <w:rPr>
          <w:rFonts w:hint="default" w:ascii="Times New Roman" w:hAnsi="Times New Roman" w:eastAsia="华文中宋" w:cs="Times New Roman"/>
          <w:b/>
          <w:kern w:val="0"/>
          <w:sz w:val="52"/>
          <w:szCs w:val="52"/>
          <w:highlight w:val="none"/>
        </w:rPr>
      </w:pPr>
    </w:p>
    <w:p>
      <w:pPr>
        <w:shd w:val="clear"/>
        <w:spacing w:line="540" w:lineRule="exact"/>
        <w:jc w:val="center"/>
        <w:rPr>
          <w:rFonts w:hint="default" w:ascii="Times New Roman" w:hAnsi="Times New Roman" w:eastAsia="华文中宋" w:cs="Times New Roman"/>
          <w:b/>
          <w:kern w:val="0"/>
          <w:sz w:val="52"/>
          <w:szCs w:val="52"/>
          <w:highlight w:val="none"/>
        </w:rPr>
      </w:pPr>
    </w:p>
    <w:p>
      <w:pPr>
        <w:shd w:val="clear"/>
        <w:spacing w:line="540" w:lineRule="exact"/>
        <w:jc w:val="center"/>
        <w:rPr>
          <w:rFonts w:hint="default" w:ascii="Times New Roman" w:hAnsi="Times New Roman" w:eastAsia="黑体" w:cs="Times New Roman"/>
          <w:kern w:val="0"/>
          <w:sz w:val="48"/>
          <w:szCs w:val="48"/>
          <w:highlight w:val="none"/>
        </w:rPr>
      </w:pPr>
      <w:r>
        <w:rPr>
          <w:rFonts w:hint="default" w:ascii="Times New Roman" w:hAnsi="Times New Roman" w:eastAsia="黑体" w:cs="Times New Roman"/>
          <w:kern w:val="0"/>
          <w:sz w:val="48"/>
          <w:szCs w:val="48"/>
          <w:highlight w:val="none"/>
        </w:rPr>
        <w:t>关于提前下达2023年义务教育薄弱环节改善与能</w:t>
      </w:r>
      <w:bookmarkStart w:id="3" w:name="_GoBack"/>
      <w:bookmarkEnd w:id="3"/>
      <w:r>
        <w:rPr>
          <w:rFonts w:hint="default" w:ascii="Times New Roman" w:hAnsi="Times New Roman" w:eastAsia="黑体" w:cs="Times New Roman"/>
          <w:kern w:val="0"/>
          <w:sz w:val="48"/>
          <w:szCs w:val="48"/>
          <w:highlight w:val="none"/>
        </w:rPr>
        <w:t>力提升补助资金项目支出</w:t>
      </w:r>
    </w:p>
    <w:p>
      <w:pPr>
        <w:shd w:val="clear"/>
        <w:spacing w:line="540" w:lineRule="exact"/>
        <w:jc w:val="center"/>
        <w:rPr>
          <w:rFonts w:hint="default" w:ascii="Times New Roman" w:hAnsi="Times New Roman" w:eastAsia="黑体" w:cs="Times New Roman"/>
          <w:kern w:val="0"/>
          <w:sz w:val="48"/>
          <w:szCs w:val="48"/>
          <w:highlight w:val="none"/>
        </w:rPr>
      </w:pPr>
      <w:r>
        <w:rPr>
          <w:rFonts w:hint="default" w:ascii="Times New Roman" w:hAnsi="Times New Roman" w:eastAsia="黑体" w:cs="Times New Roman"/>
          <w:kern w:val="0"/>
          <w:sz w:val="48"/>
          <w:szCs w:val="48"/>
          <w:highlight w:val="none"/>
        </w:rPr>
        <w:t>绩效评价报告</w:t>
      </w:r>
    </w:p>
    <w:p>
      <w:pPr>
        <w:shd w:val="clear"/>
        <w:spacing w:line="540" w:lineRule="exact"/>
        <w:jc w:val="center"/>
        <w:rPr>
          <w:rFonts w:hint="default" w:ascii="Times New Roman" w:hAnsi="Times New Roman" w:eastAsia="华文中宋" w:cs="Times New Roman"/>
          <w:b/>
          <w:kern w:val="0"/>
          <w:sz w:val="52"/>
          <w:szCs w:val="52"/>
          <w:highlight w:val="none"/>
        </w:rPr>
      </w:pPr>
    </w:p>
    <w:p>
      <w:pPr>
        <w:shd w:val="clear"/>
        <w:spacing w:line="540" w:lineRule="exact"/>
        <w:jc w:val="center"/>
        <w:rPr>
          <w:rFonts w:hint="default" w:ascii="Times New Roman" w:hAnsi="Times New Roman" w:eastAsia="仿宋_GB2312" w:cs="Times New Roman"/>
          <w:kern w:val="0"/>
          <w:sz w:val="36"/>
          <w:szCs w:val="36"/>
          <w:highlight w:val="none"/>
        </w:rPr>
      </w:pPr>
      <w:r>
        <w:rPr>
          <w:rFonts w:hint="default" w:ascii="Times New Roman" w:hAnsi="Times New Roman" w:eastAsia="仿宋_GB2312" w:cs="Times New Roman"/>
          <w:kern w:val="0"/>
          <w:sz w:val="36"/>
          <w:szCs w:val="36"/>
          <w:highlight w:val="none"/>
        </w:rPr>
        <w:t>（ 202</w:t>
      </w:r>
      <w:r>
        <w:rPr>
          <w:rFonts w:hint="default" w:ascii="Times New Roman" w:hAnsi="Times New Roman" w:eastAsia="仿宋_GB2312" w:cs="Times New Roman"/>
          <w:kern w:val="0"/>
          <w:sz w:val="36"/>
          <w:szCs w:val="36"/>
          <w:highlight w:val="none"/>
          <w:lang w:val="en-US" w:eastAsia="zh-CN"/>
        </w:rPr>
        <w:t>3</w:t>
      </w:r>
      <w:r>
        <w:rPr>
          <w:rFonts w:hint="default" w:ascii="Times New Roman" w:hAnsi="Times New Roman" w:eastAsia="仿宋_GB2312" w:cs="Times New Roman"/>
          <w:kern w:val="0"/>
          <w:sz w:val="36"/>
          <w:szCs w:val="36"/>
          <w:highlight w:val="none"/>
        </w:rPr>
        <w:t>年度）</w:t>
      </w:r>
    </w:p>
    <w:p>
      <w:pPr>
        <w:shd w:val="clear"/>
        <w:spacing w:line="540" w:lineRule="exact"/>
        <w:jc w:val="center"/>
        <w:rPr>
          <w:rFonts w:hint="default" w:ascii="Times New Roman" w:hAnsi="Times New Roman" w:eastAsia="仿宋_GB2312" w:cs="Times New Roman"/>
          <w:kern w:val="0"/>
          <w:sz w:val="30"/>
          <w:szCs w:val="30"/>
          <w:highlight w:val="none"/>
        </w:rPr>
      </w:pPr>
    </w:p>
    <w:p>
      <w:pPr>
        <w:shd w:val="clear"/>
        <w:spacing w:line="540" w:lineRule="exact"/>
        <w:jc w:val="center"/>
        <w:rPr>
          <w:rFonts w:hint="default" w:ascii="Times New Roman" w:hAnsi="Times New Roman" w:eastAsia="仿宋_GB2312" w:cs="Times New Roman"/>
          <w:kern w:val="0"/>
          <w:sz w:val="30"/>
          <w:szCs w:val="30"/>
          <w:highlight w:val="none"/>
        </w:rPr>
      </w:pPr>
    </w:p>
    <w:p>
      <w:pPr>
        <w:shd w:val="clear"/>
        <w:spacing w:line="540" w:lineRule="exact"/>
        <w:jc w:val="center"/>
        <w:rPr>
          <w:rFonts w:hint="default" w:ascii="Times New Roman" w:hAnsi="Times New Roman" w:eastAsia="仿宋_GB2312" w:cs="Times New Roman"/>
          <w:kern w:val="0"/>
          <w:sz w:val="30"/>
          <w:szCs w:val="30"/>
          <w:highlight w:val="none"/>
        </w:rPr>
      </w:pPr>
    </w:p>
    <w:p>
      <w:pPr>
        <w:pStyle w:val="9"/>
        <w:shd w:val="clear"/>
        <w:rPr>
          <w:rFonts w:hint="default" w:ascii="Times New Roman" w:hAnsi="Times New Roman" w:cs="Times New Roman"/>
          <w:highlight w:val="none"/>
        </w:rPr>
      </w:pPr>
    </w:p>
    <w:p>
      <w:pPr>
        <w:shd w:val="clear"/>
        <w:spacing w:line="540" w:lineRule="exact"/>
        <w:jc w:val="center"/>
        <w:rPr>
          <w:rFonts w:hint="default" w:ascii="Times New Roman" w:hAnsi="Times New Roman" w:eastAsia="仿宋_GB2312" w:cs="Times New Roman"/>
          <w:kern w:val="0"/>
          <w:sz w:val="30"/>
          <w:szCs w:val="30"/>
          <w:highlight w:val="none"/>
        </w:rPr>
      </w:pPr>
    </w:p>
    <w:p>
      <w:pPr>
        <w:shd w:val="clear"/>
        <w:spacing w:line="540" w:lineRule="exact"/>
        <w:rPr>
          <w:rFonts w:hint="default" w:ascii="Times New Roman" w:hAnsi="Times New Roman" w:eastAsia="仿宋_GB2312" w:cs="Times New Roman"/>
          <w:kern w:val="0"/>
          <w:sz w:val="30"/>
          <w:szCs w:val="30"/>
          <w:highlight w:val="none"/>
        </w:rPr>
      </w:pPr>
    </w:p>
    <w:p>
      <w:pPr>
        <w:shd w:val="clear"/>
        <w:ind w:firstLine="1080" w:firstLineChars="300"/>
        <w:rPr>
          <w:rFonts w:hint="default" w:ascii="Times New Roman" w:hAnsi="Times New Roman" w:eastAsia="宋体" w:cs="Times New Roman"/>
          <w:b/>
          <w:bCs/>
          <w:sz w:val="36"/>
          <w:szCs w:val="36"/>
          <w:highlight w:val="none"/>
        </w:rPr>
      </w:pPr>
      <w:r>
        <w:rPr>
          <w:rFonts w:hint="default" w:ascii="Times New Roman" w:hAnsi="Times New Roman" w:eastAsia="仿宋_GB2312" w:cs="Times New Roman"/>
          <w:kern w:val="0"/>
          <w:sz w:val="36"/>
          <w:szCs w:val="36"/>
          <w:highlight w:val="none"/>
        </w:rPr>
        <w:t>项目名称：关于提前下达2023年义务教育薄弱环节改善与能力提升补助资金</w:t>
      </w:r>
    </w:p>
    <w:p>
      <w:pPr>
        <w:shd w:val="clear"/>
        <w:spacing w:line="700" w:lineRule="exact"/>
        <w:ind w:left="0" w:leftChars="0" w:firstLine="1058" w:firstLineChars="294"/>
        <w:jc w:val="left"/>
        <w:rPr>
          <w:rFonts w:hint="default" w:ascii="Times New Roman" w:hAnsi="Times New Roman" w:eastAsia="仿宋_GB2312" w:cs="Times New Roman"/>
          <w:kern w:val="0"/>
          <w:sz w:val="36"/>
          <w:szCs w:val="36"/>
          <w:highlight w:val="none"/>
          <w:lang w:eastAsia="zh-CN"/>
        </w:rPr>
      </w:pPr>
      <w:r>
        <w:rPr>
          <w:rFonts w:hint="default" w:ascii="Times New Roman" w:hAnsi="Times New Roman" w:eastAsia="仿宋_GB2312" w:cs="Times New Roman"/>
          <w:kern w:val="0"/>
          <w:sz w:val="36"/>
          <w:szCs w:val="36"/>
          <w:highlight w:val="none"/>
        </w:rPr>
        <w:t>实施单位（公章）：</w:t>
      </w:r>
      <w:r>
        <w:rPr>
          <w:rFonts w:hint="default" w:ascii="Times New Roman" w:hAnsi="Times New Roman" w:eastAsia="仿宋_GB2312" w:cs="Times New Roman"/>
          <w:kern w:val="0"/>
          <w:sz w:val="36"/>
          <w:szCs w:val="36"/>
          <w:highlight w:val="none"/>
          <w:lang w:eastAsia="zh-CN"/>
        </w:rPr>
        <w:t>哈密市教育局石油教育分局</w:t>
      </w:r>
    </w:p>
    <w:p>
      <w:pPr>
        <w:shd w:val="clear"/>
        <w:spacing w:line="700" w:lineRule="exact"/>
        <w:ind w:left="0" w:leftChars="0" w:firstLine="1080" w:firstLineChars="300"/>
        <w:jc w:val="left"/>
        <w:rPr>
          <w:rFonts w:hint="default" w:ascii="Times New Roman" w:hAnsi="Times New Roman" w:eastAsia="仿宋_GB2312" w:cs="Times New Roman"/>
          <w:kern w:val="0"/>
          <w:sz w:val="36"/>
          <w:szCs w:val="36"/>
          <w:highlight w:val="none"/>
          <w:lang w:eastAsia="zh-CN"/>
        </w:rPr>
      </w:pPr>
      <w:r>
        <w:rPr>
          <w:rFonts w:hint="default" w:ascii="Times New Roman" w:hAnsi="Times New Roman" w:eastAsia="仿宋_GB2312" w:cs="Times New Roman"/>
          <w:kern w:val="0"/>
          <w:sz w:val="36"/>
          <w:szCs w:val="36"/>
          <w:highlight w:val="none"/>
        </w:rPr>
        <w:t>主管部门（公章）：</w:t>
      </w:r>
      <w:r>
        <w:rPr>
          <w:rFonts w:hint="default" w:ascii="Times New Roman" w:hAnsi="Times New Roman" w:eastAsia="仿宋_GB2312" w:cs="Times New Roman"/>
          <w:kern w:val="0"/>
          <w:sz w:val="36"/>
          <w:szCs w:val="36"/>
          <w:highlight w:val="none"/>
          <w:lang w:eastAsia="zh-CN"/>
        </w:rPr>
        <w:t>哈密市教育局石油教育分局</w:t>
      </w:r>
    </w:p>
    <w:p>
      <w:pPr>
        <w:shd w:val="clear"/>
        <w:spacing w:line="700" w:lineRule="exact"/>
        <w:ind w:left="0" w:leftChars="0" w:firstLine="1058" w:firstLineChars="294"/>
        <w:jc w:val="left"/>
        <w:rPr>
          <w:rFonts w:hint="default" w:ascii="Times New Roman" w:hAnsi="Times New Roman" w:eastAsia="仿宋_GB2312" w:cs="Times New Roman"/>
          <w:kern w:val="0"/>
          <w:sz w:val="36"/>
          <w:szCs w:val="36"/>
          <w:highlight w:val="none"/>
          <w:lang w:eastAsia="zh-CN"/>
        </w:rPr>
      </w:pPr>
      <w:r>
        <w:rPr>
          <w:rFonts w:hint="default" w:ascii="Times New Roman" w:hAnsi="Times New Roman" w:eastAsia="仿宋_GB2312" w:cs="Times New Roman"/>
          <w:kern w:val="0"/>
          <w:sz w:val="36"/>
          <w:szCs w:val="36"/>
          <w:highlight w:val="none"/>
        </w:rPr>
        <w:t>项目负责人（签章）：</w:t>
      </w:r>
      <w:r>
        <w:rPr>
          <w:rFonts w:hint="default" w:ascii="Times New Roman" w:hAnsi="Times New Roman" w:eastAsia="仿宋_GB2312" w:cs="Times New Roman"/>
          <w:kern w:val="0"/>
          <w:sz w:val="36"/>
          <w:szCs w:val="36"/>
          <w:highlight w:val="none"/>
          <w:lang w:eastAsia="zh-CN"/>
        </w:rPr>
        <w:t>刘文鑫</w:t>
      </w:r>
    </w:p>
    <w:p>
      <w:pPr>
        <w:shd w:val="clear"/>
        <w:spacing w:line="700" w:lineRule="exact"/>
        <w:ind w:left="0" w:leftChars="0" w:firstLine="1036" w:firstLineChars="288"/>
        <w:jc w:val="left"/>
        <w:rPr>
          <w:rFonts w:hint="default" w:ascii="Times New Roman" w:hAnsi="Times New Roman" w:eastAsia="仿宋_GB2312" w:cs="Times New Roman"/>
          <w:kern w:val="0"/>
          <w:sz w:val="36"/>
          <w:szCs w:val="36"/>
          <w:highlight w:val="none"/>
        </w:rPr>
      </w:pPr>
      <w:r>
        <w:rPr>
          <w:rFonts w:hint="default" w:ascii="Times New Roman" w:hAnsi="Times New Roman" w:eastAsia="仿宋_GB2312" w:cs="Times New Roman"/>
          <w:kern w:val="0"/>
          <w:sz w:val="36"/>
          <w:szCs w:val="36"/>
          <w:highlight w:val="none"/>
        </w:rPr>
        <w:t>填报时间：</w:t>
      </w:r>
      <w:r>
        <w:rPr>
          <w:rFonts w:hint="default" w:ascii="Times New Roman" w:hAnsi="Times New Roman" w:eastAsia="仿宋_GB2312" w:cs="Times New Roman"/>
          <w:kern w:val="0"/>
          <w:sz w:val="36"/>
          <w:szCs w:val="36"/>
          <w:highlight w:val="none"/>
          <w:lang w:val="en-US" w:eastAsia="zh-CN"/>
        </w:rPr>
        <w:t>2024</w:t>
      </w:r>
      <w:r>
        <w:rPr>
          <w:rFonts w:hint="default" w:ascii="Times New Roman" w:hAnsi="Times New Roman" w:eastAsia="仿宋_GB2312" w:cs="Times New Roman"/>
          <w:kern w:val="0"/>
          <w:sz w:val="36"/>
          <w:szCs w:val="36"/>
          <w:highlight w:val="none"/>
        </w:rPr>
        <w:t>年</w:t>
      </w:r>
      <w:r>
        <w:rPr>
          <w:rFonts w:hint="default" w:ascii="Times New Roman" w:hAnsi="Times New Roman" w:eastAsia="仿宋_GB2312" w:cs="Times New Roman"/>
          <w:kern w:val="0"/>
          <w:sz w:val="36"/>
          <w:szCs w:val="36"/>
          <w:highlight w:val="none"/>
          <w:lang w:val="en-US" w:eastAsia="zh-CN"/>
        </w:rPr>
        <w:t>3</w:t>
      </w:r>
      <w:r>
        <w:rPr>
          <w:rFonts w:hint="default" w:ascii="Times New Roman" w:hAnsi="Times New Roman" w:eastAsia="仿宋_GB2312" w:cs="Times New Roman"/>
          <w:kern w:val="0"/>
          <w:sz w:val="36"/>
          <w:szCs w:val="36"/>
          <w:highlight w:val="none"/>
        </w:rPr>
        <w:t>月</w:t>
      </w:r>
      <w:r>
        <w:rPr>
          <w:rFonts w:hint="default" w:ascii="Times New Roman" w:hAnsi="Times New Roman" w:eastAsia="仿宋_GB2312" w:cs="Times New Roman"/>
          <w:kern w:val="0"/>
          <w:sz w:val="36"/>
          <w:szCs w:val="36"/>
          <w:highlight w:val="none"/>
          <w:lang w:val="en-US" w:eastAsia="zh-CN"/>
        </w:rPr>
        <w:t>15</w:t>
      </w:r>
      <w:r>
        <w:rPr>
          <w:rFonts w:hint="default" w:ascii="Times New Roman" w:hAnsi="Times New Roman" w:eastAsia="仿宋_GB2312" w:cs="Times New Roman"/>
          <w:kern w:val="0"/>
          <w:sz w:val="36"/>
          <w:szCs w:val="36"/>
          <w:highlight w:val="none"/>
        </w:rPr>
        <w:t>日</w:t>
      </w:r>
    </w:p>
    <w:p>
      <w:pPr>
        <w:shd w:val="clear"/>
        <w:spacing w:line="540" w:lineRule="exact"/>
        <w:jc w:val="center"/>
        <w:rPr>
          <w:rFonts w:hint="default" w:ascii="Times New Roman" w:hAnsi="Times New Roman" w:eastAsia="仿宋_GB2312" w:cs="Times New Roman"/>
          <w:kern w:val="0"/>
          <w:sz w:val="30"/>
          <w:szCs w:val="30"/>
          <w:highlight w:val="none"/>
        </w:rPr>
      </w:pPr>
    </w:p>
    <w:p>
      <w:pPr>
        <w:shd w:val="clear"/>
        <w:spacing w:line="560" w:lineRule="exact"/>
        <w:ind w:firstLine="640" w:firstLineChars="200"/>
        <w:rPr>
          <w:rFonts w:hint="default" w:ascii="Times New Roman" w:hAnsi="Times New Roman" w:eastAsia="黑体" w:cs="Times New Roman"/>
          <w:bCs/>
          <w:sz w:val="32"/>
          <w:szCs w:val="32"/>
          <w:highlight w:val="none"/>
        </w:rPr>
      </w:pP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一、基本情况</w:t>
      </w:r>
    </w:p>
    <w:p>
      <w:pPr>
        <w:keepNext w:val="0"/>
        <w:keepLines w:val="0"/>
        <w:pageBreakBefore w:val="0"/>
        <w:shd w:val="clea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（一）项目概况</w:t>
      </w:r>
    </w:p>
    <w:p>
      <w:pPr>
        <w:keepNext w:val="0"/>
        <w:keepLines w:val="0"/>
        <w:pageBreakBefore w:val="0"/>
        <w:shd w:val="clea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1、项目背景</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义务教育是关系每个家庭的最大公共产品，是政府的基本职责，聚焦义务教育薄弱环节促进教育公平刻不容缓。近年来，教育部、国家发展改革委、财政部启动实施了全面改善贫困地区义务教育薄弱学校基本办学条件、义务教育薄弱环节改善与能力提升等重大项目。为了推荐项目顺利实施，教育部、国家发展改革委和财政部</w:t>
      </w:r>
      <w:r>
        <w:rPr>
          <w:rFonts w:hint="eastAsia" w:eastAsia="仿宋_GB2312" w:cs="Times New Roman"/>
          <w:sz w:val="32"/>
          <w:szCs w:val="32"/>
          <w:highlight w:val="none"/>
          <w:lang w:val="en-US" w:eastAsia="zh-CN"/>
        </w:rPr>
        <w:t>等部委要求</w:t>
      </w:r>
      <w:r>
        <w:rPr>
          <w:rFonts w:hint="default" w:ascii="Times New Roman" w:hAnsi="Times New Roman" w:eastAsia="仿宋_GB2312" w:cs="Times New Roman"/>
          <w:sz w:val="32"/>
          <w:szCs w:val="32"/>
          <w:highlight w:val="none"/>
          <w:lang w:val="en-US" w:eastAsia="zh-CN"/>
        </w:rPr>
        <w:t>切实做好</w:t>
      </w:r>
      <w:r>
        <w:rPr>
          <w:rFonts w:hint="eastAsia" w:eastAsia="仿宋_GB2312" w:cs="Times New Roman"/>
          <w:sz w:val="32"/>
          <w:szCs w:val="32"/>
          <w:highlight w:val="none"/>
          <w:lang w:val="en-US" w:eastAsia="zh-CN"/>
        </w:rPr>
        <w:t>和</w:t>
      </w:r>
      <w:r>
        <w:rPr>
          <w:rFonts w:hint="default" w:ascii="Times New Roman" w:hAnsi="Times New Roman" w:eastAsia="仿宋_GB2312" w:cs="Times New Roman"/>
          <w:sz w:val="32"/>
          <w:szCs w:val="32"/>
          <w:highlight w:val="none"/>
          <w:lang w:val="en-US" w:eastAsia="zh-CN"/>
        </w:rPr>
        <w:t>深入推进义务教育薄弱环节改善与能力提升工作</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教育部办公厅</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国家发展改革委办公厅</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财政部办公厅编制</w:t>
      </w:r>
      <w:r>
        <w:rPr>
          <w:rFonts w:hint="eastAsia" w:eastAsia="仿宋_GB2312" w:cs="Times New Roman"/>
          <w:sz w:val="32"/>
          <w:szCs w:val="32"/>
          <w:highlight w:val="none"/>
          <w:lang w:val="en-US" w:eastAsia="zh-CN"/>
        </w:rPr>
        <w:t>了</w:t>
      </w:r>
      <w:r>
        <w:rPr>
          <w:rFonts w:hint="default" w:ascii="Times New Roman" w:hAnsi="Times New Roman" w:eastAsia="仿宋_GB2312" w:cs="Times New Roman"/>
          <w:sz w:val="32"/>
          <w:szCs w:val="32"/>
          <w:highlight w:val="none"/>
          <w:lang w:val="en-US" w:eastAsia="zh-CN"/>
        </w:rPr>
        <w:t>义务教育薄弱环节改善与能力提升项目规划，提出按照统一城乡义务教育学校建设标准和基本装备配置标准的要求，补齐影响学校教学、生活和安全的基本办学条件。改造现有的取暖设施，建设心理咨询室、图书室等功能教室。科学规划义务教育学校布局，加大人口聚集的城市、县城学校规划建设力度，切实增加城镇学位供给，解决大班额问题。稳步提升育人保障能力。建设体育、美育场地和劳动教育场（所），配齐设施设备，加强校园文化建设，发挥校园环境育人功能。稳妥推进教育信息化发展，支持专递课堂、名师课堂和名校网络课堂建设，提高信息化设备使用效率，促进信息技术与教育教学融合应用，教育信息化建设。</w:t>
      </w:r>
    </w:p>
    <w:p>
      <w:pPr>
        <w:pStyle w:val="9"/>
        <w:keepNext w:val="0"/>
        <w:keepLines w:val="0"/>
        <w:pageBreakBefore w:val="0"/>
        <w:numPr>
          <w:ilvl w:val="0"/>
          <w:numId w:val="1"/>
        </w:numPr>
        <w:shd w:val="clear"/>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仿宋_GB2312" w:cs="Times New Roman"/>
          <w:kern w:val="2"/>
          <w:highlight w:val="none"/>
        </w:rPr>
      </w:pPr>
      <w:r>
        <w:rPr>
          <w:rFonts w:hint="default" w:ascii="Times New Roman" w:hAnsi="Times New Roman" w:eastAsia="仿宋_GB2312" w:cs="Times New Roman"/>
          <w:kern w:val="2"/>
          <w:highlight w:val="none"/>
        </w:rPr>
        <w:t>项目主要内容</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根据2023年义务教育薄弱环节改善与能力提升补助资金预算的通知，2023年哈密市教育局石油教育分局义务教育薄弱环节改善与能力提升补助资金项目用于哈密市第十四中学暖气管网改造；哈密市第六小学排污、水、暖气管网改造、安装保温墙；哈密市第十四中学、哈密市外国语学校、哈密市第六小学篮球架等体育器材采购；哈密市第十四中学、哈密市外国语学校教学用计算机电子白板（电子屏）微机室电脑校园朗读-录音亭采购安装、哈密市十四中学、第六小学触摸一体机采购；哈密市第十四中学、哈密市外国语学校劳技教育器材理化生科学教学实验器材采购；哈密市外国语学校美术、书法教学器材音乐教学器材、科创教室仪器设备采购；哈密市第十四中学风雨操场地面维修改造；哈密市第十四中学校园电台校园广播系统校园监控等安防设备实验楼网络布线及网络终端采购安装；哈密市第六小学、哈密市第十四中学鼓号队设备采购；哈密市第六小学课桌椅采购；哈密市第十四中学校书柜、图书室阅览书柜、图书室阅览书架标本展示柜采购；哈密市第十四中学校实验楼学生饮水机采购；哈密市第六小学、哈密市外国语学校、哈密市第十四中学项目工程造价咨询费、工程可研报告编制费、工程监理费、工程设计费；哈密市外国语学校天井改建“科普+劳动”园地建设；哈密市第六小学科创实践中心设备采购及维修改造；外国语学校教学楼路道修缮；哈密市外国语学校地面硬化；哈密市第六小学监控设备维修；哈密市第六小学打印机等设备采购；十四中学劳动技术教育室维修改造；哈密市六小空调电路改造；哈密市第十四中学校园监控系统硬盘录像机采购。2023年下达哈密市教育局石油教育分局义务教育薄弱环节改善与能力提升补助资金839万元。</w:t>
      </w:r>
    </w:p>
    <w:p>
      <w:pPr>
        <w:keepNext w:val="0"/>
        <w:keepLines w:val="0"/>
        <w:pageBreakBefore w:val="0"/>
        <w:shd w:val="clea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3、资金投入和使用情况</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该项目年初预算数839万元，全年预算数839万元实际总投入839万元，该项目资金已全部落实到位，资金来源为中央预算内资金。</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839万元，全年预算数839万元,全年执行数741.88万元，预算执行率为88.42%，主要用于：全部用于义务教育学校薄弱环节改善与能力提升工作中，其中2023年完成哈密市第六小学、哈密市外国语学校、哈密市第十四中学暖气管网改造等4项基础设施改造工程265万元，其中支付哈密市第六小学、哈密市外国语学校、哈密市第十四中学项目工程造价咨询费、工程可研报告编制费、工程监理费、工程设计费共计14.47万元；共采购哈密市第六小学、哈密市外国语学校、哈密市第十四中学等各类教育教学设备476.88万元1564多台（套）。</w:t>
      </w:r>
    </w:p>
    <w:p>
      <w:pPr>
        <w:keepNext w:val="0"/>
        <w:keepLines w:val="0"/>
        <w:pageBreakBefore w:val="0"/>
        <w:shd w:val="clear"/>
        <w:kinsoku/>
        <w:wordWrap/>
        <w:overflowPunct/>
        <w:topLinePunct w:val="0"/>
        <w:autoSpaceDE/>
        <w:autoSpaceDN/>
        <w:bidi w:val="0"/>
        <w:adjustRightInd/>
        <w:snapToGrid/>
        <w:spacing w:line="560" w:lineRule="exact"/>
        <w:ind w:firstLine="602" w:firstLineChars="200"/>
        <w:textAlignment w:val="auto"/>
        <w:outlineLvl w:val="0"/>
        <w:rPr>
          <w:rFonts w:hint="default" w:ascii="Times New Roman" w:hAnsi="Times New Roman" w:eastAsia="仿宋_GB2312" w:cs="Times New Roman"/>
          <w:b/>
          <w:bCs/>
          <w:sz w:val="30"/>
          <w:szCs w:val="30"/>
          <w:highlight w:val="none"/>
          <w:lang w:val="en-US" w:eastAsia="zh-CN"/>
        </w:rPr>
      </w:pPr>
      <w:r>
        <w:rPr>
          <w:rFonts w:hint="default" w:ascii="Times New Roman" w:hAnsi="Times New Roman" w:eastAsia="仿宋_GB2312" w:cs="Times New Roman"/>
          <w:b/>
          <w:bCs/>
          <w:sz w:val="30"/>
          <w:szCs w:val="30"/>
          <w:highlight w:val="none"/>
          <w:lang w:val="en-US" w:eastAsia="zh-CN"/>
        </w:rPr>
        <w:t>4.实施情况</w:t>
      </w:r>
    </w:p>
    <w:p>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highlight w:val="none"/>
          <w:lang w:val="en-US" w:eastAsia="zh-CN"/>
        </w:rPr>
      </w:pPr>
      <w:r>
        <w:rPr>
          <w:rFonts w:hint="default" w:ascii="Times New Roman" w:hAnsi="Times New Roman" w:eastAsia="仿宋_GB2312" w:cs="Times New Roman"/>
          <w:sz w:val="32"/>
          <w:szCs w:val="32"/>
          <w:highlight w:val="none"/>
          <w:lang w:val="en-US" w:eastAsia="zh-CN"/>
        </w:rPr>
        <w:t>截止2023年12月底，已经完成项目88.42%的目标，除哈密市外国语学校美术、书法教学器材音乐教学器材、科创教室仪器设备项目由于供应商违约，没有按时完成，另有33.56万元为招标过程中节约资金，未完成资金97.12万元，计划在2024年继续实施，完成项目计划。在实施过程中严格按照目标设立的各阶段任务进行开展工作，在前期立项过程中严格把质量关，建立安全防护机制，保证项目实施各阶段安全顺利进行。2023年完成哈密市第六小学、哈密市外国语学校、哈密市第十四中学暖气管网改造等4项基础设施改造工程265万元，其中支付哈密市第六小学、哈密市外国语学校、哈密市第十四中学项目工程造价咨询费、工程可研报告编制费、工程监理费、工程设计费共计14.47万元；共采购哈密市第六小学、哈密市外国语学校、哈密市第十四中学等各类教育教学设备467.88万元1564多台（套）；该项目共完成资金支出741.88万元，资金执行率88.42%；所有项目按政府采购规定，采用了公开招标采购模式，采购价格均低于预算价格，既保证了质量，又结余了财政资金。设施设备购置合格率100%，设施设备维修合格率100%，使办学条件不断改善，学校运转水平不断提高，师生满意，学校满意，提高了教育教学质量；加强</w:t>
      </w:r>
      <w:r>
        <w:rPr>
          <w:rFonts w:hint="eastAsia" w:eastAsia="仿宋_GB2312" w:cs="Times New Roman"/>
          <w:sz w:val="32"/>
          <w:szCs w:val="32"/>
          <w:highlight w:val="none"/>
          <w:lang w:val="en-US" w:eastAsia="zh-CN"/>
        </w:rPr>
        <w:t>资金</w:t>
      </w:r>
      <w:r>
        <w:rPr>
          <w:rFonts w:hint="default" w:ascii="Times New Roman" w:hAnsi="Times New Roman" w:eastAsia="仿宋_GB2312" w:cs="Times New Roman"/>
          <w:sz w:val="32"/>
          <w:szCs w:val="32"/>
          <w:highlight w:val="none"/>
          <w:lang w:val="en-US" w:eastAsia="zh-CN"/>
        </w:rPr>
        <w:t>管理，教育部门只要组织项目的实施，财政部门不要负责资金的监管，保证资金按计划支付，直接支付到中标企业，不进入实施单位账户，提高了教育经费使用效益。</w:t>
      </w:r>
    </w:p>
    <w:p>
      <w:pPr>
        <w:keepNext w:val="0"/>
        <w:keepLines w:val="0"/>
        <w:pageBreakBefore w:val="0"/>
        <w:shd w:val="clea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（二）项目绩效目标</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1、总体目标</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通过该项目的实施，石油教育分局义务教育学校办学条件得到提升，教学环境得到进一步美化，可进一步促进教育公平。通过该项目的实施，使石油教育分局所属哈密市第六小学、哈密市第十四中学、哈密市外国语学校办学条件得到改善，为开展高效课堂教学，全员素质教育奠定了基础，可使教育教学质量进一步提升。2023年该项目预算资金总额839万元，完成教育教学设备购置、设施维修维护等工作。</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2、阶段性目标</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val="0"/>
          <w:bCs w:val="0"/>
          <w:kern w:val="2"/>
          <w:sz w:val="32"/>
          <w:szCs w:val="32"/>
          <w:highlight w:val="none"/>
          <w:lang w:val="en-US" w:eastAsia="zh-CN" w:bidi="ar-SA"/>
        </w:rPr>
        <w:t>2023年义务教育薄弱环节改善与能力提升补助资金项目，计划从2023年2月</w:t>
      </w:r>
      <w:r>
        <w:rPr>
          <w:rFonts w:hint="eastAsia" w:eastAsia="仿宋_GB2312" w:cs="Times New Roman"/>
          <w:b w:val="0"/>
          <w:bCs w:val="0"/>
          <w:kern w:val="2"/>
          <w:sz w:val="32"/>
          <w:szCs w:val="32"/>
          <w:highlight w:val="none"/>
          <w:lang w:val="en-US" w:eastAsia="zh-CN" w:bidi="ar-SA"/>
        </w:rPr>
        <w:t>份</w:t>
      </w:r>
      <w:r>
        <w:rPr>
          <w:rFonts w:hint="default" w:ascii="Times New Roman" w:hAnsi="Times New Roman" w:eastAsia="仿宋_GB2312" w:cs="Times New Roman"/>
          <w:b w:val="0"/>
          <w:bCs w:val="0"/>
          <w:kern w:val="2"/>
          <w:sz w:val="32"/>
          <w:szCs w:val="32"/>
          <w:highlight w:val="none"/>
          <w:lang w:val="en-US" w:eastAsia="zh-CN" w:bidi="ar-SA"/>
        </w:rPr>
        <w:t>开始启动项目的前期准备工作，组织人员制定采购参数、维修方案等，与政府采购管理部门协商采购方式。3月份新学期开学开始组织实施，完成哈密市第六小学、哈密市外国语学校、哈密市第十四中学项目工程造价咨询、工程可研报告编制、工程设计等工作，到6月份完成全部的招标及合同签订工作，8月31日新学期开学前，计划完成哈密市第六小学、哈密市外国语学校、哈密市第十四中学暖气管网改造等4项基础设施改造工程264万元，计划完成哈密市第六小学、哈密市外国语学校、哈密市第十四中学各类教育教学设备采购575万元并调试完毕，确保新设备验收合格率100%，保证开学后能用到学校的教育教学工作中，提升学校的教学保障能力。</w:t>
      </w:r>
    </w:p>
    <w:p>
      <w:pPr>
        <w:shd w:val="clea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二、绩效评价工作开展情况</w:t>
      </w:r>
    </w:p>
    <w:p>
      <w:pPr>
        <w:keepNext w:val="0"/>
        <w:keepLines w:val="0"/>
        <w:pageBreakBefore w:val="0"/>
        <w:shd w:val="clea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（一）绩效评价目的、对象和范围</w:t>
      </w:r>
    </w:p>
    <w:p>
      <w:pPr>
        <w:pStyle w:val="9"/>
        <w:keepNext w:val="0"/>
        <w:keepLines w:val="0"/>
        <w:pageBreakBefore w:val="0"/>
        <w:widowControl w:val="0"/>
        <w:shd w:val="clear"/>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1、绩效评价的目的</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keepNext w:val="0"/>
        <w:keepLines w:val="0"/>
        <w:pageBreakBefore w:val="0"/>
        <w:numPr>
          <w:ilvl w:val="0"/>
          <w:numId w:val="2"/>
        </w:numPr>
        <w:shd w:val="clea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项目实施前向项目负责人提供财政支出绩效方面的资金管理信息，促进项目支出严格按照资金管理规定进行。</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（2）项目绩效管理财政支出运行提供及时、有效的信息。</w:t>
      </w:r>
    </w:p>
    <w:p>
      <w:pPr>
        <w:pStyle w:val="18"/>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Style w:val="9"/>
        <w:keepNext w:val="0"/>
        <w:keepLines w:val="0"/>
        <w:pageBreakBefore w:val="0"/>
        <w:widowControl w:val="0"/>
        <w:shd w:val="clear"/>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2、绩效评价的对象</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202</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年义务教育薄弱环节改善与能力提升补助资金项目包含</w:t>
      </w:r>
      <w:r>
        <w:rPr>
          <w:rFonts w:hint="default" w:ascii="Times New Roman" w:hAnsi="Times New Roman" w:eastAsia="仿宋_GB2312" w:cs="Times New Roman"/>
          <w:b w:val="0"/>
          <w:bCs w:val="0"/>
          <w:kern w:val="2"/>
          <w:sz w:val="30"/>
          <w:szCs w:val="30"/>
          <w:highlight w:val="none"/>
          <w:lang w:val="en-US" w:eastAsia="zh-CN" w:bidi="ar-SA"/>
        </w:rPr>
        <w:t>哈密市第六小学、哈密市外国语学校、哈密市第十四中学暖气管网改造等4项基础设施改造工程265万元，其中支付哈密市第六小学、哈密市外国语学校、哈密市第十四中学项目工程造价咨询费、工程可研报告编制费、工程监理费、工程设计费共计14.47万元；哈密市第六小学、哈密市外国语学校、哈密市第十四中学各类教育教学设备采购467.88万元。</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采购等。</w:t>
      </w:r>
    </w:p>
    <w:p>
      <w:pPr>
        <w:pStyle w:val="9"/>
        <w:keepNext w:val="0"/>
        <w:keepLines w:val="0"/>
        <w:pageBreakBefore w:val="0"/>
        <w:widowControl w:val="0"/>
        <w:shd w:val="clear"/>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3、绩效评价的范围</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本次评价从项目决策（包括绩效目标、决策过程）、项目管理（包括项目资金、项目实施）、项目产出（包括项目产出数量、产出质量、产出时效和产出成本）项目效益四个维度对202</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年义务教育薄弱环节改善与能力提升补助资金项目进行评价，评价核心为专项资金的支出完成情况和效果。</w:t>
      </w:r>
    </w:p>
    <w:p>
      <w:pPr>
        <w:keepNext w:val="0"/>
        <w:keepLines w:val="0"/>
        <w:pageBreakBefore w:val="0"/>
        <w:shd w:val="clea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cs="Times New Roman"/>
          <w:highlight w:val="none"/>
        </w:rPr>
      </w:pPr>
      <w:r>
        <w:rPr>
          <w:rFonts w:hint="default" w:ascii="Times New Roman" w:hAnsi="Times New Roman" w:eastAsia="楷体_GB2312" w:cs="Times New Roman"/>
          <w:b/>
          <w:bCs/>
          <w:sz w:val="32"/>
          <w:szCs w:val="32"/>
          <w:highlight w:val="none"/>
        </w:rPr>
        <w:t>（二）绩效评价原则、评价指标体系（详情见表1）、评价方法、评价标准。</w:t>
      </w:r>
    </w:p>
    <w:p>
      <w:pPr>
        <w:pStyle w:val="9"/>
        <w:keepNext w:val="0"/>
        <w:keepLines w:val="0"/>
        <w:pageBreakBefore w:val="0"/>
        <w:widowControl w:val="0"/>
        <w:shd w:val="clear"/>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1、绩效评价原则</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本次项目绩效评价遵循以下基本原则：</w:t>
      </w:r>
    </w:p>
    <w:p>
      <w:pPr>
        <w:pStyle w:val="9"/>
        <w:keepNext w:val="0"/>
        <w:keepLines w:val="0"/>
        <w:pageBreakBefore w:val="0"/>
        <w:shd w:val="clear"/>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（1）科学公正。绩效评价应当运用科学合理的方法，按照规范的程序，对项目绩效进行客观、公正的反映。</w:t>
      </w:r>
    </w:p>
    <w:p>
      <w:pPr>
        <w:pStyle w:val="9"/>
        <w:keepNext w:val="0"/>
        <w:keepLines w:val="0"/>
        <w:pageBreakBefore w:val="0"/>
        <w:shd w:val="clear"/>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（2）统筹兼顾。单位自评、部门评价和财政评价应职责明确，各有侧重，相互衔接。单位自评应由项目单位自主实施，即“谁支出、谁自评”。部门评价和财政评价应在单位自评的基础上开展。</w:t>
      </w:r>
    </w:p>
    <w:p>
      <w:pPr>
        <w:pStyle w:val="9"/>
        <w:keepNext w:val="0"/>
        <w:keepLines w:val="0"/>
        <w:pageBreakBefore w:val="0"/>
        <w:shd w:val="clear"/>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（3）激励约束。绩效评价结果应与预算安排、政策调整、改进管理实质性挂钩，体现奖优罚劣和激励相容导向，有效要安排、低效要压减、无效要问责。</w:t>
      </w:r>
    </w:p>
    <w:p>
      <w:pPr>
        <w:pStyle w:val="9"/>
        <w:keepNext w:val="0"/>
        <w:keepLines w:val="0"/>
        <w:pageBreakBefore w:val="0"/>
        <w:shd w:val="clear"/>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（4）公开透明。绩效评价结果应依法依规公开，并自觉接受社会监督。</w:t>
      </w:r>
    </w:p>
    <w:p>
      <w:pPr>
        <w:pStyle w:val="9"/>
        <w:keepNext w:val="0"/>
        <w:keepLines w:val="0"/>
        <w:pageBreakBefore w:val="0"/>
        <w:widowControl w:val="0"/>
        <w:shd w:val="clear"/>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2、评价指标体系</w:t>
      </w:r>
    </w:p>
    <w:p>
      <w:pPr>
        <w:keepNext w:val="0"/>
        <w:keepLines w:val="0"/>
        <w:pageBreakBefore w:val="0"/>
        <w:shd w:val="clear"/>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绩效评价框架是开展绩效评价的核心。绩效评价框架包括评价准则、关键评价问题、评价指标、数据来源、数据收集方法等。指标体系建立过程如下：</w:t>
      </w:r>
    </w:p>
    <w:p>
      <w:pPr>
        <w:keepNext w:val="0"/>
        <w:keepLines w:val="0"/>
        <w:pageBreakBefore w:val="0"/>
        <w:shd w:val="clear"/>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（1）确定评价指标</w:t>
      </w:r>
    </w:p>
    <w:p>
      <w:pPr>
        <w:keepNext w:val="0"/>
        <w:keepLines w:val="0"/>
        <w:pageBreakBefore w:val="0"/>
        <w:shd w:val="clear"/>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采用层次分析法，建立评价指标体系。绩效评价将指标分为项目决策指标、项目过程指标、项目产出指标、项目效益指标四个维度，最终形成一个由多个相互联系的指标组成的多层次指标体系。</w:t>
      </w:r>
    </w:p>
    <w:p>
      <w:pPr>
        <w:keepNext w:val="0"/>
        <w:keepLines w:val="0"/>
        <w:pageBreakBefore w:val="0"/>
        <w:shd w:val="clear"/>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（2）确定权重</w:t>
      </w:r>
    </w:p>
    <w:p>
      <w:pPr>
        <w:keepNext w:val="0"/>
        <w:keepLines w:val="0"/>
        <w:pageBreakBefore w:val="0"/>
        <w:shd w:val="clear"/>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确定各个指标相对于项目总体绩效的权重分值。在绩效评价指标体系中，项目决策权重为20分，项目过程权重为20分，项目产出权重为30分，项目成本权重10分，项目效益权重为20分。</w:t>
      </w:r>
    </w:p>
    <w:p>
      <w:pPr>
        <w:keepNext w:val="0"/>
        <w:keepLines w:val="0"/>
        <w:pageBreakBefore w:val="0"/>
        <w:shd w:val="clear"/>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（3）确定指标标准值</w:t>
      </w:r>
    </w:p>
    <w:p>
      <w:pPr>
        <w:keepNext w:val="0"/>
        <w:keepLines w:val="0"/>
        <w:pageBreakBefore w:val="0"/>
        <w:shd w:val="clear"/>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指标标准值是绩效评价指标的尺度，既要反映同类项目的先进水平，又要符合项目的实际绩效水平。具体采用计划标准等确定此次绩效评价指标标准值。</w:t>
      </w:r>
    </w:p>
    <w:p>
      <w:pPr>
        <w:pStyle w:val="9"/>
        <w:keepNext w:val="0"/>
        <w:keepLines w:val="0"/>
        <w:pageBreakBefore w:val="0"/>
        <w:shd w:val="clear"/>
        <w:kinsoku/>
        <w:wordWrap/>
        <w:overflowPunct/>
        <w:topLinePunct w:val="0"/>
        <w:autoSpaceDE/>
        <w:autoSpaceDN/>
        <w:bidi w:val="0"/>
        <w:adjustRightInd/>
        <w:snapToGrid/>
        <w:spacing w:before="0" w:after="0" w:line="560" w:lineRule="exact"/>
        <w:ind w:firstLine="708" w:firstLineChars="200"/>
        <w:jc w:val="both"/>
        <w:textAlignment w:val="auto"/>
        <w:rPr>
          <w:rFonts w:hint="default" w:ascii="Times New Roman" w:hAnsi="Times New Roman" w:eastAsia="仿宋_GB2312" w:cs="Times New Roman"/>
          <w:b w:val="0"/>
          <w:bCs w:val="0"/>
          <w:color w:val="000000"/>
          <w:spacing w:val="17"/>
          <w:kern w:val="2"/>
          <w:highlight w:val="none"/>
        </w:rPr>
      </w:pPr>
      <w:r>
        <w:rPr>
          <w:rFonts w:hint="default" w:ascii="Times New Roman" w:hAnsi="Times New Roman" w:eastAsia="仿宋_GB2312" w:cs="Times New Roman"/>
          <w:b w:val="0"/>
          <w:bCs w:val="0"/>
          <w:color w:val="000000"/>
          <w:spacing w:val="17"/>
          <w:kern w:val="2"/>
          <w:highlight w:val="none"/>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9"/>
        <w:keepNext w:val="0"/>
        <w:keepLines w:val="0"/>
        <w:pageBreakBefore w:val="0"/>
        <w:widowControl w:val="0"/>
        <w:shd w:val="clear"/>
        <w:kinsoku/>
        <w:wordWrap/>
        <w:overflowPunct/>
        <w:topLinePunct w:val="0"/>
        <w:autoSpaceDE/>
        <w:autoSpaceDN/>
        <w:bidi w:val="0"/>
        <w:adjustRightInd/>
        <w:snapToGrid/>
        <w:spacing w:before="0" w:after="0" w:line="560" w:lineRule="exact"/>
        <w:ind w:firstLine="708" w:firstLineChars="200"/>
        <w:jc w:val="both"/>
        <w:textAlignment w:val="auto"/>
        <w:outlineLvl w:val="9"/>
        <w:rPr>
          <w:rFonts w:hint="default" w:ascii="Times New Roman" w:hAnsi="Times New Roman" w:eastAsia="仿宋_GB2312" w:cs="Times New Roman"/>
          <w:b w:val="0"/>
          <w:bCs w:val="0"/>
          <w:color w:val="000000"/>
          <w:spacing w:val="17"/>
          <w:highlight w:val="none"/>
        </w:rPr>
      </w:pPr>
      <w:r>
        <w:rPr>
          <w:rFonts w:hint="default" w:ascii="Times New Roman" w:hAnsi="Times New Roman" w:eastAsia="仿宋_GB2312" w:cs="Times New Roman"/>
          <w:b w:val="0"/>
          <w:bCs w:val="0"/>
          <w:color w:val="000000"/>
          <w:spacing w:val="17"/>
          <w:highlight w:val="none"/>
        </w:rPr>
        <w:t>具体评价指标体系详情见附件1</w:t>
      </w:r>
    </w:p>
    <w:p>
      <w:pPr>
        <w:pStyle w:val="9"/>
        <w:keepNext w:val="0"/>
        <w:keepLines w:val="0"/>
        <w:pageBreakBefore w:val="0"/>
        <w:widowControl w:val="0"/>
        <w:shd w:val="clear"/>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3、绩效评价方法</w:t>
      </w:r>
    </w:p>
    <w:p>
      <w:pPr>
        <w:keepNext w:val="0"/>
        <w:keepLines w:val="0"/>
        <w:pageBreakBefore w:val="0"/>
        <w:shd w:val="clear"/>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绩效评价从项目决策、项目过程、项目产出、项目效益四个维度进行评价。评价对象为项目目标实施情况，  评价核心为资金的支出完成情况和项目的产出效益。</w:t>
      </w:r>
    </w:p>
    <w:p>
      <w:pPr>
        <w:keepNext w:val="0"/>
        <w:keepLines w:val="0"/>
        <w:pageBreakBefore w:val="0"/>
        <w:shd w:val="clear"/>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本次评价指标中，既有定性指标又有定量指标，各类指标因考核内容不同和客观标准不同存在较大差异，因此核定具体指标时采用了不同方法，具体评价方法如下：（1）比较法</w:t>
      </w:r>
    </w:p>
    <w:p>
      <w:pPr>
        <w:keepNext w:val="0"/>
        <w:keepLines w:val="0"/>
        <w:pageBreakBefore w:val="0"/>
        <w:shd w:val="clear"/>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通过对绩效目标与实施效果、历史与当期情况，综合分析绩效目标实现程度。对</w:t>
      </w:r>
      <w:r>
        <w:rPr>
          <w:rFonts w:hint="default" w:ascii="Times New Roman" w:hAnsi="Times New Roman" w:eastAsia="仿宋_GB2312" w:cs="Times New Roman"/>
          <w:sz w:val="32"/>
          <w:szCs w:val="32"/>
          <w:highlight w:val="none"/>
        </w:rPr>
        <w:t>项目</w:t>
      </w:r>
      <w:r>
        <w:rPr>
          <w:rFonts w:hint="default" w:ascii="Times New Roman" w:hAnsi="Times New Roman" w:eastAsia="仿宋_GB2312" w:cs="Times New Roman"/>
          <w:color w:val="000000"/>
          <w:spacing w:val="17"/>
          <w:sz w:val="32"/>
          <w:szCs w:val="32"/>
          <w:highlight w:val="none"/>
        </w:rPr>
        <w:t>最终验收情况与年度绩效目标对比、预算资金执行情况等相关因素进行比较。</w:t>
      </w:r>
    </w:p>
    <w:p>
      <w:pPr>
        <w:keepNext w:val="0"/>
        <w:keepLines w:val="0"/>
        <w:pageBreakBefore w:val="0"/>
        <w:shd w:val="clear"/>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（2）因素分析法</w:t>
      </w:r>
    </w:p>
    <w:p>
      <w:pPr>
        <w:keepNext w:val="0"/>
        <w:keepLines w:val="0"/>
        <w:pageBreakBefore w:val="0"/>
        <w:shd w:val="clear"/>
        <w:kinsoku/>
        <w:wordWrap/>
        <w:overflowPunct/>
        <w:topLinePunct w:val="0"/>
        <w:autoSpaceDE/>
        <w:autoSpaceDN/>
        <w:bidi w:val="0"/>
        <w:adjustRightInd/>
        <w:snapToGrid/>
        <w:spacing w:line="560" w:lineRule="exact"/>
        <w:ind w:firstLine="708" w:firstLineChars="200"/>
        <w:textAlignment w:val="auto"/>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通过综合分析影响绩效目标实现、实施效果的内外因素，评价绩效目标实现程度。通过对</w:t>
      </w:r>
      <w:r>
        <w:rPr>
          <w:rFonts w:hint="default" w:ascii="Times New Roman" w:hAnsi="Times New Roman" w:eastAsia="仿宋_GB2312" w:cs="Times New Roman"/>
          <w:sz w:val="32"/>
          <w:szCs w:val="32"/>
          <w:highlight w:val="none"/>
        </w:rPr>
        <w:t>项目</w:t>
      </w:r>
      <w:r>
        <w:rPr>
          <w:rFonts w:hint="default" w:ascii="Times New Roman" w:hAnsi="Times New Roman" w:eastAsia="仿宋_GB2312" w:cs="Times New Roman"/>
          <w:color w:val="000000"/>
          <w:spacing w:val="17"/>
          <w:sz w:val="32"/>
          <w:szCs w:val="32"/>
          <w:highlight w:val="none"/>
        </w:rPr>
        <w:t>的开展情况、项目产出数量、成本控制、资金拨付文件及自评报告等相关资料的收集和审核，综合分析各因素对绩效目标实现的影响。</w:t>
      </w:r>
    </w:p>
    <w:p>
      <w:pPr>
        <w:pStyle w:val="9"/>
        <w:keepNext w:val="0"/>
        <w:keepLines w:val="0"/>
        <w:pageBreakBefore w:val="0"/>
        <w:widowControl w:val="0"/>
        <w:shd w:val="clear"/>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4、评价标准</w:t>
      </w:r>
    </w:p>
    <w:p>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FF0000"/>
          <w:sz w:val="32"/>
          <w:szCs w:val="32"/>
          <w:highlight w:val="none"/>
        </w:rPr>
      </w:pPr>
      <w:r>
        <w:rPr>
          <w:rFonts w:hint="default" w:ascii="Times New Roman" w:hAnsi="Times New Roman" w:eastAsia="仿宋_GB2312" w:cs="Times New Roman"/>
          <w:sz w:val="32"/>
          <w:szCs w:val="32"/>
          <w:highlight w:val="none"/>
        </w:rPr>
        <w:t>绩效评价标准通常包括计划标准、行业标准、历史标准等，用于对绩效指标完成情况进行比较、分析、评价。本次</w:t>
      </w:r>
      <w:r>
        <w:rPr>
          <w:rFonts w:hint="default" w:ascii="Times New Roman" w:hAnsi="Times New Roman" w:eastAsia="仿宋_GB2312" w:cs="Times New Roman"/>
          <w:color w:val="auto"/>
          <w:sz w:val="32"/>
          <w:szCs w:val="32"/>
          <w:highlight w:val="none"/>
        </w:rPr>
        <w:t>评价主要采用了</w:t>
      </w:r>
      <w:r>
        <w:rPr>
          <w:rFonts w:hint="default" w:ascii="Times New Roman" w:hAnsi="Times New Roman" w:eastAsia="仿宋_GB2312" w:cs="Times New Roman"/>
          <w:color w:val="auto"/>
          <w:sz w:val="32"/>
          <w:szCs w:val="32"/>
          <w:highlight w:val="none"/>
          <w:lang w:eastAsia="zh-CN"/>
        </w:rPr>
        <w:t>计划标准和行业</w:t>
      </w:r>
      <w:r>
        <w:rPr>
          <w:rFonts w:hint="default" w:ascii="Times New Roman" w:hAnsi="Times New Roman" w:eastAsia="仿宋_GB2312" w:cs="Times New Roman"/>
          <w:color w:val="auto"/>
          <w:sz w:val="32"/>
          <w:szCs w:val="32"/>
          <w:highlight w:val="none"/>
        </w:rPr>
        <w:t>标准。</w:t>
      </w:r>
    </w:p>
    <w:p>
      <w:pPr>
        <w:keepNext w:val="0"/>
        <w:keepLines w:val="0"/>
        <w:pageBreakBefore w:val="0"/>
        <w:shd w:val="clea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highlight w:val="none"/>
        </w:rPr>
      </w:pPr>
      <w:bookmarkStart w:id="0" w:name="_Toc31464"/>
      <w:bookmarkStart w:id="1" w:name="_Toc17882"/>
      <w:r>
        <w:rPr>
          <w:rFonts w:hint="default" w:ascii="Times New Roman" w:hAnsi="Times New Roman" w:eastAsia="仿宋_GB2312" w:cs="Times New Roman"/>
          <w:b/>
          <w:bCs/>
          <w:sz w:val="32"/>
          <w:szCs w:val="32"/>
          <w:highlight w:val="none"/>
        </w:rPr>
        <w:t>计划标准：</w:t>
      </w:r>
      <w:r>
        <w:rPr>
          <w:rFonts w:hint="default" w:ascii="Times New Roman" w:hAnsi="Times New Roman" w:eastAsia="仿宋_GB2312" w:cs="Times New Roman"/>
          <w:sz w:val="32"/>
          <w:szCs w:val="32"/>
          <w:highlight w:val="none"/>
        </w:rPr>
        <w:t>指以预先制定的目标、计划、预算、定额等作为评价标准。</w:t>
      </w:r>
      <w:bookmarkEnd w:id="0"/>
      <w:bookmarkEnd w:id="1"/>
    </w:p>
    <w:p>
      <w:pPr>
        <w:pStyle w:val="9"/>
        <w:numPr>
          <w:ilvl w:val="0"/>
          <w:numId w:val="3"/>
        </w:numPr>
        <w:shd w:val="clear"/>
        <w:spacing w:before="0" w:after="0" w:line="560" w:lineRule="exact"/>
        <w:ind w:firstLine="711" w:firstLineChars="200"/>
        <w:jc w:val="both"/>
        <w:rPr>
          <w:rFonts w:hint="default" w:ascii="Times New Roman" w:hAnsi="Times New Roman" w:eastAsia="楷体" w:cs="Times New Roman"/>
          <w:color w:val="000000"/>
          <w:spacing w:val="17"/>
          <w:highlight w:val="none"/>
        </w:rPr>
      </w:pPr>
      <w:r>
        <w:rPr>
          <w:rFonts w:hint="default" w:ascii="Times New Roman" w:hAnsi="Times New Roman" w:eastAsia="楷体" w:cs="Times New Roman"/>
          <w:color w:val="000000"/>
          <w:spacing w:val="17"/>
          <w:highlight w:val="none"/>
        </w:rPr>
        <w:t>绩效评价工作过程</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lang w:val="en-US" w:eastAsia="zh-CN"/>
        </w:rPr>
        <w:t>1.</w:t>
      </w:r>
      <w:r>
        <w:rPr>
          <w:rFonts w:hint="default" w:ascii="Times New Roman" w:hAnsi="Times New Roman" w:eastAsia="仿宋_GB2312" w:cs="Times New Roman"/>
          <w:bCs/>
          <w:sz w:val="32"/>
          <w:szCs w:val="32"/>
          <w:highlight w:val="none"/>
        </w:rPr>
        <w:t>前期准备。首先成立评价工作组，开展前期调研；其次明确项目绩效目标，设计绩效评价指标体系并确定绩效评价方法；接着确定现场和非现场评价范围，设计资料清单；最后制定评价实施方案并进行论证。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eastAsia="仿宋_GB2312" w:cs="Times New Roman"/>
          <w:bCs/>
          <w:sz w:val="32"/>
          <w:szCs w:val="32"/>
          <w:highlight w:val="none"/>
        </w:rPr>
      </w:pPr>
      <w:r>
        <w:rPr>
          <w:rFonts w:hint="default" w:ascii="Times New Roman" w:hAnsi="Times New Roman" w:eastAsia="仿宋_GB2312" w:cs="Times New Roman"/>
          <w:bCs/>
          <w:sz w:val="32"/>
          <w:szCs w:val="32"/>
          <w:highlight w:val="none"/>
          <w:lang w:val="en-US" w:eastAsia="zh-CN"/>
        </w:rPr>
        <w:t>2.</w:t>
      </w:r>
      <w:r>
        <w:rPr>
          <w:rFonts w:hint="default" w:ascii="Times New Roman" w:hAnsi="Times New Roman" w:eastAsia="仿宋_GB2312" w:cs="Times New Roman"/>
          <w:bCs/>
          <w:sz w:val="32"/>
          <w:szCs w:val="32"/>
          <w:highlight w:val="none"/>
        </w:rPr>
        <w:t>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numPr>
          <w:ilvl w:val="0"/>
          <w:numId w:val="0"/>
        </w:numPr>
        <w:shd w:val="clear"/>
        <w:kinsoku/>
        <w:wordWrap/>
        <w:overflowPunct/>
        <w:topLinePunct w:val="0"/>
        <w:autoSpaceDE/>
        <w:autoSpaceDN/>
        <w:bidi w:val="0"/>
        <w:adjustRightInd/>
        <w:snapToGrid/>
        <w:spacing w:line="560" w:lineRule="exact"/>
        <w:ind w:left="0" w:leftChars="0" w:firstLine="640" w:firstLineChars="200"/>
        <w:textAlignment w:val="auto"/>
        <w:rPr>
          <w:rFonts w:hint="default" w:ascii="Times New Roman" w:hAnsi="Times New Roman" w:cs="Times New Roman"/>
          <w:sz w:val="32"/>
          <w:szCs w:val="32"/>
          <w:highlight w:val="none"/>
        </w:rPr>
      </w:pPr>
      <w:r>
        <w:rPr>
          <w:rFonts w:hint="default" w:ascii="Times New Roman" w:hAnsi="Times New Roman" w:eastAsia="仿宋_GB2312" w:cs="Times New Roman"/>
          <w:bCs/>
          <w:sz w:val="32"/>
          <w:szCs w:val="32"/>
          <w:highlight w:val="none"/>
          <w:lang w:val="en-US" w:eastAsia="zh-CN"/>
        </w:rPr>
        <w:t>3.</w:t>
      </w:r>
      <w:r>
        <w:rPr>
          <w:rFonts w:hint="default" w:ascii="Times New Roman" w:hAnsi="Times New Roman" w:eastAsia="仿宋_GB2312" w:cs="Times New Roman"/>
          <w:bCs/>
          <w:sz w:val="32"/>
          <w:szCs w:val="32"/>
          <w:highlight w:val="none"/>
        </w:rPr>
        <w:t>分析评价。根据收集梳理的资料围绕项目立项、资金落实、业务管理、财务管理、项目产出、项目效益等内容，对照已确定的绩效评价指标进行详细全面的分析评价，逐项打分并形成绩效评价最终结果。</w:t>
      </w:r>
    </w:p>
    <w:p>
      <w:pPr>
        <w:numPr>
          <w:ilvl w:val="0"/>
          <w:numId w:val="4"/>
        </w:numPr>
        <w:shd w:val="clea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综合评价情况及评价结论（附相关评分表）</w:t>
      </w:r>
    </w:p>
    <w:p>
      <w:pPr>
        <w:pStyle w:val="9"/>
        <w:keepNext w:val="0"/>
        <w:keepLines w:val="0"/>
        <w:pageBreakBefore w:val="0"/>
        <w:widowControl/>
        <w:shd w:val="clear"/>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highlight w:val="none"/>
          <w:lang w:val="en-US" w:eastAsia="zh-CN"/>
        </w:rPr>
      </w:pP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一</w:t>
      </w: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评价情况</w:t>
      </w:r>
    </w:p>
    <w:p>
      <w:pPr>
        <w:shd w:val="clear"/>
        <w:spacing w:line="600" w:lineRule="exact"/>
        <w:ind w:firstLine="640" w:firstLineChars="200"/>
        <w:outlineLvl w:val="0"/>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Style w:val="9"/>
        <w:keepNext w:val="0"/>
        <w:keepLines w:val="0"/>
        <w:pageBreakBefore w:val="0"/>
        <w:widowControl/>
        <w:shd w:val="clear"/>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highlight w:val="none"/>
          <w:lang w:val="en-US" w:eastAsia="zh-CN"/>
        </w:rPr>
      </w:pP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二</w:t>
      </w: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评价结论</w:t>
      </w:r>
    </w:p>
    <w:p>
      <w:pPr>
        <w:pStyle w:val="9"/>
        <w:widowControl w:val="0"/>
        <w:shd w:val="clea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运用绩效评价组制定的评价指标体系以及财政部项目支出绩效评价管理办法的评分标准，通过数据采集、问卷调查及访谈等方式，对本项目进行客观评价，最终评分结果：总得分为96.84分，属于“</w:t>
      </w:r>
      <w:r>
        <w:rPr>
          <w:rFonts w:hint="default" w:ascii="Times New Roman" w:hAnsi="Times New Roman" w:eastAsia="仿宋_GB2312" w:cs="Times New Roman"/>
          <w:b w:val="0"/>
          <w:bCs w:val="0"/>
          <w:highlight w:val="none"/>
          <w:lang w:eastAsia="zh-CN"/>
        </w:rPr>
        <w:t>优</w:t>
      </w:r>
      <w:r>
        <w:rPr>
          <w:rFonts w:hint="default" w:ascii="Times New Roman" w:hAnsi="Times New Roman" w:eastAsia="仿宋_GB2312" w:cs="Times New Roman"/>
          <w:b w:val="0"/>
          <w:bCs w:val="0"/>
          <w:highlight w:val="none"/>
        </w:rPr>
        <w:t>”。其中，项目决策类指标权重为20分，得分为</w:t>
      </w:r>
      <w:r>
        <w:rPr>
          <w:rFonts w:hint="default"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default"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rPr>
        <w:t>项目过程类指标权重为20分，得分为</w:t>
      </w:r>
      <w:r>
        <w:rPr>
          <w:rFonts w:hint="default" w:ascii="Times New Roman" w:hAnsi="Times New Roman" w:eastAsia="仿宋_GB2312" w:cs="Times New Roman"/>
          <w:b w:val="0"/>
          <w:bCs w:val="0"/>
          <w:highlight w:val="none"/>
          <w:lang w:val="en-US" w:eastAsia="zh-CN"/>
        </w:rPr>
        <w:t>19.54</w:t>
      </w:r>
      <w:r>
        <w:rPr>
          <w:rFonts w:hint="default" w:ascii="Times New Roman" w:hAnsi="Times New Roman" w:eastAsia="仿宋_GB2312" w:cs="Times New Roman"/>
          <w:b w:val="0"/>
          <w:bCs w:val="0"/>
          <w:highlight w:val="none"/>
        </w:rPr>
        <w:t xml:space="preserve">分，得分率为 </w:t>
      </w:r>
      <w:r>
        <w:rPr>
          <w:rFonts w:hint="default" w:ascii="Times New Roman" w:hAnsi="Times New Roman" w:eastAsia="仿宋_GB2312" w:cs="Times New Roman"/>
          <w:b w:val="0"/>
          <w:bCs w:val="0"/>
          <w:highlight w:val="none"/>
          <w:lang w:val="en-US" w:eastAsia="zh-CN"/>
        </w:rPr>
        <w:t>97.68</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rPr>
        <w:t>项目产出类指标权重为</w:t>
      </w:r>
      <w:r>
        <w:rPr>
          <w:rFonts w:hint="default" w:ascii="Times New Roman" w:hAnsi="Times New Roman" w:eastAsia="仿宋_GB2312" w:cs="Times New Roman"/>
          <w:b w:val="0"/>
          <w:bCs w:val="0"/>
          <w:highlight w:val="none"/>
          <w:lang w:val="en-US" w:eastAsia="zh-CN"/>
        </w:rPr>
        <w:t>30</w:t>
      </w:r>
      <w:r>
        <w:rPr>
          <w:rFonts w:hint="default" w:ascii="Times New Roman" w:hAnsi="Times New Roman" w:eastAsia="仿宋_GB2312" w:cs="Times New Roman"/>
          <w:b w:val="0"/>
          <w:bCs w:val="0"/>
          <w:highlight w:val="none"/>
        </w:rPr>
        <w:t>分，得分为</w:t>
      </w:r>
      <w:r>
        <w:rPr>
          <w:rFonts w:hint="default" w:ascii="Times New Roman" w:hAnsi="Times New Roman" w:eastAsia="仿宋_GB2312" w:cs="Times New Roman"/>
          <w:b w:val="0"/>
          <w:bCs w:val="0"/>
          <w:highlight w:val="none"/>
          <w:lang w:val="en-US" w:eastAsia="zh-CN"/>
        </w:rPr>
        <w:t>28.46</w:t>
      </w:r>
      <w:r>
        <w:rPr>
          <w:rFonts w:hint="default" w:ascii="Times New Roman" w:hAnsi="Times New Roman" w:eastAsia="仿宋_GB2312" w:cs="Times New Roman"/>
          <w:b w:val="0"/>
          <w:bCs w:val="0"/>
          <w:highlight w:val="none"/>
        </w:rPr>
        <w:t xml:space="preserve">分，得分率为 </w:t>
      </w:r>
      <w:r>
        <w:rPr>
          <w:rFonts w:hint="default" w:ascii="Times New Roman" w:hAnsi="Times New Roman" w:eastAsia="仿宋_GB2312" w:cs="Times New Roman"/>
          <w:b w:val="0"/>
          <w:bCs w:val="0"/>
          <w:highlight w:val="none"/>
          <w:lang w:val="en-US" w:eastAsia="zh-CN"/>
        </w:rPr>
        <w:t>95.79</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highlight w:val="none"/>
          <w:lang w:eastAsia="zh-CN"/>
        </w:rPr>
        <w:t>；项目产出类指标权重为</w:t>
      </w:r>
      <w:r>
        <w:rPr>
          <w:rFonts w:hint="default" w:ascii="Times New Roman" w:hAnsi="Times New Roman" w:eastAsia="仿宋_GB2312" w:cs="Times New Roman"/>
          <w:b w:val="0"/>
          <w:bCs w:val="0"/>
          <w:highlight w:val="none"/>
          <w:lang w:val="en-US" w:eastAsia="zh-CN"/>
        </w:rPr>
        <w:t>10分，得分为8.46分，得分率88.4%。</w:t>
      </w:r>
      <w:r>
        <w:rPr>
          <w:rFonts w:hint="default" w:ascii="Times New Roman" w:hAnsi="Times New Roman" w:eastAsia="仿宋_GB2312" w:cs="Times New Roman"/>
          <w:b w:val="0"/>
          <w:bCs w:val="0"/>
          <w:highlight w:val="none"/>
        </w:rPr>
        <w:t>项目效益类指标权重为20分，得分为</w:t>
      </w:r>
      <w:r>
        <w:rPr>
          <w:rFonts w:hint="default"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default"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%。具体打分情况详见：附件1综合评分表</w:t>
      </w:r>
      <w:r>
        <w:rPr>
          <w:rFonts w:hint="default" w:ascii="Times New Roman" w:hAnsi="Times New Roman" w:eastAsia="仿宋_GB2312" w:cs="Times New Roman"/>
          <w:b w:val="0"/>
          <w:bCs w:val="0"/>
          <w:highlight w:val="none"/>
          <w:lang w:eastAsia="zh-CN"/>
        </w:rPr>
        <w:t>。</w:t>
      </w:r>
    </w:p>
    <w:p>
      <w:pPr>
        <w:pStyle w:val="9"/>
        <w:keepNext w:val="0"/>
        <w:keepLines w:val="0"/>
        <w:pageBreakBefore w:val="0"/>
        <w:widowControl/>
        <w:shd w:val="clear"/>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30"/>
          <w:szCs w:val="30"/>
          <w:highlight w:val="none"/>
        </w:rPr>
      </w:pPr>
      <w:r>
        <w:rPr>
          <w:rFonts w:hint="default" w:ascii="Times New Roman" w:hAnsi="Times New Roman" w:eastAsia="仿宋_GB2312" w:cs="Times New Roman"/>
          <w:sz w:val="30"/>
          <w:szCs w:val="30"/>
          <w:highlight w:val="none"/>
        </w:rPr>
        <w:t>表1综合评分表</w:t>
      </w:r>
    </w:p>
    <w:tbl>
      <w:tblPr>
        <w:tblStyle w:val="13"/>
        <w:tblW w:w="7583" w:type="dxa"/>
        <w:jc w:val="center"/>
        <w:tblInd w:w="0" w:type="dxa"/>
        <w:tblLayout w:type="fixed"/>
        <w:tblCellMar>
          <w:top w:w="0" w:type="dxa"/>
          <w:left w:w="108" w:type="dxa"/>
          <w:bottom w:w="0" w:type="dxa"/>
          <w:right w:w="108" w:type="dxa"/>
        </w:tblCellMar>
      </w:tblPr>
      <w:tblGrid>
        <w:gridCol w:w="3137"/>
        <w:gridCol w:w="2168"/>
        <w:gridCol w:w="2278"/>
      </w:tblGrid>
      <w:tr>
        <w:tblPrEx>
          <w:tblLayout w:type="fixed"/>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shd w:val="clear"/>
              <w:jc w:val="center"/>
              <w:rPr>
                <w:rFonts w:hint="default" w:ascii="Times New Roman" w:hAnsi="Times New Roman" w:cs="Times New Roman"/>
                <w:b/>
                <w:bCs/>
                <w:color w:val="000000"/>
                <w:sz w:val="22"/>
                <w:highlight w:val="none"/>
              </w:rPr>
            </w:pPr>
            <w:r>
              <w:rPr>
                <w:rFonts w:hint="default" w:ascii="Times New Roman" w:hAnsi="Times New Roman" w:cs="Times New Roman"/>
                <w:b/>
                <w:bCs/>
                <w:color w:val="000000"/>
                <w:sz w:val="22"/>
                <w:highlight w:val="none"/>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shd w:val="clear"/>
              <w:jc w:val="center"/>
              <w:rPr>
                <w:rFonts w:hint="default" w:ascii="Times New Roman" w:hAnsi="Times New Roman" w:cs="Times New Roman"/>
                <w:b/>
                <w:bCs/>
                <w:color w:val="000000"/>
                <w:sz w:val="22"/>
                <w:highlight w:val="none"/>
              </w:rPr>
            </w:pPr>
            <w:r>
              <w:rPr>
                <w:rFonts w:hint="default" w:ascii="Times New Roman" w:hAnsi="Times New Roman" w:cs="Times New Roman"/>
                <w:b/>
                <w:bCs/>
                <w:color w:val="000000"/>
                <w:sz w:val="22"/>
                <w:highlight w:val="none"/>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shd w:val="clear"/>
              <w:jc w:val="center"/>
              <w:rPr>
                <w:rFonts w:hint="default" w:ascii="Times New Roman" w:hAnsi="Times New Roman" w:cs="Times New Roman"/>
                <w:b/>
                <w:bCs/>
                <w:color w:val="000000"/>
                <w:sz w:val="22"/>
                <w:highlight w:val="none"/>
              </w:rPr>
            </w:pPr>
            <w:r>
              <w:rPr>
                <w:rFonts w:hint="default" w:ascii="Times New Roman" w:hAnsi="Times New Roman" w:cs="Times New Roman"/>
                <w:b/>
                <w:bCs/>
                <w:color w:val="000000"/>
                <w:sz w:val="22"/>
                <w:highlight w:val="none"/>
              </w:rPr>
              <w:t>得分</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hd w:val="clear"/>
              <w:jc w:val="center"/>
              <w:rPr>
                <w:rFonts w:hint="default" w:ascii="Times New Roman" w:hAnsi="Times New Roman" w:cs="Times New Roman"/>
                <w:color w:val="000000"/>
                <w:sz w:val="22"/>
                <w:highlight w:val="none"/>
              </w:rPr>
            </w:pPr>
            <w:r>
              <w:rPr>
                <w:rFonts w:hint="default" w:ascii="Times New Roman" w:hAnsi="Times New Roman" w:cs="Times New Roman"/>
                <w:color w:val="000000"/>
                <w:sz w:val="22"/>
                <w:highlight w:val="none"/>
              </w:rPr>
              <w:t>项目决策</w:t>
            </w:r>
          </w:p>
        </w:tc>
        <w:tc>
          <w:tcPr>
            <w:tcW w:w="2168" w:type="dxa"/>
            <w:tcBorders>
              <w:top w:val="nil"/>
              <w:left w:val="nil"/>
              <w:bottom w:val="single" w:color="auto" w:sz="4" w:space="0"/>
              <w:right w:val="single" w:color="auto" w:sz="4" w:space="0"/>
            </w:tcBorders>
            <w:shd w:val="clear" w:color="auto" w:fill="auto"/>
            <w:vAlign w:val="center"/>
          </w:tcPr>
          <w:p>
            <w:pPr>
              <w:shd w:val="clear"/>
              <w:jc w:val="center"/>
              <w:rPr>
                <w:rFonts w:hint="default" w:ascii="Times New Roman" w:hAnsi="Times New Roman" w:eastAsia="宋体" w:cs="Times New Roman"/>
                <w:color w:val="000000"/>
                <w:sz w:val="22"/>
                <w:highlight w:val="none"/>
                <w:lang w:val="en-US" w:eastAsia="zh-CN"/>
              </w:rPr>
            </w:pPr>
            <w:r>
              <w:rPr>
                <w:rFonts w:hint="default" w:ascii="Times New Roman" w:hAnsi="Times New Roman" w:cs="Times New Roman"/>
                <w:color w:val="000000"/>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shd w:val="clear"/>
              <w:jc w:val="center"/>
              <w:rPr>
                <w:rFonts w:hint="default" w:ascii="Times New Roman" w:hAnsi="Times New Roman" w:eastAsia="宋体" w:cs="Times New Roman"/>
                <w:color w:val="000000"/>
                <w:sz w:val="22"/>
                <w:highlight w:val="none"/>
                <w:lang w:val="en-US" w:eastAsia="zh-CN"/>
              </w:rPr>
            </w:pPr>
            <w:r>
              <w:rPr>
                <w:rFonts w:hint="default" w:ascii="Times New Roman" w:hAnsi="Times New Roman" w:cs="Times New Roman"/>
                <w:color w:val="000000"/>
                <w:sz w:val="22"/>
                <w:highlight w:val="none"/>
                <w:lang w:val="en-US" w:eastAsia="zh-CN"/>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hd w:val="clear"/>
              <w:jc w:val="center"/>
              <w:rPr>
                <w:rFonts w:hint="default" w:ascii="Times New Roman" w:hAnsi="Times New Roman" w:cs="Times New Roman"/>
                <w:color w:val="000000"/>
                <w:sz w:val="22"/>
                <w:highlight w:val="none"/>
              </w:rPr>
            </w:pPr>
            <w:r>
              <w:rPr>
                <w:rFonts w:hint="default" w:ascii="Times New Roman" w:hAnsi="Times New Roman" w:cs="Times New Roman"/>
                <w:color w:val="000000"/>
                <w:sz w:val="22"/>
                <w:highlight w:val="none"/>
              </w:rPr>
              <w:t>项目过程</w:t>
            </w:r>
          </w:p>
        </w:tc>
        <w:tc>
          <w:tcPr>
            <w:tcW w:w="2168" w:type="dxa"/>
            <w:tcBorders>
              <w:top w:val="nil"/>
              <w:left w:val="nil"/>
              <w:bottom w:val="single" w:color="auto" w:sz="4" w:space="0"/>
              <w:right w:val="single" w:color="auto" w:sz="4" w:space="0"/>
            </w:tcBorders>
            <w:shd w:val="clear" w:color="auto" w:fill="auto"/>
            <w:vAlign w:val="center"/>
          </w:tcPr>
          <w:p>
            <w:pPr>
              <w:shd w:val="clear"/>
              <w:jc w:val="center"/>
              <w:rPr>
                <w:rFonts w:hint="default" w:ascii="Times New Roman" w:hAnsi="Times New Roman" w:eastAsia="宋体" w:cs="Times New Roman"/>
                <w:color w:val="000000"/>
                <w:sz w:val="22"/>
                <w:highlight w:val="none"/>
                <w:lang w:val="en-US" w:eastAsia="zh-CN"/>
              </w:rPr>
            </w:pPr>
            <w:r>
              <w:rPr>
                <w:rFonts w:hint="default" w:ascii="Times New Roman" w:hAnsi="Times New Roman" w:cs="Times New Roman"/>
                <w:color w:val="000000"/>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shd w:val="clear"/>
              <w:jc w:val="center"/>
              <w:rPr>
                <w:rFonts w:hint="default" w:ascii="Times New Roman" w:hAnsi="Times New Roman" w:eastAsia="宋体" w:cs="Times New Roman"/>
                <w:color w:val="000000"/>
                <w:sz w:val="22"/>
                <w:highlight w:val="none"/>
                <w:lang w:val="en-US" w:eastAsia="zh-CN"/>
              </w:rPr>
            </w:pPr>
            <w:r>
              <w:rPr>
                <w:rFonts w:hint="default" w:ascii="Times New Roman" w:hAnsi="Times New Roman" w:cs="Times New Roman"/>
                <w:color w:val="000000"/>
                <w:sz w:val="22"/>
                <w:highlight w:val="none"/>
                <w:lang w:val="en-US" w:eastAsia="zh-CN"/>
              </w:rPr>
              <w:t>19.54</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hd w:val="clear"/>
              <w:jc w:val="center"/>
              <w:rPr>
                <w:rFonts w:hint="default" w:ascii="Times New Roman" w:hAnsi="Times New Roman" w:cs="Times New Roman"/>
                <w:color w:val="000000"/>
                <w:sz w:val="22"/>
                <w:highlight w:val="none"/>
              </w:rPr>
            </w:pPr>
            <w:r>
              <w:rPr>
                <w:rFonts w:hint="default" w:ascii="Times New Roman" w:hAnsi="Times New Roman" w:cs="Times New Roman"/>
                <w:color w:val="000000"/>
                <w:sz w:val="22"/>
                <w:highlight w:val="none"/>
              </w:rPr>
              <w:t>项目产出</w:t>
            </w:r>
          </w:p>
        </w:tc>
        <w:tc>
          <w:tcPr>
            <w:tcW w:w="2168" w:type="dxa"/>
            <w:tcBorders>
              <w:top w:val="nil"/>
              <w:left w:val="nil"/>
              <w:bottom w:val="single" w:color="auto" w:sz="4" w:space="0"/>
              <w:right w:val="single" w:color="auto" w:sz="4" w:space="0"/>
            </w:tcBorders>
            <w:shd w:val="clear" w:color="auto" w:fill="auto"/>
            <w:vAlign w:val="center"/>
          </w:tcPr>
          <w:p>
            <w:pPr>
              <w:shd w:val="clear"/>
              <w:jc w:val="center"/>
              <w:rPr>
                <w:rFonts w:hint="default" w:ascii="Times New Roman" w:hAnsi="Times New Roman" w:eastAsia="宋体" w:cs="Times New Roman"/>
                <w:color w:val="000000"/>
                <w:sz w:val="22"/>
                <w:highlight w:val="none"/>
                <w:lang w:val="en-US" w:eastAsia="zh-CN"/>
              </w:rPr>
            </w:pPr>
            <w:r>
              <w:rPr>
                <w:rFonts w:hint="default" w:ascii="Times New Roman" w:hAnsi="Times New Roman" w:cs="Times New Roman"/>
                <w:color w:val="000000"/>
                <w:sz w:val="22"/>
                <w:highlight w:val="none"/>
                <w:lang w:val="en-US" w:eastAsia="zh-CN"/>
              </w:rPr>
              <w:t>30</w:t>
            </w:r>
          </w:p>
        </w:tc>
        <w:tc>
          <w:tcPr>
            <w:tcW w:w="2278" w:type="dxa"/>
            <w:tcBorders>
              <w:top w:val="nil"/>
              <w:left w:val="nil"/>
              <w:bottom w:val="single" w:color="auto" w:sz="4" w:space="0"/>
              <w:right w:val="single" w:color="auto" w:sz="4" w:space="0"/>
            </w:tcBorders>
            <w:shd w:val="clear" w:color="auto" w:fill="auto"/>
            <w:vAlign w:val="center"/>
          </w:tcPr>
          <w:p>
            <w:pPr>
              <w:shd w:val="clear"/>
              <w:jc w:val="center"/>
              <w:rPr>
                <w:rFonts w:hint="default" w:ascii="Times New Roman" w:hAnsi="Times New Roman" w:eastAsia="宋体" w:cs="Times New Roman"/>
                <w:color w:val="000000"/>
                <w:sz w:val="22"/>
                <w:highlight w:val="none"/>
                <w:lang w:val="en-US" w:eastAsia="zh-CN"/>
              </w:rPr>
            </w:pPr>
            <w:r>
              <w:rPr>
                <w:rFonts w:hint="default" w:ascii="Times New Roman" w:hAnsi="Times New Roman" w:cs="Times New Roman"/>
                <w:color w:val="000000"/>
                <w:sz w:val="22"/>
                <w:highlight w:val="none"/>
                <w:lang w:val="en-US" w:eastAsia="zh-CN"/>
              </w:rPr>
              <w:t>28.46</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hd w:val="clear"/>
              <w:jc w:val="center"/>
              <w:rPr>
                <w:rFonts w:hint="default" w:ascii="Times New Roman" w:hAnsi="Times New Roman" w:eastAsia="宋体" w:cs="Times New Roman"/>
                <w:color w:val="000000"/>
                <w:sz w:val="22"/>
                <w:highlight w:val="none"/>
                <w:lang w:eastAsia="zh-CN"/>
              </w:rPr>
            </w:pPr>
            <w:r>
              <w:rPr>
                <w:rFonts w:hint="default" w:ascii="Times New Roman" w:hAnsi="Times New Roman" w:cs="Times New Roman"/>
                <w:color w:val="000000"/>
                <w:sz w:val="22"/>
                <w:highlight w:val="none"/>
                <w:lang w:eastAsia="zh-CN"/>
              </w:rPr>
              <w:t>项目成本</w:t>
            </w:r>
          </w:p>
        </w:tc>
        <w:tc>
          <w:tcPr>
            <w:tcW w:w="2168" w:type="dxa"/>
            <w:tcBorders>
              <w:top w:val="nil"/>
              <w:left w:val="nil"/>
              <w:bottom w:val="single" w:color="auto" w:sz="4" w:space="0"/>
              <w:right w:val="single" w:color="auto" w:sz="4" w:space="0"/>
            </w:tcBorders>
            <w:shd w:val="clear" w:color="auto" w:fill="auto"/>
            <w:vAlign w:val="center"/>
          </w:tcPr>
          <w:p>
            <w:pPr>
              <w:shd w:val="clear"/>
              <w:jc w:val="center"/>
              <w:rPr>
                <w:rFonts w:hint="default" w:ascii="Times New Roman" w:hAnsi="Times New Roman" w:cs="Times New Roman"/>
                <w:color w:val="000000"/>
                <w:sz w:val="22"/>
                <w:highlight w:val="none"/>
                <w:lang w:val="en-US" w:eastAsia="zh-CN"/>
              </w:rPr>
            </w:pPr>
            <w:r>
              <w:rPr>
                <w:rFonts w:hint="default" w:ascii="Times New Roman" w:hAnsi="Times New Roman" w:cs="Times New Roman"/>
                <w:color w:val="000000"/>
                <w:sz w:val="22"/>
                <w:highlight w:val="none"/>
                <w:lang w:val="en-US" w:eastAsia="zh-CN"/>
              </w:rPr>
              <w:t>10</w:t>
            </w:r>
          </w:p>
        </w:tc>
        <w:tc>
          <w:tcPr>
            <w:tcW w:w="2278" w:type="dxa"/>
            <w:tcBorders>
              <w:top w:val="nil"/>
              <w:left w:val="nil"/>
              <w:bottom w:val="single" w:color="auto" w:sz="4" w:space="0"/>
              <w:right w:val="single" w:color="auto" w:sz="4" w:space="0"/>
            </w:tcBorders>
            <w:shd w:val="clear" w:color="auto" w:fill="auto"/>
            <w:vAlign w:val="center"/>
          </w:tcPr>
          <w:p>
            <w:pPr>
              <w:shd w:val="clear"/>
              <w:jc w:val="center"/>
              <w:rPr>
                <w:rFonts w:hint="default" w:ascii="Times New Roman" w:hAnsi="Times New Roman" w:cs="Times New Roman"/>
                <w:color w:val="000000"/>
                <w:sz w:val="22"/>
                <w:highlight w:val="none"/>
                <w:lang w:val="en-US" w:eastAsia="zh-CN"/>
              </w:rPr>
            </w:pPr>
            <w:r>
              <w:rPr>
                <w:rFonts w:hint="default" w:ascii="Times New Roman" w:hAnsi="Times New Roman" w:cs="Times New Roman"/>
                <w:color w:val="000000"/>
                <w:sz w:val="22"/>
                <w:highlight w:val="none"/>
                <w:lang w:val="en-US" w:eastAsia="zh-CN"/>
              </w:rPr>
              <w:t>8.84</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hd w:val="clear"/>
              <w:jc w:val="center"/>
              <w:rPr>
                <w:rFonts w:hint="default" w:ascii="Times New Roman" w:hAnsi="Times New Roman" w:cs="Times New Roman"/>
                <w:color w:val="000000"/>
                <w:sz w:val="22"/>
                <w:highlight w:val="none"/>
              </w:rPr>
            </w:pPr>
            <w:r>
              <w:rPr>
                <w:rFonts w:hint="default" w:ascii="Times New Roman" w:hAnsi="Times New Roman" w:cs="Times New Roman"/>
                <w:color w:val="000000"/>
                <w:sz w:val="22"/>
                <w:highlight w:val="none"/>
              </w:rPr>
              <w:t>项目效益</w:t>
            </w:r>
          </w:p>
        </w:tc>
        <w:tc>
          <w:tcPr>
            <w:tcW w:w="2168" w:type="dxa"/>
            <w:tcBorders>
              <w:top w:val="nil"/>
              <w:left w:val="nil"/>
              <w:bottom w:val="single" w:color="auto" w:sz="4" w:space="0"/>
              <w:right w:val="single" w:color="auto" w:sz="4" w:space="0"/>
            </w:tcBorders>
            <w:shd w:val="clear" w:color="auto" w:fill="auto"/>
            <w:vAlign w:val="center"/>
          </w:tcPr>
          <w:p>
            <w:pPr>
              <w:shd w:val="clear"/>
              <w:jc w:val="center"/>
              <w:rPr>
                <w:rFonts w:hint="default" w:ascii="Times New Roman" w:hAnsi="Times New Roman" w:eastAsia="宋体" w:cs="Times New Roman"/>
                <w:color w:val="000000"/>
                <w:sz w:val="22"/>
                <w:highlight w:val="none"/>
                <w:lang w:val="en-US" w:eastAsia="zh-CN"/>
              </w:rPr>
            </w:pPr>
            <w:r>
              <w:rPr>
                <w:rFonts w:hint="default" w:ascii="Times New Roman" w:hAnsi="Times New Roman" w:cs="Times New Roman"/>
                <w:color w:val="000000"/>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shd w:val="clear"/>
              <w:jc w:val="center"/>
              <w:rPr>
                <w:rFonts w:hint="default" w:ascii="Times New Roman" w:hAnsi="Times New Roman" w:eastAsia="宋体" w:cs="Times New Roman"/>
                <w:color w:val="000000"/>
                <w:sz w:val="22"/>
                <w:highlight w:val="none"/>
                <w:lang w:val="en-US" w:eastAsia="zh-CN"/>
              </w:rPr>
            </w:pPr>
            <w:r>
              <w:rPr>
                <w:rFonts w:hint="default" w:ascii="Times New Roman" w:hAnsi="Times New Roman" w:cs="Times New Roman"/>
                <w:color w:val="000000"/>
                <w:sz w:val="22"/>
                <w:highlight w:val="none"/>
                <w:lang w:val="en-US" w:eastAsia="zh-CN"/>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hd w:val="clear"/>
              <w:jc w:val="center"/>
              <w:rPr>
                <w:rFonts w:hint="default" w:ascii="Times New Roman" w:hAnsi="Times New Roman" w:cs="Times New Roman"/>
                <w:b/>
                <w:bCs/>
                <w:color w:val="000000"/>
                <w:sz w:val="22"/>
                <w:highlight w:val="none"/>
              </w:rPr>
            </w:pPr>
            <w:r>
              <w:rPr>
                <w:rFonts w:hint="default" w:ascii="Times New Roman" w:hAnsi="Times New Roman" w:cs="Times New Roman"/>
                <w:b/>
                <w:bCs/>
                <w:color w:val="000000"/>
                <w:sz w:val="22"/>
                <w:highlight w:val="none"/>
              </w:rPr>
              <w:t>合计</w:t>
            </w:r>
          </w:p>
        </w:tc>
        <w:tc>
          <w:tcPr>
            <w:tcW w:w="2168" w:type="dxa"/>
            <w:tcBorders>
              <w:top w:val="nil"/>
              <w:left w:val="nil"/>
              <w:bottom w:val="single" w:color="auto" w:sz="4" w:space="0"/>
              <w:right w:val="single" w:color="auto" w:sz="4" w:space="0"/>
            </w:tcBorders>
            <w:shd w:val="clear" w:color="auto" w:fill="auto"/>
            <w:vAlign w:val="center"/>
          </w:tcPr>
          <w:p>
            <w:pPr>
              <w:shd w:val="clear"/>
              <w:jc w:val="center"/>
              <w:rPr>
                <w:rFonts w:hint="default" w:ascii="Times New Roman" w:hAnsi="Times New Roman" w:eastAsia="宋体" w:cs="Times New Roman"/>
                <w:b/>
                <w:bCs/>
                <w:color w:val="000000"/>
                <w:sz w:val="22"/>
                <w:highlight w:val="none"/>
                <w:lang w:val="en-US" w:eastAsia="zh-CN"/>
              </w:rPr>
            </w:pPr>
            <w:r>
              <w:rPr>
                <w:rFonts w:hint="default" w:ascii="Times New Roman" w:hAnsi="Times New Roman" w:cs="Times New Roman"/>
                <w:b/>
                <w:bCs/>
                <w:color w:val="000000"/>
                <w:sz w:val="22"/>
                <w:highlight w:val="none"/>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shd w:val="clear"/>
              <w:jc w:val="center"/>
              <w:rPr>
                <w:rFonts w:hint="default" w:ascii="Times New Roman" w:hAnsi="Times New Roman" w:eastAsia="宋体" w:cs="Times New Roman"/>
                <w:b/>
                <w:bCs/>
                <w:color w:val="000000"/>
                <w:sz w:val="22"/>
                <w:highlight w:val="none"/>
                <w:lang w:val="en-US" w:eastAsia="zh-CN"/>
              </w:rPr>
            </w:pPr>
            <w:r>
              <w:rPr>
                <w:rFonts w:hint="default" w:ascii="Times New Roman" w:hAnsi="Times New Roman" w:cs="Times New Roman"/>
                <w:b/>
                <w:bCs/>
                <w:color w:val="000000"/>
                <w:sz w:val="22"/>
                <w:highlight w:val="none"/>
                <w:lang w:val="en-US" w:eastAsia="zh-CN"/>
              </w:rPr>
              <w:t>96.84</w:t>
            </w:r>
          </w:p>
        </w:tc>
      </w:tr>
    </w:tbl>
    <w:p>
      <w:pPr>
        <w:shd w:val="clea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四、绩效评价指标分析</w:t>
      </w:r>
    </w:p>
    <w:p>
      <w:pPr>
        <w:pStyle w:val="9"/>
        <w:shd w:val="clear"/>
        <w:spacing w:before="0" w:after="0" w:line="560" w:lineRule="exact"/>
        <w:ind w:firstLine="643" w:firstLineChars="200"/>
        <w:jc w:val="both"/>
        <w:rPr>
          <w:rFonts w:hint="default" w:ascii="Times New Roman" w:hAnsi="Times New Roman" w:eastAsia="楷体_GB2312" w:cs="Times New Roman"/>
          <w:highlight w:val="none"/>
        </w:rPr>
      </w:pPr>
      <w:r>
        <w:rPr>
          <w:rFonts w:hint="default" w:ascii="Times New Roman" w:hAnsi="Times New Roman" w:eastAsia="楷体_GB2312" w:cs="Times New Roman"/>
          <w:highlight w:val="none"/>
        </w:rPr>
        <w:t>（一）项目决策情况</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项目决策类指标包括项目立项、绩效目标和资金投入三方面的内容，由6个三级指标构成，权重分值为20分，实际得分20分，得分率为100%。</w:t>
      </w:r>
    </w:p>
    <w:p>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1.项目立项</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（1）立项依据充分性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（2）立项程序规范性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项目申请、设立过程符合相关要求，</w:t>
      </w:r>
      <w:r>
        <w:rPr>
          <w:rFonts w:hint="default" w:ascii="Times New Roman" w:hAnsi="Times New Roman" w:eastAsia="仿宋_GB2312" w:cs="Times New Roman"/>
          <w:sz w:val="32"/>
          <w:szCs w:val="32"/>
          <w:highlight w:val="none"/>
          <w:lang w:eastAsia="zh-Hans"/>
        </w:rPr>
        <w:t>严格按照审批流程准备符合要求的文件、材料；</w:t>
      </w:r>
      <w:r>
        <w:rPr>
          <w:rFonts w:hint="default" w:ascii="Times New Roman" w:hAnsi="Times New Roman" w:eastAsia="仿宋_GB2312" w:cs="Times New Roman"/>
          <w:sz w:val="32"/>
          <w:szCs w:val="32"/>
          <w:highlight w:val="none"/>
          <w:lang w:val="en-US" w:eastAsia="zh-CN"/>
        </w:rPr>
        <w:t>根据决算依据编制工作计划和经费预算，经过与部门项目分管领导沟通、筛选确定经费预算计划，确定最终预算方案。项目的审批文件、材料符合相关要求，项目事前经过必要的可行性研究、绩效评估、集体决策，保障了程序的规范性。</w:t>
      </w:r>
    </w:p>
    <w:p>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2.绩效目标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（1）绩效目标合理性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Hans"/>
        </w:rPr>
        <w:t>年初结合实际工作内容</w:t>
      </w:r>
      <w:r>
        <w:rPr>
          <w:rFonts w:hint="default" w:ascii="Times New Roman" w:hAnsi="Times New Roman" w:eastAsia="仿宋_GB2312" w:cs="Times New Roman"/>
          <w:sz w:val="32"/>
          <w:szCs w:val="32"/>
          <w:highlight w:val="none"/>
          <w:lang w:val="en-US" w:eastAsia="zh-CN"/>
        </w:rPr>
        <w:t>设定绩效目标</w:t>
      </w:r>
      <w:r>
        <w:rPr>
          <w:rFonts w:hint="default" w:ascii="Times New Roman" w:hAnsi="Times New Roman" w:eastAsia="仿宋_GB2312" w:cs="Times New Roman"/>
          <w:sz w:val="32"/>
          <w:szCs w:val="32"/>
          <w:highlight w:val="none"/>
          <w:lang w:val="en-US" w:eastAsia="zh-Hans"/>
        </w:rPr>
        <w:t>，绩效目标</w:t>
      </w:r>
      <w:r>
        <w:rPr>
          <w:rFonts w:hint="default" w:ascii="Times New Roman" w:hAnsi="Times New Roman" w:eastAsia="仿宋_GB2312" w:cs="Times New Roman"/>
          <w:sz w:val="32"/>
          <w:szCs w:val="32"/>
          <w:highlight w:val="none"/>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（2）绩效指标明确性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项目设置了明确的预期产出效益和效果，将绩效目标细化分解为具体的绩效指标，绩效目标与项目目标任务数相对应，绩效目标设定的绩效指标清晰、细化、可衡量。</w:t>
      </w:r>
    </w:p>
    <w:p>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3.资金投入</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（1）预算编制科学性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预算编制经过科学论证，提供充分的测算依据佐证资料，预算内容与项目内容相匹配。项目投资额与工作任务相匹配。</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资金分配额度与项目单位实际工作内容相适应，资金分配额度合理，资金分配依据充分。</w:t>
      </w:r>
    </w:p>
    <w:p>
      <w:pPr>
        <w:pStyle w:val="9"/>
        <w:numPr>
          <w:ilvl w:val="0"/>
          <w:numId w:val="5"/>
        </w:numPr>
        <w:shd w:val="clear"/>
        <w:spacing w:before="0" w:after="0" w:line="560" w:lineRule="exact"/>
        <w:ind w:left="-13" w:leftChars="0" w:firstLine="643" w:firstLineChars="0"/>
        <w:jc w:val="both"/>
        <w:rPr>
          <w:rFonts w:hint="default" w:ascii="Times New Roman" w:hAnsi="Times New Roman" w:eastAsia="楷体" w:cs="Times New Roman"/>
          <w:highlight w:val="none"/>
        </w:rPr>
      </w:pPr>
      <w:r>
        <w:rPr>
          <w:rFonts w:hint="default" w:ascii="Times New Roman" w:hAnsi="Times New Roman" w:eastAsia="楷体" w:cs="Times New Roman"/>
          <w:highlight w:val="none"/>
        </w:rPr>
        <w:t>项目过程情况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项目过程类指标包括资金管理和组织实施两方面的内容，由5个三级指标构成，权重分值为20分，实际得分19.54分，得分率为97.68%。</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（1）资金到位率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本项目总投资839万元，财政资金及时足额到位，到位率100%，预算资金按计划进度执行。</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（2）预算执行率</w:t>
      </w:r>
    </w:p>
    <w:p>
      <w:pPr>
        <w:keepNext w:val="0"/>
        <w:keepLines w:val="0"/>
        <w:pageBreakBefore w:val="0"/>
        <w:widowControl w:val="0"/>
        <w:shd w:val="clear"/>
        <w:kinsoku/>
        <w:wordWrap/>
        <w:overflowPunct/>
        <w:topLinePunct w:val="0"/>
        <w:autoSpaceDE/>
        <w:autoSpaceDN/>
        <w:bidi w:val="0"/>
        <w:adjustRightInd/>
        <w:snapToGrid/>
        <w:spacing w:line="60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预算编制较为详细，项目资金支出总体能够按照预算执行，预算资金支出741.88万元，预算执行率为88.42%；偏差原因：该项目中哈密市外国语学校美术、书法教学器材音乐教学器材、科创教室仪器设备采购分项由于中标单位违约，无法按中标书中的设备名称、规格完成供货，导致项目没有按时完成验收，导致设备采购资金结余；另外该项目采用公开招标方式，原计划项目完成后项目资金有结余；改进措施：加强项目管理，特别是招投标过程管理，确保中标商能够履行中标协议；2024年项目结余资金继续用于设备采购及维修等项目。</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（3）资金使用合规性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（2）制度执行有效性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对资金使用的合法合规性进行监督，年末对资金使用效果进行评价。项目管理、实施人员落实到位，有效按照计划执行。项目执行情况等资料齐全，项目相关手续完备，及时进行归档。</w:t>
      </w:r>
    </w:p>
    <w:p>
      <w:pPr>
        <w:pStyle w:val="11"/>
        <w:numPr>
          <w:ilvl w:val="0"/>
          <w:numId w:val="5"/>
        </w:numPr>
        <w:shd w:val="clear"/>
        <w:spacing w:line="560" w:lineRule="exact"/>
        <w:ind w:left="-13" w:leftChars="0" w:firstLine="643" w:firstLineChars="0"/>
        <w:rPr>
          <w:rFonts w:hint="default" w:ascii="Times New Roman" w:hAnsi="Times New Roman" w:eastAsia="楷体" w:cs="Times New Roman"/>
          <w:b/>
          <w:bCs/>
          <w:sz w:val="32"/>
          <w:szCs w:val="32"/>
          <w:highlight w:val="none"/>
        </w:rPr>
      </w:pPr>
      <w:r>
        <w:rPr>
          <w:rFonts w:hint="default" w:ascii="Times New Roman" w:hAnsi="Times New Roman" w:eastAsia="楷体" w:cs="Times New Roman"/>
          <w:b/>
          <w:bCs/>
          <w:sz w:val="32"/>
          <w:szCs w:val="32"/>
          <w:highlight w:val="none"/>
        </w:rPr>
        <w:t>项目产出</w:t>
      </w:r>
      <w:r>
        <w:rPr>
          <w:rFonts w:hint="default" w:ascii="Times New Roman" w:hAnsi="Times New Roman" w:eastAsia="楷体" w:cs="Times New Roman"/>
          <w:b/>
          <w:bCs/>
          <w:sz w:val="32"/>
          <w:szCs w:val="32"/>
          <w:highlight w:val="none"/>
          <w:lang w:val="en-US" w:eastAsia="zh-CN"/>
        </w:rPr>
        <w:t>情况</w:t>
      </w:r>
    </w:p>
    <w:p>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项目产出类指标包括产出数量、产出质量、产出时效、产出成本四方面的内容，由3个三级指标构成，权重分为30分，得分为28.46分，得分率为 95.79%。具体产出指标完成情况如下：</w:t>
      </w:r>
    </w:p>
    <w:p>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fldChar w:fldCharType="begin"/>
      </w:r>
      <w:r>
        <w:rPr>
          <w:rFonts w:hint="default" w:ascii="Times New Roman" w:hAnsi="Times New Roman" w:eastAsia="仿宋_GB2312" w:cs="Times New Roman"/>
          <w:kern w:val="2"/>
          <w:sz w:val="32"/>
          <w:szCs w:val="32"/>
          <w:highlight w:val="none"/>
          <w:lang w:val="en-US" w:eastAsia="zh-CN" w:bidi="ar-SA"/>
        </w:rPr>
        <w:instrText xml:space="preserve"> = 1 \* GB3 </w:instrText>
      </w:r>
      <w:r>
        <w:rPr>
          <w:rFonts w:hint="default" w:ascii="Times New Roman" w:hAnsi="Times New Roman" w:eastAsia="仿宋_GB2312" w:cs="Times New Roman"/>
          <w:kern w:val="2"/>
          <w:sz w:val="32"/>
          <w:szCs w:val="32"/>
          <w:highlight w:val="none"/>
          <w:lang w:val="en-US" w:eastAsia="zh-CN" w:bidi="ar-SA"/>
        </w:rPr>
        <w:fldChar w:fldCharType="separate"/>
      </w:r>
      <w:r>
        <w:rPr>
          <w:rFonts w:hint="default" w:ascii="Times New Roman" w:hAnsi="Times New Roman" w:eastAsia="仿宋_GB2312" w:cs="Times New Roman"/>
          <w:kern w:val="2"/>
          <w:sz w:val="32"/>
          <w:szCs w:val="32"/>
          <w:highlight w:val="none"/>
          <w:lang w:val="en-US" w:eastAsia="zh-CN" w:bidi="ar-SA"/>
        </w:rPr>
        <w:t>①</w:t>
      </w:r>
      <w:r>
        <w:rPr>
          <w:rFonts w:hint="default" w:ascii="Times New Roman" w:hAnsi="Times New Roman" w:eastAsia="仿宋_GB2312" w:cs="Times New Roman"/>
          <w:kern w:val="2"/>
          <w:sz w:val="32"/>
          <w:szCs w:val="32"/>
          <w:highlight w:val="none"/>
          <w:lang w:val="en-US" w:eastAsia="zh-CN" w:bidi="ar-SA"/>
        </w:rPr>
        <w:fldChar w:fldCharType="end"/>
      </w:r>
      <w:r>
        <w:rPr>
          <w:rFonts w:hint="default" w:ascii="Times New Roman" w:hAnsi="Times New Roman" w:eastAsia="仿宋_GB2312" w:cs="Times New Roman"/>
          <w:kern w:val="2"/>
          <w:sz w:val="32"/>
          <w:szCs w:val="32"/>
          <w:highlight w:val="none"/>
          <w:lang w:val="en-US" w:eastAsia="zh-CN" w:bidi="ar-SA"/>
        </w:rPr>
        <w:t>数量指标：</w:t>
      </w:r>
    </w:p>
    <w:p>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指标1：项目惠及学校数，指标值：3所，实际完成值：3所，完成率100%；</w:t>
      </w:r>
    </w:p>
    <w:p>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指标2：受益学生数，指标值：2848人，实际完成值：2863人，完成率，完成率100.53%；</w:t>
      </w:r>
    </w:p>
    <w:p>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指标3：设备购置数量，指标值：1549台（套、件、批），实际完成值：1564台（套、件、批），完成率100.97%；</w:t>
      </w:r>
    </w:p>
    <w:p>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指标4：基础设施改造数量，指标值：4项，实际完成值：4项，完成率100%；</w:t>
      </w:r>
    </w:p>
    <w:p>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fldChar w:fldCharType="begin"/>
      </w:r>
      <w:r>
        <w:rPr>
          <w:rFonts w:hint="default" w:ascii="Times New Roman" w:hAnsi="Times New Roman" w:eastAsia="仿宋_GB2312" w:cs="Times New Roman"/>
          <w:kern w:val="2"/>
          <w:sz w:val="32"/>
          <w:szCs w:val="32"/>
          <w:highlight w:val="none"/>
          <w:lang w:val="en-US" w:eastAsia="zh-CN" w:bidi="ar-SA"/>
        </w:rPr>
        <w:instrText xml:space="preserve"> = 2 \* GB3 </w:instrText>
      </w:r>
      <w:r>
        <w:rPr>
          <w:rFonts w:hint="default" w:ascii="Times New Roman" w:hAnsi="Times New Roman" w:eastAsia="仿宋_GB2312" w:cs="Times New Roman"/>
          <w:kern w:val="2"/>
          <w:sz w:val="32"/>
          <w:szCs w:val="32"/>
          <w:highlight w:val="none"/>
          <w:lang w:val="en-US" w:eastAsia="zh-CN" w:bidi="ar-SA"/>
        </w:rPr>
        <w:fldChar w:fldCharType="separate"/>
      </w:r>
      <w:r>
        <w:rPr>
          <w:rFonts w:hint="default" w:ascii="Times New Roman" w:hAnsi="Times New Roman" w:eastAsia="仿宋_GB2312" w:cs="Times New Roman"/>
          <w:kern w:val="2"/>
          <w:sz w:val="32"/>
          <w:szCs w:val="32"/>
          <w:highlight w:val="none"/>
          <w:lang w:val="en-US" w:eastAsia="zh-CN" w:bidi="ar-SA"/>
        </w:rPr>
        <w:t>②</w:t>
      </w:r>
      <w:r>
        <w:rPr>
          <w:rFonts w:hint="default" w:ascii="Times New Roman" w:hAnsi="Times New Roman" w:eastAsia="仿宋_GB2312" w:cs="Times New Roman"/>
          <w:kern w:val="2"/>
          <w:sz w:val="32"/>
          <w:szCs w:val="32"/>
          <w:highlight w:val="none"/>
          <w:lang w:val="en-US" w:eastAsia="zh-CN" w:bidi="ar-SA"/>
        </w:rPr>
        <w:fldChar w:fldCharType="end"/>
      </w:r>
      <w:r>
        <w:rPr>
          <w:rFonts w:hint="default" w:ascii="Times New Roman" w:hAnsi="Times New Roman" w:eastAsia="仿宋_GB2312" w:cs="Times New Roman"/>
          <w:kern w:val="2"/>
          <w:sz w:val="32"/>
          <w:szCs w:val="32"/>
          <w:highlight w:val="none"/>
          <w:lang w:val="en-US" w:eastAsia="zh-CN" w:bidi="ar-SA"/>
        </w:rPr>
        <w:t>质量指标：</w:t>
      </w:r>
    </w:p>
    <w:p>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指标1：设备采购验收合格率，目标值：100%，实际完成值：100%，完成率100%；</w:t>
      </w:r>
    </w:p>
    <w:p>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指标2：基础设施改造及时率，目标值：100%，实际完成值：100%，完成率100%；</w:t>
      </w:r>
    </w:p>
    <w:p>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fldChar w:fldCharType="begin"/>
      </w:r>
      <w:r>
        <w:rPr>
          <w:rFonts w:hint="default" w:ascii="Times New Roman" w:hAnsi="Times New Roman" w:eastAsia="仿宋_GB2312" w:cs="Times New Roman"/>
          <w:kern w:val="2"/>
          <w:sz w:val="32"/>
          <w:szCs w:val="32"/>
          <w:highlight w:val="none"/>
          <w:lang w:val="en-US" w:eastAsia="zh-CN" w:bidi="ar-SA"/>
        </w:rPr>
        <w:instrText xml:space="preserve"> = 3 \* GB3 </w:instrText>
      </w:r>
      <w:r>
        <w:rPr>
          <w:rFonts w:hint="default" w:ascii="Times New Roman" w:hAnsi="Times New Roman" w:eastAsia="仿宋_GB2312" w:cs="Times New Roman"/>
          <w:kern w:val="2"/>
          <w:sz w:val="32"/>
          <w:szCs w:val="32"/>
          <w:highlight w:val="none"/>
          <w:lang w:val="en-US" w:eastAsia="zh-CN" w:bidi="ar-SA"/>
        </w:rPr>
        <w:fldChar w:fldCharType="separate"/>
      </w:r>
      <w:r>
        <w:rPr>
          <w:rFonts w:hint="default" w:ascii="Times New Roman" w:hAnsi="Times New Roman" w:eastAsia="仿宋_GB2312" w:cs="Times New Roman"/>
          <w:kern w:val="2"/>
          <w:sz w:val="32"/>
          <w:szCs w:val="32"/>
          <w:highlight w:val="none"/>
          <w:lang w:val="en-US" w:eastAsia="zh-CN" w:bidi="ar-SA"/>
        </w:rPr>
        <w:t>③</w:t>
      </w:r>
      <w:r>
        <w:rPr>
          <w:rFonts w:hint="default" w:ascii="Times New Roman" w:hAnsi="Times New Roman" w:eastAsia="仿宋_GB2312" w:cs="Times New Roman"/>
          <w:kern w:val="2"/>
          <w:sz w:val="32"/>
          <w:szCs w:val="32"/>
          <w:highlight w:val="none"/>
          <w:lang w:val="en-US" w:eastAsia="zh-CN" w:bidi="ar-SA"/>
        </w:rPr>
        <w:fldChar w:fldCharType="end"/>
      </w:r>
      <w:r>
        <w:rPr>
          <w:rFonts w:hint="default" w:ascii="Times New Roman" w:hAnsi="Times New Roman" w:eastAsia="仿宋_GB2312" w:cs="Times New Roman"/>
          <w:kern w:val="2"/>
          <w:sz w:val="32"/>
          <w:szCs w:val="32"/>
          <w:highlight w:val="none"/>
          <w:lang w:val="en-US" w:eastAsia="zh-CN" w:bidi="ar-SA"/>
        </w:rPr>
        <w:t>时效指标：</w:t>
      </w:r>
    </w:p>
    <w:p>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指标1：设备采购完成及时率，目标值：98%，实际完成值：83.16%，完成率84.86%；偏差原因：该项目中哈密市外国语学校美术、书法教学器材音乐教学器材、科创教室仪器设备采购分项由于中标单位违约，无法按中标书中的设备名称、规格完成供货，导致项目没有按时完成验收，导致设备采购资金结余；另外该项目采用公开招标方式，原计划项目完成后项目资金有结余；改进措施：加强项目管理，特别是招投标过程管理，确保中标商能够履行中标协议；项目结余资金继续用于2024年设备采购及维修等项目。</w:t>
      </w:r>
    </w:p>
    <w:p>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指标2：基础设施改造及时率，目标值：100%，实际完成值：100%，完成率100%；</w:t>
      </w:r>
    </w:p>
    <w:p>
      <w:pPr>
        <w:pStyle w:val="2"/>
        <w:numPr>
          <w:ilvl w:val="0"/>
          <w:numId w:val="6"/>
        </w:numPr>
        <w:shd w:val="clear"/>
        <w:ind w:firstLine="643" w:firstLineChars="200"/>
        <w:rPr>
          <w:rFonts w:hint="default" w:ascii="Times New Roman" w:hAnsi="Times New Roman" w:eastAsia="楷体" w:cs="Times New Roman"/>
          <w:b/>
          <w:bCs/>
          <w:kern w:val="2"/>
          <w:sz w:val="32"/>
          <w:szCs w:val="32"/>
          <w:highlight w:val="none"/>
          <w:lang w:val="en-US" w:eastAsia="zh-CN" w:bidi="ar-SA"/>
        </w:rPr>
      </w:pPr>
      <w:r>
        <w:rPr>
          <w:rFonts w:hint="default" w:ascii="Times New Roman" w:hAnsi="Times New Roman" w:eastAsia="楷体" w:cs="Times New Roman"/>
          <w:b/>
          <w:bCs/>
          <w:kern w:val="2"/>
          <w:sz w:val="32"/>
          <w:szCs w:val="32"/>
          <w:highlight w:val="none"/>
          <w:lang w:val="en-US" w:eastAsia="zh-CN" w:bidi="ar-SA"/>
        </w:rPr>
        <w:t>项目成本情况</w:t>
      </w:r>
    </w:p>
    <w:p>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项目成本类指标由1个三级指标构成，权重分为10分，得分为8.46分，得分率88.4%。具体产出指标完成情况如下：</w:t>
      </w:r>
    </w:p>
    <w:p>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指标1：设备采购资金，目标值：575万元，实际完成值：476.88万元，完成率82.94%；偏差原因：该项目中哈密市外国语学校美术、书法教学器材音乐教学器材、科创教室仪器设备采购分项由于中标单位违约，无法按中标书中的设备名称、规格完成供货，导致项目没有按时完成验收，导致设备采购资金结余；另外该项目采用公开招标方式，原计划项目完成后项目资金有结余；改进措施：加强项目管理，特别是招投标过程管理，确保中标商能够履行中标协议；项目结余资金继续用于2024年设备采购及维修等项目。</w:t>
      </w:r>
    </w:p>
    <w:p>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指标2：基础设施改造资金，目标值：264万元，实际完成值：265万元，完成率100.38%；</w:t>
      </w:r>
    </w:p>
    <w:p>
      <w:pPr>
        <w:pStyle w:val="11"/>
        <w:numPr>
          <w:ilvl w:val="0"/>
          <w:numId w:val="0"/>
        </w:numPr>
        <w:shd w:val="clear"/>
        <w:spacing w:line="560" w:lineRule="exact"/>
        <w:ind w:left="630" w:leftChars="0"/>
        <w:rPr>
          <w:rFonts w:hint="default" w:ascii="Times New Roman" w:hAnsi="Times New Roman" w:eastAsia="楷体" w:cs="Times New Roman"/>
          <w:b/>
          <w:bCs/>
          <w:sz w:val="32"/>
          <w:szCs w:val="32"/>
          <w:highlight w:val="none"/>
          <w:lang w:val="en-US" w:eastAsia="zh-CN"/>
        </w:rPr>
      </w:pPr>
      <w:r>
        <w:rPr>
          <w:rFonts w:hint="default" w:ascii="Times New Roman" w:hAnsi="Times New Roman" w:eastAsia="楷体" w:cs="Times New Roman"/>
          <w:b/>
          <w:bCs/>
          <w:sz w:val="32"/>
          <w:szCs w:val="32"/>
          <w:highlight w:val="none"/>
          <w:lang w:val="en-US" w:eastAsia="zh-CN"/>
        </w:rPr>
        <w:t>（五）项目效益情况</w:t>
      </w:r>
    </w:p>
    <w:p>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项目效益类指标由2个三级指标构成，权重分为20分，实际得分20分，得分率为100%。具体效益指标及满意度指标完成情况如下：</w:t>
      </w:r>
    </w:p>
    <w:p>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1.实施效益</w:t>
      </w:r>
    </w:p>
    <w:p>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①经济效益指标：公益性项目不设置经济效益指标</w:t>
      </w:r>
    </w:p>
    <w:p>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②社会效益指标：学校办学条件，目标值：明显改善，实际完成值：效果明显，完成率100%；</w:t>
      </w:r>
    </w:p>
    <w:p>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③生态效益指标：学校改善办学条件类公益性项目不设置生态效益指标</w:t>
      </w:r>
    </w:p>
    <w:p>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2.满意度</w:t>
      </w:r>
    </w:p>
    <w:p>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项目满意度指标设置一个指标项目学校满意率，具体情况如下：</w:t>
      </w:r>
    </w:p>
    <w:p>
      <w:pPr>
        <w:keepNext w:val="0"/>
        <w:keepLines w:val="0"/>
        <w:pageBreakBefore w:val="0"/>
        <w:widowControl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满意度指标：学校满意率，目标值：95%，实际完成值：98.85%，完成率104.05%；</w:t>
      </w:r>
    </w:p>
    <w:p>
      <w:pPr>
        <w:shd w:val="clear"/>
        <w:spacing w:line="560" w:lineRule="exact"/>
        <w:ind w:firstLine="640" w:firstLineChars="200"/>
        <w:rPr>
          <w:rStyle w:val="17"/>
          <w:rFonts w:hint="default" w:ascii="Times New Roman" w:hAnsi="Times New Roman" w:cs="Times New Roman"/>
          <w:color w:val="auto"/>
          <w:highlight w:val="none"/>
        </w:rPr>
      </w:pPr>
      <w:r>
        <w:rPr>
          <w:rFonts w:hint="default" w:ascii="Times New Roman" w:hAnsi="Times New Roman" w:eastAsia="黑体" w:cs="Times New Roman"/>
          <w:sz w:val="32"/>
          <w:szCs w:val="32"/>
          <w:highlight w:val="none"/>
          <w:lang w:eastAsia="zh-CN"/>
        </w:rPr>
        <w:t>五</w:t>
      </w:r>
      <w:r>
        <w:rPr>
          <w:rFonts w:hint="default" w:ascii="Times New Roman" w:hAnsi="Times New Roman" w:eastAsia="黑体" w:cs="Times New Roman"/>
          <w:sz w:val="32"/>
          <w:szCs w:val="32"/>
          <w:highlight w:val="none"/>
        </w:rPr>
        <w:t>、主要经验及做法、存在的问题及原因分析</w:t>
      </w:r>
    </w:p>
    <w:p>
      <w:pPr>
        <w:shd w:val="clear"/>
        <w:spacing w:line="560" w:lineRule="exact"/>
        <w:ind w:firstLine="627" w:firstLineChars="200"/>
        <w:rPr>
          <w:rFonts w:hint="default" w:ascii="Times New Roman" w:hAnsi="Times New Roman" w:eastAsia="楷体" w:cs="Times New Roman"/>
          <w:b/>
          <w:spacing w:val="-4"/>
          <w:sz w:val="32"/>
          <w:szCs w:val="32"/>
          <w:highlight w:val="none"/>
        </w:rPr>
      </w:pPr>
      <w:r>
        <w:rPr>
          <w:rFonts w:hint="default" w:ascii="Times New Roman" w:hAnsi="Times New Roman" w:eastAsia="楷体" w:cs="Times New Roman"/>
          <w:b/>
          <w:spacing w:val="-4"/>
          <w:sz w:val="32"/>
          <w:szCs w:val="32"/>
          <w:highlight w:val="none"/>
        </w:rPr>
        <w:t>（一）主要经验及做法</w:t>
      </w:r>
    </w:p>
    <w:p>
      <w:pPr>
        <w:pStyle w:val="2"/>
        <w:keepNext w:val="0"/>
        <w:keepLines w:val="0"/>
        <w:pageBreakBefore w:val="0"/>
        <w:widowControl w:val="0"/>
        <w:shd w:val="clear"/>
        <w:kinsoku/>
        <w:wordWrap/>
        <w:overflowPunct/>
        <w:topLinePunct w:val="0"/>
        <w:autoSpaceDE/>
        <w:autoSpaceDN/>
        <w:bidi w:val="0"/>
        <w:adjustRightInd/>
        <w:snapToGrid/>
        <w:spacing w:line="560" w:lineRule="exact"/>
        <w:ind w:left="0" w:leftChars="0" w:firstLine="720" w:firstLineChars="225"/>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（1）项目立项依据充分、立项程序规范</w:t>
      </w:r>
    </w:p>
    <w:p>
      <w:pPr>
        <w:pStyle w:val="2"/>
        <w:keepNext w:val="0"/>
        <w:keepLines w:val="0"/>
        <w:pageBreakBefore w:val="0"/>
        <w:widowControl w:val="0"/>
        <w:shd w:val="clear"/>
        <w:kinsoku/>
        <w:wordWrap/>
        <w:overflowPunct/>
        <w:topLinePunct w:val="0"/>
        <w:autoSpaceDE/>
        <w:autoSpaceDN/>
        <w:bidi w:val="0"/>
        <w:adjustRightInd/>
        <w:snapToGrid/>
        <w:spacing w:line="560" w:lineRule="exact"/>
        <w:ind w:left="0" w:leftChars="0" w:firstLine="720" w:firstLineChars="225"/>
        <w:textAlignment w:val="auto"/>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哈密市教育局石油教育分局实施的哈密市第十四中学暖气管网改造；哈密市第六小学排污、水、暖气管网改造、安装保温墙；哈密市第十四中学、哈密市外国语学校、哈密市第六小学篮球架等体育器材采购；哈密市第十四中学、哈密市外国语学校教学用计算机电子白板（电子屏）微机室电脑校园朗读-录音亭采购安装、哈密市十四中学、第六小学触摸一体机采购；哈密市第十四中学、哈密市外国语学校劳技教育器材理化生科学教学实验器材采购；哈密市外国语学校美术、书法教学器材音乐教学器材、科创教室仪器设备采购；哈密市第十四中学风雨操场地面维修改造；哈密市第十四中学校园电台校园广播系统校园监控等安防设备实验楼网络布线及网络终端采购安装；哈密市第六小学、哈密市第十四中学鼓号队设备采购；哈密市第六小学课桌椅采购；哈密市第十四中学校书柜、图书室阅览书柜、图书室阅览书架标本展示柜采购；哈密市第十四中学校实验楼学生饮水机采购；哈密市外国语学校天井改建“科普+劳动”园地建设；哈密市第六小学科创实践中心设备采购及维修改造；外国语学校教学楼路道修缮；哈密市外国语学校地面硬化；哈密市第六小学监控设备维修；哈密市第六小学打印机等设备采购；十四中学劳动技术教育室维修改造；哈密市六小空调电路改造；哈密市第十四中学校园监控系统硬盘录像机采购;哈密市第六小学、哈密市外国语学校、哈密市第十四中学项目工程造价咨询费、工程可研报告编制费、工程监理费、工程设计费等项目依据国家、自治区相关政策立项，采购维修改造项目按照程序办理施工手续，所有项目均通过招投标流程确定施工方或采购方，项目按照自治区工程建设及设施设备采购规定程序规范组织实施。</w:t>
      </w:r>
    </w:p>
    <w:p>
      <w:pPr>
        <w:pStyle w:val="2"/>
        <w:keepNext w:val="0"/>
        <w:keepLines w:val="0"/>
        <w:pageBreakBefore w:val="0"/>
        <w:widowControl w:val="0"/>
        <w:shd w:val="clear"/>
        <w:kinsoku/>
        <w:wordWrap/>
        <w:overflowPunct/>
        <w:topLinePunct w:val="0"/>
        <w:autoSpaceDE/>
        <w:autoSpaceDN/>
        <w:bidi w:val="0"/>
        <w:adjustRightInd/>
        <w:snapToGrid/>
        <w:spacing w:line="560" w:lineRule="exact"/>
        <w:ind w:left="0" w:leftChars="0" w:firstLine="720" w:firstLineChars="225"/>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（2）具体项目绩效目标合理、指标明确</w:t>
      </w:r>
    </w:p>
    <w:p>
      <w:pPr>
        <w:pStyle w:val="2"/>
        <w:keepNext w:val="0"/>
        <w:keepLines w:val="0"/>
        <w:pageBreakBefore w:val="0"/>
        <w:widowControl w:val="0"/>
        <w:shd w:val="clear"/>
        <w:kinsoku/>
        <w:wordWrap/>
        <w:overflowPunct/>
        <w:topLinePunct w:val="0"/>
        <w:autoSpaceDE/>
        <w:autoSpaceDN/>
        <w:bidi w:val="0"/>
        <w:adjustRightInd/>
        <w:snapToGrid/>
        <w:spacing w:line="560" w:lineRule="exact"/>
        <w:ind w:left="0" w:leftChars="0" w:firstLine="720" w:firstLineChars="225"/>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哈密市教育局石油教育分局实施的2023年薄改资金涉及的项目按要求组织编制了初步设计、采购方案编制并上报了主管部门，项目初步设计、采购方案详细说明了拟实施采购内容，绩效目标合理。投资的项目、投资额，建设内容都予以量化分解。</w:t>
      </w:r>
    </w:p>
    <w:p>
      <w:pPr>
        <w:pStyle w:val="2"/>
        <w:keepNext w:val="0"/>
        <w:keepLines w:val="0"/>
        <w:pageBreakBefore w:val="0"/>
        <w:widowControl w:val="0"/>
        <w:shd w:val="clear"/>
        <w:kinsoku/>
        <w:wordWrap/>
        <w:overflowPunct/>
        <w:topLinePunct w:val="0"/>
        <w:autoSpaceDE/>
        <w:autoSpaceDN/>
        <w:bidi w:val="0"/>
        <w:adjustRightInd/>
        <w:snapToGrid/>
        <w:spacing w:line="560" w:lineRule="exact"/>
        <w:ind w:left="0" w:leftChars="0" w:firstLine="720" w:firstLineChars="225"/>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（3）资金到位及时，资金使用合规</w:t>
      </w:r>
    </w:p>
    <w:p>
      <w:pPr>
        <w:pStyle w:val="2"/>
        <w:keepNext w:val="0"/>
        <w:keepLines w:val="0"/>
        <w:pageBreakBefore w:val="0"/>
        <w:widowControl w:val="0"/>
        <w:shd w:val="clear"/>
        <w:kinsoku/>
        <w:wordWrap/>
        <w:overflowPunct/>
        <w:topLinePunct w:val="0"/>
        <w:autoSpaceDE/>
        <w:autoSpaceDN/>
        <w:bidi w:val="0"/>
        <w:adjustRightInd/>
        <w:snapToGrid/>
        <w:spacing w:line="560" w:lineRule="exact"/>
        <w:ind w:left="0" w:leftChars="0" w:firstLine="720" w:firstLineChars="225"/>
        <w:textAlignment w:val="auto"/>
        <w:rPr>
          <w:rFonts w:hint="default" w:ascii="Times New Roman" w:hAnsi="Times New Roman" w:eastAsia="仿宋_GB2312" w:cs="Times New Roman"/>
          <w:sz w:val="30"/>
          <w:szCs w:val="24"/>
          <w:highlight w:val="none"/>
          <w:lang w:val="en-US" w:eastAsia="zh-CN"/>
        </w:rPr>
      </w:pPr>
      <w:r>
        <w:rPr>
          <w:rFonts w:hint="default" w:ascii="Times New Roman" w:hAnsi="Times New Roman" w:eastAsia="仿宋_GB2312" w:cs="Times New Roman"/>
          <w:sz w:val="32"/>
          <w:szCs w:val="32"/>
          <w:highlight w:val="none"/>
          <w:lang w:val="en-US" w:eastAsia="zh-CN"/>
        </w:rPr>
        <w:t>2023年薄改资金预算金额839万元，实际到位资金839万元，预算资金到位及时。资金全部用于支付项目设计款、监理费、咨询服务费、设备采购款等，哈密市教育局石油教育分局严格按照程序办理了资金支付审批手续，资金使用合规。严格坚持先做事、后验收、再拨付的原则，杜绝了资金被挤占和挪用现象的发生，跟踪检查到位。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7"/>
        </w:numPr>
        <w:shd w:val="clear"/>
        <w:spacing w:line="560" w:lineRule="exact"/>
        <w:ind w:left="-13" w:leftChars="0" w:firstLine="643" w:firstLineChars="0"/>
        <w:rPr>
          <w:rFonts w:hint="default" w:ascii="Times New Roman" w:hAnsi="Times New Roman" w:eastAsia="仿宋_GB2312" w:cs="Times New Roman"/>
          <w:sz w:val="32"/>
          <w:szCs w:val="32"/>
          <w:highlight w:val="none"/>
          <w:lang w:val="en-US" w:eastAsia="zh-CN"/>
        </w:rPr>
      </w:pPr>
      <w:r>
        <w:rPr>
          <w:rFonts w:hint="default" w:ascii="Times New Roman" w:hAnsi="Times New Roman" w:eastAsia="楷体_GB2312" w:cs="Times New Roman"/>
          <w:b/>
          <w:bCs/>
          <w:sz w:val="32"/>
          <w:szCs w:val="32"/>
          <w:highlight w:val="none"/>
        </w:rPr>
        <w:t>存在的问题及原因分析</w:t>
      </w:r>
    </w:p>
    <w:p>
      <w:pPr>
        <w:pStyle w:val="2"/>
        <w:keepNext w:val="0"/>
        <w:keepLines w:val="0"/>
        <w:pageBreakBefore w:val="0"/>
        <w:widowControl w:val="0"/>
        <w:shd w:val="clear"/>
        <w:kinsoku/>
        <w:wordWrap/>
        <w:overflowPunct/>
        <w:topLinePunct w:val="0"/>
        <w:autoSpaceDE/>
        <w:autoSpaceDN/>
        <w:bidi w:val="0"/>
        <w:adjustRightInd/>
        <w:snapToGrid/>
        <w:spacing w:line="560" w:lineRule="exact"/>
        <w:ind w:left="0" w:leftChars="0" w:firstLine="720" w:firstLineChars="225"/>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（1）该项目是2年前上报的项目，目前具体实施的时候部分项目与实际情况不符，实施难度加大。</w:t>
      </w:r>
    </w:p>
    <w:p>
      <w:pPr>
        <w:pStyle w:val="2"/>
        <w:keepNext w:val="0"/>
        <w:keepLines w:val="0"/>
        <w:pageBreakBefore w:val="0"/>
        <w:widowControl w:val="0"/>
        <w:shd w:val="clear"/>
        <w:kinsoku/>
        <w:wordWrap/>
        <w:overflowPunct/>
        <w:topLinePunct w:val="0"/>
        <w:autoSpaceDE/>
        <w:autoSpaceDN/>
        <w:bidi w:val="0"/>
        <w:adjustRightInd/>
        <w:snapToGrid/>
        <w:spacing w:line="560" w:lineRule="exact"/>
        <w:ind w:left="0" w:leftChars="0" w:firstLine="720" w:firstLineChars="225"/>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（2）由于招投标环节工作不到位，上级部门审核不严，2023年部分项目中标商违约，设备采购和项目维修资金执行率为82.94%，没有100%完成。</w:t>
      </w:r>
    </w:p>
    <w:p>
      <w:pPr>
        <w:shd w:val="clea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lang w:eastAsia="zh-CN"/>
        </w:rPr>
        <w:t>六</w:t>
      </w:r>
      <w:r>
        <w:rPr>
          <w:rFonts w:hint="default" w:ascii="Times New Roman" w:hAnsi="Times New Roman" w:eastAsia="黑体" w:cs="Times New Roman"/>
          <w:sz w:val="32"/>
          <w:szCs w:val="32"/>
          <w:highlight w:val="none"/>
          <w:lang w:eastAsia="zh-Hans"/>
        </w:rPr>
        <w:t>、</w:t>
      </w:r>
      <w:r>
        <w:rPr>
          <w:rFonts w:hint="default" w:ascii="Times New Roman" w:hAnsi="Times New Roman" w:eastAsia="黑体" w:cs="Times New Roman"/>
          <w:sz w:val="32"/>
          <w:szCs w:val="32"/>
          <w:highlight w:val="none"/>
        </w:rPr>
        <w:t>有关建议</w:t>
      </w:r>
    </w:p>
    <w:p>
      <w:pPr>
        <w:pStyle w:val="2"/>
        <w:keepNext w:val="0"/>
        <w:keepLines w:val="0"/>
        <w:pageBreakBefore w:val="0"/>
        <w:widowControl w:val="0"/>
        <w:shd w:val="clear"/>
        <w:kinsoku/>
        <w:wordWrap/>
        <w:overflowPunct/>
        <w:topLinePunct w:val="0"/>
        <w:autoSpaceDE/>
        <w:autoSpaceDN/>
        <w:bidi w:val="0"/>
        <w:adjustRightInd/>
        <w:snapToGrid/>
        <w:spacing w:line="560" w:lineRule="exact"/>
        <w:ind w:left="0" w:leftChars="0" w:firstLine="720" w:firstLineChars="225"/>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pPr>
        <w:pStyle w:val="2"/>
        <w:keepNext w:val="0"/>
        <w:keepLines w:val="0"/>
        <w:pageBreakBefore w:val="0"/>
        <w:widowControl w:val="0"/>
        <w:shd w:val="clear"/>
        <w:kinsoku/>
        <w:wordWrap/>
        <w:overflowPunct/>
        <w:topLinePunct w:val="0"/>
        <w:autoSpaceDE/>
        <w:autoSpaceDN/>
        <w:bidi w:val="0"/>
        <w:adjustRightInd/>
        <w:snapToGrid/>
        <w:spacing w:line="560" w:lineRule="exact"/>
        <w:ind w:left="0" w:leftChars="0" w:firstLine="720" w:firstLineChars="225"/>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pPr>
        <w:pStyle w:val="2"/>
        <w:keepNext w:val="0"/>
        <w:keepLines w:val="0"/>
        <w:pageBreakBefore w:val="0"/>
        <w:widowControl w:val="0"/>
        <w:shd w:val="clear"/>
        <w:kinsoku/>
        <w:wordWrap/>
        <w:overflowPunct/>
        <w:topLinePunct w:val="0"/>
        <w:autoSpaceDE/>
        <w:autoSpaceDN/>
        <w:bidi w:val="0"/>
        <w:adjustRightInd/>
        <w:snapToGrid/>
        <w:spacing w:line="560" w:lineRule="exact"/>
        <w:ind w:left="0" w:leftChars="0" w:firstLine="720" w:firstLineChars="225"/>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该项目对改善义务教育学校薄弱环节和能力提升有重要帮助，特别是对西部经济不发达地区的中小学帮助效果显著，改善了学校的办学条件，提升了学校的教育教学能力，提升学校的教育教学质量，建议将该项目做成周期性项目，按5年或者10年为一个周期，持续改善中小学薄弱环节，提升学校办学能力。</w:t>
      </w:r>
    </w:p>
    <w:p>
      <w:pPr>
        <w:pStyle w:val="2"/>
        <w:keepNext w:val="0"/>
        <w:keepLines w:val="0"/>
        <w:pageBreakBefore w:val="0"/>
        <w:widowControl w:val="0"/>
        <w:shd w:val="clear"/>
        <w:kinsoku/>
        <w:wordWrap/>
        <w:overflowPunct/>
        <w:topLinePunct w:val="0"/>
        <w:autoSpaceDE/>
        <w:autoSpaceDN/>
        <w:bidi w:val="0"/>
        <w:adjustRightInd/>
        <w:snapToGrid/>
        <w:spacing w:line="560" w:lineRule="exact"/>
        <w:ind w:left="0" w:leftChars="0" w:firstLine="720" w:firstLineChars="225"/>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4、该项目是提前2年上报，到实施时部分项目可能存在变化，建议项目立项或实施时，可以变动10-20%的支出类别，使项目更加符合实际情况。</w:t>
      </w:r>
    </w:p>
    <w:p>
      <w:pPr>
        <w:shd w:val="clea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lang w:eastAsia="zh-CN"/>
        </w:rPr>
        <w:t>七</w:t>
      </w:r>
      <w:r>
        <w:rPr>
          <w:rFonts w:hint="default" w:ascii="Times New Roman" w:hAnsi="Times New Roman" w:eastAsia="黑体" w:cs="Times New Roman"/>
          <w:sz w:val="32"/>
          <w:szCs w:val="32"/>
          <w:highlight w:val="none"/>
          <w:lang w:eastAsia="zh-Hans"/>
        </w:rPr>
        <w:t>、</w:t>
      </w:r>
      <w:r>
        <w:rPr>
          <w:rFonts w:hint="default" w:ascii="Times New Roman" w:hAnsi="Times New Roman" w:eastAsia="黑体" w:cs="Times New Roman"/>
          <w:sz w:val="32"/>
          <w:szCs w:val="32"/>
          <w:highlight w:val="none"/>
        </w:rPr>
        <w:t>其他需要说</w:t>
      </w:r>
      <w:bookmarkStart w:id="2" w:name="page8"/>
      <w:bookmarkEnd w:id="2"/>
      <w:r>
        <w:rPr>
          <w:rFonts w:hint="default" w:ascii="Times New Roman" w:hAnsi="Times New Roman" w:eastAsia="黑体" w:cs="Times New Roman"/>
          <w:sz w:val="32"/>
          <w:szCs w:val="32"/>
          <w:highlight w:val="none"/>
        </w:rPr>
        <w:t>明的问题</w:t>
      </w:r>
    </w:p>
    <w:p>
      <w:pPr>
        <w:pStyle w:val="2"/>
        <w:keepNext w:val="0"/>
        <w:keepLines w:val="0"/>
        <w:pageBreakBefore w:val="0"/>
        <w:widowControl w:val="0"/>
        <w:shd w:val="clear"/>
        <w:kinsoku/>
        <w:wordWrap/>
        <w:overflowPunct/>
        <w:topLinePunct w:val="0"/>
        <w:autoSpaceDE/>
        <w:autoSpaceDN/>
        <w:bidi w:val="0"/>
        <w:adjustRightInd/>
        <w:snapToGrid/>
        <w:spacing w:line="560" w:lineRule="exact"/>
        <w:ind w:left="0" w:leftChars="0" w:firstLine="720" w:firstLineChars="225"/>
        <w:textAlignment w:val="auto"/>
        <w:rPr>
          <w:rFonts w:hint="default" w:ascii="Times New Roman" w:hAnsi="Times New Roman" w:eastAsia="仿宋_GB2312" w:cs="Times New Roman"/>
          <w:sz w:val="32"/>
          <w:szCs w:val="32"/>
          <w:highlight w:val="none"/>
          <w:lang w:val="en-US" w:eastAsia="zh-Hans"/>
        </w:rPr>
      </w:pPr>
      <w:r>
        <w:rPr>
          <w:rFonts w:hint="default" w:ascii="Times New Roman" w:hAnsi="Times New Roman" w:eastAsia="仿宋_GB2312" w:cs="Times New Roman"/>
          <w:sz w:val="32"/>
          <w:szCs w:val="32"/>
          <w:highlight w:val="none"/>
          <w:lang w:val="en-US" w:eastAsia="zh-Hans"/>
        </w:rPr>
        <w:t>1、该项目在绩效办的指导下，项目在指标设置、跟踪监控、绩效评价的方面，提高了财政资金的使用效益，坚持了“花钱必问效，无效必问责”的项目绩效管理和实施的理念引导；</w:t>
      </w:r>
    </w:p>
    <w:p>
      <w:pPr>
        <w:pStyle w:val="2"/>
        <w:keepNext w:val="0"/>
        <w:keepLines w:val="0"/>
        <w:pageBreakBefore w:val="0"/>
        <w:widowControl w:val="0"/>
        <w:shd w:val="clear"/>
        <w:kinsoku/>
        <w:wordWrap/>
        <w:overflowPunct/>
        <w:topLinePunct w:val="0"/>
        <w:autoSpaceDE/>
        <w:autoSpaceDN/>
        <w:bidi w:val="0"/>
        <w:adjustRightInd/>
        <w:snapToGrid/>
        <w:spacing w:line="560" w:lineRule="exact"/>
        <w:ind w:left="0" w:leftChars="0" w:firstLine="720" w:firstLineChars="225"/>
        <w:textAlignment w:val="auto"/>
        <w:rPr>
          <w:rFonts w:hint="default" w:ascii="Times New Roman" w:hAnsi="Times New Roman" w:eastAsia="仿宋_GB2312" w:cs="Times New Roman"/>
          <w:sz w:val="32"/>
          <w:szCs w:val="32"/>
          <w:highlight w:val="none"/>
          <w:lang w:val="en-US" w:eastAsia="zh-Hans"/>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Hans"/>
        </w:rPr>
        <w:t>、该项目是全面贯彻党的教育方针，坚持以人民为中心，贯彻新发展理念的重要抓手。该项目的实施为学生全面发展和健康成长创造了良好条件。通过项目实施，持续改善学校基本办学条件，提高义务教育教学水平和质量，关注义务教育薄弱环节，采取有效措施缩小城乡、区域差距，逐步实现义务教育资源均等化，巩固义务教育基本均衡成果，加快推进优质均衡发展和城乡一体化。</w:t>
      </w:r>
    </w:p>
    <w:p>
      <w:pPr>
        <w:pStyle w:val="2"/>
        <w:keepNext w:val="0"/>
        <w:keepLines w:val="0"/>
        <w:pageBreakBefore w:val="0"/>
        <w:widowControl w:val="0"/>
        <w:shd w:val="clear"/>
        <w:kinsoku/>
        <w:wordWrap/>
        <w:overflowPunct/>
        <w:topLinePunct w:val="0"/>
        <w:autoSpaceDE/>
        <w:autoSpaceDN/>
        <w:bidi w:val="0"/>
        <w:adjustRightInd/>
        <w:snapToGrid/>
        <w:spacing w:line="560" w:lineRule="exact"/>
        <w:ind w:left="0" w:leftChars="0" w:firstLine="720" w:firstLineChars="225"/>
        <w:textAlignment w:val="auto"/>
        <w:rPr>
          <w:rFonts w:hint="default" w:ascii="Times New Roman" w:hAnsi="Times New Roman" w:eastAsia="仿宋_GB2312" w:cs="Times New Roman"/>
          <w:sz w:val="32"/>
          <w:szCs w:val="32"/>
          <w:highlight w:val="none"/>
          <w:lang w:val="en-US" w:eastAsia="zh-CN"/>
        </w:rPr>
      </w:pPr>
    </w:p>
    <w:p>
      <w:pPr>
        <w:pStyle w:val="12"/>
        <w:shd w:val="clear"/>
        <w:spacing w:after="0" w:line="560" w:lineRule="exact"/>
        <w:ind w:left="0" w:leftChars="0" w:firstLine="0" w:firstLineChars="0"/>
        <w:rPr>
          <w:rFonts w:hint="default" w:ascii="Times New Roman" w:hAnsi="Times New Roman" w:eastAsia="仿宋_GB2312" w:cs="Times New Roman"/>
          <w:sz w:val="32"/>
          <w:szCs w:val="32"/>
          <w:highlight w:val="none"/>
        </w:rPr>
        <w:sectPr>
          <w:footerReference r:id="rId3" w:type="default"/>
          <w:pgSz w:w="11906" w:h="16838"/>
          <w:pgMar w:top="1440" w:right="1558" w:bottom="1440" w:left="1800" w:header="851" w:footer="992" w:gutter="0"/>
          <w:cols w:space="425" w:num="1"/>
          <w:docGrid w:type="lines" w:linePitch="312" w:charSpace="0"/>
        </w:sectPr>
      </w:pPr>
    </w:p>
    <w:p>
      <w:pPr>
        <w:shd w:val="clear"/>
        <w:spacing w:line="600" w:lineRule="exact"/>
        <w:rPr>
          <w:rFonts w:hint="default" w:ascii="Times New Roman" w:hAnsi="Times New Roman" w:eastAsia="黑体" w:cs="Times New Roman"/>
          <w:highlight w:val="none"/>
        </w:rPr>
      </w:pPr>
      <w:r>
        <w:rPr>
          <w:rFonts w:hint="default" w:ascii="Times New Roman" w:hAnsi="Times New Roman" w:eastAsia="黑体" w:cs="Times New Roman"/>
          <w:bCs/>
          <w:sz w:val="32"/>
          <w:szCs w:val="32"/>
          <w:highlight w:val="none"/>
        </w:rPr>
        <w:t>附件1</w:t>
      </w:r>
    </w:p>
    <w:tbl>
      <w:tblPr>
        <w:tblStyle w:val="13"/>
        <w:tblW w:w="12683"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32"/>
        <w:gridCol w:w="764"/>
        <w:gridCol w:w="873"/>
        <w:gridCol w:w="2353"/>
        <w:gridCol w:w="519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692" w:hRule="atLeast"/>
          <w:tblHeader/>
          <w:jc w:val="center"/>
        </w:trPr>
        <w:tc>
          <w:tcPr>
            <w:tcW w:w="832" w:type="dxa"/>
            <w:shd w:val="clear" w:color="auto" w:fill="auto"/>
            <w:vAlign w:val="center"/>
          </w:tcPr>
          <w:p>
            <w:pPr>
              <w:widowControl/>
              <w:shd w:val="clear"/>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一级指标</w:t>
            </w:r>
          </w:p>
        </w:tc>
        <w:tc>
          <w:tcPr>
            <w:tcW w:w="764" w:type="dxa"/>
            <w:shd w:val="clear" w:color="auto" w:fill="auto"/>
            <w:vAlign w:val="center"/>
          </w:tcPr>
          <w:p>
            <w:pPr>
              <w:widowControl/>
              <w:shd w:val="clear"/>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二级指标</w:t>
            </w:r>
          </w:p>
        </w:tc>
        <w:tc>
          <w:tcPr>
            <w:tcW w:w="873" w:type="dxa"/>
            <w:shd w:val="clear" w:color="auto" w:fill="auto"/>
            <w:vAlign w:val="center"/>
          </w:tcPr>
          <w:p>
            <w:pPr>
              <w:widowControl/>
              <w:shd w:val="clear"/>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三级指标</w:t>
            </w:r>
          </w:p>
        </w:tc>
        <w:tc>
          <w:tcPr>
            <w:tcW w:w="2353" w:type="dxa"/>
            <w:shd w:val="clear" w:color="auto" w:fill="auto"/>
            <w:vAlign w:val="center"/>
          </w:tcPr>
          <w:p>
            <w:pPr>
              <w:widowControl/>
              <w:shd w:val="clear"/>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指标解释</w:t>
            </w:r>
          </w:p>
        </w:tc>
        <w:tc>
          <w:tcPr>
            <w:tcW w:w="5198" w:type="dxa"/>
            <w:shd w:val="clear" w:color="auto" w:fill="auto"/>
            <w:vAlign w:val="center"/>
          </w:tcPr>
          <w:p>
            <w:pPr>
              <w:widowControl/>
              <w:shd w:val="clear"/>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指标说明</w:t>
            </w:r>
          </w:p>
        </w:tc>
        <w:tc>
          <w:tcPr>
            <w:tcW w:w="1300" w:type="dxa"/>
            <w:shd w:val="clear" w:color="auto" w:fill="auto"/>
            <w:vAlign w:val="center"/>
          </w:tcPr>
          <w:p>
            <w:pPr>
              <w:widowControl/>
              <w:shd w:val="clear"/>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权重</w:t>
            </w:r>
          </w:p>
        </w:tc>
        <w:tc>
          <w:tcPr>
            <w:tcW w:w="1363" w:type="dxa"/>
            <w:shd w:val="clear" w:color="auto" w:fill="auto"/>
            <w:vAlign w:val="center"/>
          </w:tcPr>
          <w:p>
            <w:pPr>
              <w:widowControl/>
              <w:shd w:val="clear"/>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919" w:hRule="atLeast"/>
          <w:jc w:val="center"/>
        </w:trPr>
        <w:tc>
          <w:tcPr>
            <w:tcW w:w="832" w:type="dxa"/>
            <w:vMerge w:val="restart"/>
            <w:shd w:val="clear" w:color="auto" w:fill="auto"/>
            <w:vAlign w:val="center"/>
          </w:tcPr>
          <w:p>
            <w:pPr>
              <w:widowControl/>
              <w:shd w:val="clear"/>
              <w:spacing w:line="0" w:lineRule="atLeast"/>
              <w:jc w:val="center"/>
              <w:rPr>
                <w:rFonts w:hint="default" w:ascii="Times New Roman" w:hAnsi="Times New Roman" w:cs="Times New Roman"/>
                <w:color w:val="000000"/>
                <w:kern w:val="0"/>
                <w:sz w:val="22"/>
                <w:szCs w:val="22"/>
                <w:highlight w:val="none"/>
              </w:rPr>
            </w:pPr>
          </w:p>
          <w:p>
            <w:pPr>
              <w:widowControl/>
              <w:shd w:val="clear"/>
              <w:spacing w:line="0" w:lineRule="atLeast"/>
              <w:jc w:val="center"/>
              <w:rPr>
                <w:rFonts w:hint="default" w:ascii="Times New Roman" w:hAnsi="Times New Roman" w:cs="Times New Roman"/>
                <w:color w:val="000000"/>
                <w:kern w:val="0"/>
                <w:sz w:val="22"/>
                <w:szCs w:val="22"/>
                <w:highlight w:val="none"/>
              </w:rPr>
            </w:pPr>
          </w:p>
          <w:p>
            <w:pPr>
              <w:widowControl/>
              <w:shd w:val="clear"/>
              <w:spacing w:line="0" w:lineRule="atLeast"/>
              <w:jc w:val="center"/>
              <w:rPr>
                <w:rFonts w:hint="default" w:ascii="Times New Roman" w:hAnsi="Times New Roman" w:cs="Times New Roman"/>
                <w:color w:val="000000"/>
                <w:kern w:val="0"/>
                <w:sz w:val="22"/>
                <w:szCs w:val="22"/>
                <w:highlight w:val="none"/>
              </w:rPr>
            </w:pPr>
          </w:p>
          <w:p>
            <w:pPr>
              <w:widowControl/>
              <w:shd w:val="clear"/>
              <w:spacing w:line="0" w:lineRule="atLeast"/>
              <w:jc w:val="center"/>
              <w:rPr>
                <w:rFonts w:hint="default" w:ascii="Times New Roman" w:hAnsi="Times New Roman" w:cs="Times New Roman"/>
                <w:color w:val="000000"/>
                <w:kern w:val="0"/>
                <w:sz w:val="22"/>
                <w:szCs w:val="22"/>
                <w:highlight w:val="none"/>
              </w:rPr>
            </w:pPr>
          </w:p>
          <w:p>
            <w:pPr>
              <w:widowControl/>
              <w:shd w:val="clear"/>
              <w:spacing w:line="0" w:lineRule="atLeast"/>
              <w:jc w:val="center"/>
              <w:rPr>
                <w:rFonts w:hint="default" w:ascii="Times New Roman" w:hAnsi="Times New Roman" w:cs="Times New Roman"/>
                <w:color w:val="000000"/>
                <w:kern w:val="0"/>
                <w:sz w:val="22"/>
                <w:szCs w:val="22"/>
                <w:highlight w:val="none"/>
              </w:rPr>
            </w:pPr>
          </w:p>
          <w:p>
            <w:pPr>
              <w:widowControl/>
              <w:shd w:val="clear"/>
              <w:spacing w:line="0" w:lineRule="atLeast"/>
              <w:jc w:val="center"/>
              <w:rPr>
                <w:rFonts w:hint="default" w:ascii="Times New Roman" w:hAnsi="Times New Roman" w:cs="Times New Roman"/>
                <w:color w:val="000000"/>
                <w:kern w:val="0"/>
                <w:sz w:val="22"/>
                <w:szCs w:val="22"/>
                <w:highlight w:val="none"/>
              </w:rPr>
            </w:pPr>
          </w:p>
          <w:p>
            <w:pPr>
              <w:widowControl/>
              <w:shd w:val="clear"/>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决策　</w:t>
            </w:r>
          </w:p>
        </w:tc>
        <w:tc>
          <w:tcPr>
            <w:tcW w:w="764" w:type="dxa"/>
            <w:vMerge w:val="restart"/>
            <w:shd w:val="clear" w:color="auto" w:fill="auto"/>
            <w:vAlign w:val="center"/>
          </w:tcPr>
          <w:p>
            <w:pPr>
              <w:widowControl/>
              <w:shd w:val="clear"/>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项目立项　</w:t>
            </w:r>
          </w:p>
        </w:tc>
        <w:tc>
          <w:tcPr>
            <w:tcW w:w="873" w:type="dxa"/>
            <w:shd w:val="clear" w:color="auto" w:fill="auto"/>
            <w:vAlign w:val="center"/>
          </w:tcPr>
          <w:p>
            <w:pPr>
              <w:widowControl/>
              <w:shd w:val="clear"/>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立项依据</w:t>
            </w:r>
          </w:p>
          <w:p>
            <w:pPr>
              <w:widowControl/>
              <w:shd w:val="clear"/>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充分性</w:t>
            </w:r>
          </w:p>
        </w:tc>
        <w:tc>
          <w:tcPr>
            <w:tcW w:w="2353" w:type="dxa"/>
            <w:shd w:val="clear" w:color="auto" w:fill="auto"/>
            <w:vAlign w:val="center"/>
          </w:tcPr>
          <w:p>
            <w:pPr>
              <w:widowControl/>
              <w:shd w:val="clear"/>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项目立项是否符合法律法规、相关政策、发展规划以及部门职责，用以反映和考核项目立项依据情况。</w:t>
            </w:r>
          </w:p>
        </w:tc>
        <w:tc>
          <w:tcPr>
            <w:tcW w:w="5198" w:type="dxa"/>
            <w:shd w:val="clear" w:color="auto" w:fill="auto"/>
            <w:vAlign w:val="center"/>
          </w:tcPr>
          <w:p>
            <w:pPr>
              <w:widowControl/>
              <w:shd w:val="clear"/>
              <w:spacing w:line="0" w:lineRule="atLeast"/>
              <w:jc w:val="lef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评价要点：</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①项目立项是否符合国家法律法规、国民经济发展规划和相关政策；</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②项目立项是否符合行业发展规划和政策要求；</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③项目立项是否与部门职责范围相符，属于部门履职所需；</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④项目是否属于公共财政支持范围，是否符合中央、地方事权支出责任划分原则；</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⑤项目是否与相关部门同类项目或部门内部相关项目重复。</w:t>
            </w:r>
          </w:p>
        </w:tc>
        <w:tc>
          <w:tcPr>
            <w:tcW w:w="1300" w:type="dxa"/>
            <w:shd w:val="clear" w:color="auto" w:fill="auto"/>
            <w:vAlign w:val="center"/>
          </w:tcPr>
          <w:p>
            <w:pPr>
              <w:widowControl/>
              <w:shd w:val="clear"/>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3</w:t>
            </w:r>
          </w:p>
        </w:tc>
        <w:tc>
          <w:tcPr>
            <w:tcW w:w="1363" w:type="dxa"/>
            <w:shd w:val="clear" w:color="auto" w:fill="auto"/>
            <w:vAlign w:val="center"/>
          </w:tcPr>
          <w:p>
            <w:pPr>
              <w:widowControl/>
              <w:shd w:val="clear"/>
              <w:spacing w:line="0" w:lineRule="atLeast"/>
              <w:jc w:val="center"/>
              <w:rPr>
                <w:rFonts w:hint="default" w:ascii="Times New Roman" w:hAnsi="Times New Roman" w:eastAsia="宋体" w:cs="Times New Roman"/>
                <w:b/>
                <w:bCs/>
                <w:color w:val="000000"/>
                <w:kern w:val="0"/>
                <w:sz w:val="22"/>
                <w:szCs w:val="22"/>
                <w:highlight w:val="none"/>
                <w:lang w:eastAsia="zh-CN"/>
              </w:rPr>
            </w:pPr>
            <w:r>
              <w:rPr>
                <w:rFonts w:hint="default" w:ascii="Times New Roman" w:hAnsi="Times New Roman" w:cs="Times New Roman"/>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jc w:val="center"/>
        </w:trPr>
        <w:tc>
          <w:tcPr>
            <w:tcW w:w="832" w:type="dxa"/>
            <w:vMerge w:val="continue"/>
            <w:shd w:val="clear" w:color="auto" w:fill="auto"/>
            <w:vAlign w:val="center"/>
          </w:tcPr>
          <w:p>
            <w:pPr>
              <w:shd w:val="clear"/>
              <w:spacing w:line="0" w:lineRule="atLeast"/>
              <w:jc w:val="center"/>
              <w:rPr>
                <w:rFonts w:hint="default" w:ascii="Times New Roman" w:hAnsi="Times New Roman" w:cs="Times New Roman"/>
                <w:color w:val="000000"/>
                <w:kern w:val="0"/>
                <w:sz w:val="22"/>
                <w:szCs w:val="22"/>
                <w:highlight w:val="none"/>
              </w:rPr>
            </w:pPr>
          </w:p>
        </w:tc>
        <w:tc>
          <w:tcPr>
            <w:tcW w:w="764" w:type="dxa"/>
            <w:vMerge w:val="continue"/>
            <w:shd w:val="clear" w:color="auto" w:fill="auto"/>
            <w:vAlign w:val="center"/>
          </w:tcPr>
          <w:p>
            <w:pPr>
              <w:widowControl/>
              <w:shd w:val="clear"/>
              <w:spacing w:line="0" w:lineRule="atLeast"/>
              <w:jc w:val="center"/>
              <w:rPr>
                <w:rFonts w:hint="default" w:ascii="Times New Roman" w:hAnsi="Times New Roman" w:cs="Times New Roman"/>
                <w:color w:val="000000"/>
                <w:kern w:val="0"/>
                <w:sz w:val="22"/>
                <w:szCs w:val="22"/>
                <w:highlight w:val="none"/>
              </w:rPr>
            </w:pPr>
          </w:p>
        </w:tc>
        <w:tc>
          <w:tcPr>
            <w:tcW w:w="873" w:type="dxa"/>
            <w:shd w:val="clear" w:color="auto" w:fill="auto"/>
            <w:vAlign w:val="center"/>
          </w:tcPr>
          <w:p>
            <w:pPr>
              <w:widowControl/>
              <w:shd w:val="clear"/>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立项程序</w:t>
            </w:r>
          </w:p>
          <w:p>
            <w:pPr>
              <w:widowControl/>
              <w:shd w:val="clear"/>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规范性</w:t>
            </w:r>
          </w:p>
        </w:tc>
        <w:tc>
          <w:tcPr>
            <w:tcW w:w="2353" w:type="dxa"/>
            <w:shd w:val="clear" w:color="auto" w:fill="auto"/>
            <w:vAlign w:val="center"/>
          </w:tcPr>
          <w:p>
            <w:pPr>
              <w:widowControl/>
              <w:shd w:val="clear"/>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项目申请、设立过程是否符合相关要求，用以反映和考核项目立项的规范情况。</w:t>
            </w:r>
          </w:p>
        </w:tc>
        <w:tc>
          <w:tcPr>
            <w:tcW w:w="5198" w:type="dxa"/>
            <w:shd w:val="clear" w:color="auto" w:fill="auto"/>
            <w:vAlign w:val="center"/>
          </w:tcPr>
          <w:p>
            <w:pPr>
              <w:widowControl/>
              <w:shd w:val="clear"/>
              <w:spacing w:line="0" w:lineRule="atLeast"/>
              <w:jc w:val="lef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评价要点：</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①项目是否按照规定的程序申请设立；</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②审批文件、材料是否符合相关要求；</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③事前是否已经过必要的可行性研究、专家论证、风险评估、绩效评估、集体决策。</w:t>
            </w:r>
          </w:p>
        </w:tc>
        <w:tc>
          <w:tcPr>
            <w:tcW w:w="1300" w:type="dxa"/>
            <w:shd w:val="clear" w:color="auto" w:fill="auto"/>
            <w:vAlign w:val="center"/>
          </w:tcPr>
          <w:p>
            <w:pPr>
              <w:widowControl/>
              <w:shd w:val="clear"/>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3</w:t>
            </w:r>
          </w:p>
        </w:tc>
        <w:tc>
          <w:tcPr>
            <w:tcW w:w="1363" w:type="dxa"/>
            <w:shd w:val="clear" w:color="auto" w:fill="auto"/>
            <w:vAlign w:val="center"/>
          </w:tcPr>
          <w:p>
            <w:pPr>
              <w:widowControl/>
              <w:shd w:val="clear"/>
              <w:spacing w:line="0" w:lineRule="atLeast"/>
              <w:jc w:val="center"/>
              <w:rPr>
                <w:rFonts w:hint="default" w:ascii="Times New Roman" w:hAnsi="Times New Roman" w:eastAsia="宋体" w:cs="Times New Roman"/>
                <w:b/>
                <w:bCs/>
                <w:color w:val="000000"/>
                <w:kern w:val="0"/>
                <w:sz w:val="22"/>
                <w:szCs w:val="22"/>
                <w:highlight w:val="none"/>
                <w:lang w:eastAsia="zh-CN"/>
              </w:rPr>
            </w:pPr>
            <w:r>
              <w:rPr>
                <w:rFonts w:hint="default" w:ascii="Times New Roman" w:hAnsi="Times New Roman" w:cs="Times New Roman"/>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jc w:val="center"/>
        </w:trPr>
        <w:tc>
          <w:tcPr>
            <w:tcW w:w="832" w:type="dxa"/>
            <w:vMerge w:val="continue"/>
            <w:shd w:val="clear" w:color="auto" w:fill="auto"/>
            <w:vAlign w:val="center"/>
          </w:tcPr>
          <w:p>
            <w:pPr>
              <w:shd w:val="clear"/>
              <w:spacing w:line="0" w:lineRule="atLeast"/>
              <w:jc w:val="center"/>
              <w:rPr>
                <w:rFonts w:hint="default" w:ascii="Times New Roman" w:hAnsi="Times New Roman" w:cs="Times New Roman"/>
                <w:color w:val="000000"/>
                <w:kern w:val="0"/>
                <w:sz w:val="22"/>
                <w:szCs w:val="22"/>
                <w:highlight w:val="none"/>
              </w:rPr>
            </w:pPr>
          </w:p>
        </w:tc>
        <w:tc>
          <w:tcPr>
            <w:tcW w:w="764" w:type="dxa"/>
            <w:vMerge w:val="restart"/>
            <w:shd w:val="clear" w:color="auto" w:fill="auto"/>
            <w:vAlign w:val="center"/>
          </w:tcPr>
          <w:p>
            <w:pPr>
              <w:widowControl/>
              <w:shd w:val="clear"/>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绩效目标　</w:t>
            </w:r>
          </w:p>
        </w:tc>
        <w:tc>
          <w:tcPr>
            <w:tcW w:w="873" w:type="dxa"/>
            <w:shd w:val="clear" w:color="auto" w:fill="auto"/>
            <w:vAlign w:val="center"/>
          </w:tcPr>
          <w:p>
            <w:pPr>
              <w:widowControl/>
              <w:shd w:val="clear"/>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绩效目标</w:t>
            </w:r>
          </w:p>
          <w:p>
            <w:pPr>
              <w:widowControl/>
              <w:shd w:val="clear"/>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合理性</w:t>
            </w:r>
          </w:p>
        </w:tc>
        <w:tc>
          <w:tcPr>
            <w:tcW w:w="2353" w:type="dxa"/>
            <w:shd w:val="clear" w:color="auto" w:fill="auto"/>
            <w:vAlign w:val="center"/>
          </w:tcPr>
          <w:p>
            <w:pPr>
              <w:widowControl/>
              <w:shd w:val="clear"/>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项目所设定的绩效目标是否依据充分，是否符合客观实际，用以反映和考核项目绩效目标与项目实施的相符情况。</w:t>
            </w:r>
          </w:p>
        </w:tc>
        <w:tc>
          <w:tcPr>
            <w:tcW w:w="5198" w:type="dxa"/>
            <w:shd w:val="clear" w:color="auto" w:fill="auto"/>
            <w:vAlign w:val="center"/>
          </w:tcPr>
          <w:p>
            <w:pPr>
              <w:widowControl/>
              <w:shd w:val="clear"/>
              <w:spacing w:line="0" w:lineRule="atLeast"/>
              <w:jc w:val="lef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评价要点：</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（如未设定预算绩效目标，也可考核其他工作任务目标）</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①项目是否有绩效目标；</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②项目绩效目标与实际工作内容是否具有相关性；</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③项目预期产出效益和效果是否符合正常的业绩水平；</w:t>
            </w:r>
          </w:p>
          <w:p>
            <w:pPr>
              <w:widowControl/>
              <w:shd w:val="clear"/>
              <w:spacing w:line="0" w:lineRule="atLeast"/>
              <w:jc w:val="lef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④是否与预算确定的项目投资额或资金量相匹配。</w:t>
            </w:r>
          </w:p>
        </w:tc>
        <w:tc>
          <w:tcPr>
            <w:tcW w:w="1300" w:type="dxa"/>
            <w:shd w:val="clear" w:color="auto" w:fill="auto"/>
            <w:vAlign w:val="center"/>
          </w:tcPr>
          <w:p>
            <w:pPr>
              <w:widowControl/>
              <w:shd w:val="clear"/>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3</w:t>
            </w:r>
          </w:p>
        </w:tc>
        <w:tc>
          <w:tcPr>
            <w:tcW w:w="1363" w:type="dxa"/>
            <w:shd w:val="clear" w:color="auto" w:fill="auto"/>
            <w:vAlign w:val="center"/>
          </w:tcPr>
          <w:p>
            <w:pPr>
              <w:widowControl/>
              <w:shd w:val="clear"/>
              <w:spacing w:line="0" w:lineRule="atLeast"/>
              <w:jc w:val="center"/>
              <w:rPr>
                <w:rFonts w:hint="default" w:ascii="Times New Roman" w:hAnsi="Times New Roman" w:eastAsia="宋体" w:cs="Times New Roman"/>
                <w:b/>
                <w:bCs/>
                <w:color w:val="000000"/>
                <w:kern w:val="0"/>
                <w:sz w:val="22"/>
                <w:szCs w:val="22"/>
                <w:highlight w:val="none"/>
                <w:lang w:eastAsia="zh-CN"/>
              </w:rPr>
            </w:pPr>
            <w:r>
              <w:rPr>
                <w:rFonts w:hint="default" w:ascii="Times New Roman" w:hAnsi="Times New Roman" w:cs="Times New Roman"/>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832" w:type="dxa"/>
            <w:vMerge w:val="continue"/>
            <w:shd w:val="clear" w:color="auto" w:fill="auto"/>
            <w:vAlign w:val="center"/>
          </w:tcPr>
          <w:p>
            <w:pPr>
              <w:widowControl/>
              <w:shd w:val="clear"/>
              <w:spacing w:line="0" w:lineRule="atLeast"/>
              <w:jc w:val="center"/>
              <w:rPr>
                <w:rFonts w:hint="default" w:ascii="Times New Roman" w:hAnsi="Times New Roman" w:cs="Times New Roman"/>
                <w:color w:val="000000"/>
                <w:kern w:val="0"/>
                <w:sz w:val="22"/>
                <w:szCs w:val="22"/>
                <w:highlight w:val="none"/>
              </w:rPr>
            </w:pPr>
          </w:p>
        </w:tc>
        <w:tc>
          <w:tcPr>
            <w:tcW w:w="764" w:type="dxa"/>
            <w:vMerge w:val="continue"/>
            <w:shd w:val="clear" w:color="auto" w:fill="auto"/>
            <w:vAlign w:val="center"/>
          </w:tcPr>
          <w:p>
            <w:pPr>
              <w:widowControl/>
              <w:shd w:val="clear"/>
              <w:spacing w:line="0" w:lineRule="atLeast"/>
              <w:jc w:val="center"/>
              <w:rPr>
                <w:rFonts w:hint="default" w:ascii="Times New Roman" w:hAnsi="Times New Roman" w:cs="Times New Roman"/>
                <w:color w:val="000000"/>
                <w:kern w:val="0"/>
                <w:sz w:val="22"/>
                <w:szCs w:val="22"/>
                <w:highlight w:val="none"/>
              </w:rPr>
            </w:pPr>
          </w:p>
        </w:tc>
        <w:tc>
          <w:tcPr>
            <w:tcW w:w="873" w:type="dxa"/>
            <w:shd w:val="clear" w:color="auto" w:fill="auto"/>
            <w:vAlign w:val="center"/>
          </w:tcPr>
          <w:p>
            <w:pPr>
              <w:widowControl/>
              <w:shd w:val="clear"/>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绩效指标</w:t>
            </w:r>
          </w:p>
          <w:p>
            <w:pPr>
              <w:widowControl/>
              <w:shd w:val="clear"/>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明确性</w:t>
            </w:r>
          </w:p>
        </w:tc>
        <w:tc>
          <w:tcPr>
            <w:tcW w:w="2353" w:type="dxa"/>
            <w:shd w:val="clear" w:color="auto" w:fill="auto"/>
            <w:vAlign w:val="center"/>
          </w:tcPr>
          <w:p>
            <w:pPr>
              <w:widowControl/>
              <w:shd w:val="clear"/>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依据绩效目标设定的绩效指标是否清晰、细化、可衡量等，用以反映和考核项目绩效目标的明细化情况。</w:t>
            </w:r>
          </w:p>
        </w:tc>
        <w:tc>
          <w:tcPr>
            <w:tcW w:w="5198" w:type="dxa"/>
            <w:shd w:val="clear" w:color="auto" w:fill="auto"/>
            <w:vAlign w:val="center"/>
          </w:tcPr>
          <w:p>
            <w:pPr>
              <w:widowControl/>
              <w:shd w:val="clear"/>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评价要点：</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①是否将项目绩效目标细化分解为具体的绩效指标；</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②是否通过清晰、可衡量的指标值予以体现；</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③是否与项目目标任务数或计划数相对应。</w:t>
            </w:r>
            <w:r>
              <w:rPr>
                <w:rFonts w:hint="default" w:ascii="Times New Roman" w:hAnsi="Times New Roman" w:cs="Times New Roman"/>
                <w:color w:val="000000"/>
                <w:kern w:val="0"/>
                <w:sz w:val="22"/>
                <w:szCs w:val="22"/>
                <w:highlight w:val="none"/>
              </w:rPr>
              <w:br w:type="textWrapping"/>
            </w:r>
          </w:p>
        </w:tc>
        <w:tc>
          <w:tcPr>
            <w:tcW w:w="1300" w:type="dxa"/>
            <w:shd w:val="clear" w:color="auto" w:fill="auto"/>
            <w:vAlign w:val="center"/>
          </w:tcPr>
          <w:p>
            <w:pPr>
              <w:widowControl/>
              <w:shd w:val="clear"/>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3</w:t>
            </w:r>
          </w:p>
        </w:tc>
        <w:tc>
          <w:tcPr>
            <w:tcW w:w="1363" w:type="dxa"/>
            <w:shd w:val="clear" w:color="auto" w:fill="auto"/>
            <w:vAlign w:val="center"/>
          </w:tcPr>
          <w:p>
            <w:pPr>
              <w:widowControl/>
              <w:shd w:val="clear"/>
              <w:spacing w:line="0" w:lineRule="atLeast"/>
              <w:jc w:val="center"/>
              <w:rPr>
                <w:rFonts w:hint="default" w:ascii="Times New Roman" w:hAnsi="Times New Roman" w:eastAsia="宋体" w:cs="Times New Roman"/>
                <w:b/>
                <w:bCs/>
                <w:color w:val="000000"/>
                <w:kern w:val="0"/>
                <w:sz w:val="22"/>
                <w:szCs w:val="22"/>
                <w:highlight w:val="none"/>
                <w:lang w:eastAsia="zh-CN"/>
              </w:rPr>
            </w:pPr>
            <w:r>
              <w:rPr>
                <w:rFonts w:hint="default" w:ascii="Times New Roman" w:hAnsi="Times New Roman" w:cs="Times New Roman"/>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832" w:type="dxa"/>
            <w:vMerge w:val="continue"/>
            <w:shd w:val="clear" w:color="auto" w:fill="auto"/>
            <w:vAlign w:val="center"/>
          </w:tcPr>
          <w:p>
            <w:pPr>
              <w:shd w:val="clear"/>
              <w:spacing w:line="0" w:lineRule="atLeast"/>
              <w:jc w:val="center"/>
              <w:rPr>
                <w:rFonts w:hint="default" w:ascii="Times New Roman" w:hAnsi="Times New Roman" w:cs="Times New Roman"/>
                <w:color w:val="000000"/>
                <w:kern w:val="0"/>
                <w:sz w:val="22"/>
                <w:szCs w:val="22"/>
                <w:highlight w:val="none"/>
              </w:rPr>
            </w:pPr>
          </w:p>
        </w:tc>
        <w:tc>
          <w:tcPr>
            <w:tcW w:w="764" w:type="dxa"/>
            <w:vMerge w:val="restart"/>
            <w:shd w:val="clear" w:color="auto" w:fill="auto"/>
            <w:vAlign w:val="center"/>
          </w:tcPr>
          <w:p>
            <w:pPr>
              <w:widowControl/>
              <w:shd w:val="clear"/>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资金投入</w:t>
            </w:r>
          </w:p>
          <w:p>
            <w:pPr>
              <w:shd w:val="clear"/>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　</w:t>
            </w:r>
          </w:p>
        </w:tc>
        <w:tc>
          <w:tcPr>
            <w:tcW w:w="873" w:type="dxa"/>
            <w:shd w:val="clear" w:color="auto" w:fill="auto"/>
            <w:vAlign w:val="center"/>
          </w:tcPr>
          <w:p>
            <w:pPr>
              <w:widowControl/>
              <w:shd w:val="clear"/>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预算编制</w:t>
            </w:r>
          </w:p>
          <w:p>
            <w:pPr>
              <w:widowControl/>
              <w:shd w:val="clear"/>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科学性</w:t>
            </w:r>
          </w:p>
        </w:tc>
        <w:tc>
          <w:tcPr>
            <w:tcW w:w="2353" w:type="dxa"/>
            <w:shd w:val="clear" w:color="auto" w:fill="auto"/>
            <w:vAlign w:val="center"/>
          </w:tcPr>
          <w:p>
            <w:pPr>
              <w:widowControl/>
              <w:shd w:val="clear"/>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项目预算编制是否经过科学论证、有明确标准，资金额度与年度目标是否相适应，用以反映和考核项目预算编制的科学性、合理性情况。</w:t>
            </w:r>
          </w:p>
        </w:tc>
        <w:tc>
          <w:tcPr>
            <w:tcW w:w="5198" w:type="dxa"/>
            <w:shd w:val="clear" w:color="auto" w:fill="auto"/>
            <w:vAlign w:val="center"/>
          </w:tcPr>
          <w:p>
            <w:pPr>
              <w:widowControl/>
              <w:shd w:val="clear"/>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评价要点：</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①预算编制是否经过科学论证；</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②预算内容与项目内容是否匹配；</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③预算额度测算依据是否充分，是否按照标准编制；</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④预算确定的项目投资额或资金量是否与工作任务相匹配。</w:t>
            </w:r>
          </w:p>
        </w:tc>
        <w:tc>
          <w:tcPr>
            <w:tcW w:w="1300" w:type="dxa"/>
            <w:shd w:val="clear" w:color="auto" w:fill="auto"/>
            <w:vAlign w:val="center"/>
          </w:tcPr>
          <w:p>
            <w:pPr>
              <w:widowControl/>
              <w:shd w:val="clear"/>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4</w:t>
            </w:r>
          </w:p>
        </w:tc>
        <w:tc>
          <w:tcPr>
            <w:tcW w:w="1363" w:type="dxa"/>
            <w:shd w:val="clear" w:color="auto" w:fill="auto"/>
            <w:vAlign w:val="center"/>
          </w:tcPr>
          <w:p>
            <w:pPr>
              <w:widowControl/>
              <w:shd w:val="clear"/>
              <w:spacing w:line="0" w:lineRule="atLeast"/>
              <w:jc w:val="center"/>
              <w:rPr>
                <w:rFonts w:hint="default" w:ascii="Times New Roman" w:hAnsi="Times New Roman" w:eastAsia="宋体" w:cs="Times New Roman"/>
                <w:b/>
                <w:bCs/>
                <w:color w:val="000000"/>
                <w:kern w:val="0"/>
                <w:sz w:val="22"/>
                <w:szCs w:val="22"/>
                <w:highlight w:val="none"/>
                <w:lang w:eastAsia="zh-CN"/>
              </w:rPr>
            </w:pPr>
            <w:r>
              <w:rPr>
                <w:rFonts w:hint="default" w:ascii="Times New Roman" w:hAnsi="Times New Roman"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832" w:type="dxa"/>
            <w:vMerge w:val="continue"/>
            <w:shd w:val="clear" w:color="auto" w:fill="auto"/>
            <w:vAlign w:val="center"/>
          </w:tcPr>
          <w:p>
            <w:pPr>
              <w:widowControl/>
              <w:shd w:val="clear"/>
              <w:spacing w:line="0" w:lineRule="atLeast"/>
              <w:jc w:val="center"/>
              <w:rPr>
                <w:rFonts w:hint="default" w:ascii="Times New Roman" w:hAnsi="Times New Roman" w:cs="Times New Roman"/>
                <w:color w:val="000000"/>
                <w:kern w:val="0"/>
                <w:sz w:val="22"/>
                <w:szCs w:val="22"/>
                <w:highlight w:val="none"/>
              </w:rPr>
            </w:pPr>
          </w:p>
        </w:tc>
        <w:tc>
          <w:tcPr>
            <w:tcW w:w="764" w:type="dxa"/>
            <w:vMerge w:val="continue"/>
            <w:shd w:val="clear" w:color="auto" w:fill="auto"/>
            <w:vAlign w:val="center"/>
          </w:tcPr>
          <w:p>
            <w:pPr>
              <w:widowControl/>
              <w:shd w:val="clear"/>
              <w:spacing w:line="0" w:lineRule="atLeast"/>
              <w:jc w:val="center"/>
              <w:rPr>
                <w:rFonts w:hint="default" w:ascii="Times New Roman" w:hAnsi="Times New Roman" w:cs="Times New Roman"/>
                <w:color w:val="000000"/>
                <w:kern w:val="0"/>
                <w:sz w:val="22"/>
                <w:szCs w:val="22"/>
                <w:highlight w:val="none"/>
              </w:rPr>
            </w:pPr>
          </w:p>
        </w:tc>
        <w:tc>
          <w:tcPr>
            <w:tcW w:w="873" w:type="dxa"/>
            <w:shd w:val="clear" w:color="auto" w:fill="auto"/>
            <w:vAlign w:val="center"/>
          </w:tcPr>
          <w:p>
            <w:pPr>
              <w:widowControl/>
              <w:shd w:val="clear"/>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资金分配</w:t>
            </w:r>
          </w:p>
          <w:p>
            <w:pPr>
              <w:widowControl/>
              <w:shd w:val="clear"/>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合理性</w:t>
            </w:r>
          </w:p>
        </w:tc>
        <w:tc>
          <w:tcPr>
            <w:tcW w:w="2353" w:type="dxa"/>
            <w:shd w:val="clear" w:color="auto" w:fill="auto"/>
            <w:vAlign w:val="center"/>
          </w:tcPr>
          <w:p>
            <w:pPr>
              <w:widowControl/>
              <w:shd w:val="clear"/>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项目预算资金分配是否有测算依据，与补助单位或地方实际是否相适应，用以反映和考核项目预算资金分配的科学性、合理性情况。</w:t>
            </w:r>
          </w:p>
        </w:tc>
        <w:tc>
          <w:tcPr>
            <w:tcW w:w="5198" w:type="dxa"/>
            <w:shd w:val="clear" w:color="auto" w:fill="auto"/>
            <w:vAlign w:val="center"/>
          </w:tcPr>
          <w:p>
            <w:pPr>
              <w:widowControl/>
              <w:shd w:val="clear"/>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评价要点：</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①预算资金分配依据是否充分；</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②资金分配额度是否合理，与项目单位或地方实际是否相适应。</w:t>
            </w:r>
          </w:p>
        </w:tc>
        <w:tc>
          <w:tcPr>
            <w:tcW w:w="1300" w:type="dxa"/>
            <w:shd w:val="clear" w:color="auto" w:fill="auto"/>
            <w:vAlign w:val="center"/>
          </w:tcPr>
          <w:p>
            <w:pPr>
              <w:widowControl/>
              <w:shd w:val="clear"/>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4</w:t>
            </w:r>
          </w:p>
        </w:tc>
        <w:tc>
          <w:tcPr>
            <w:tcW w:w="1363" w:type="dxa"/>
            <w:shd w:val="clear" w:color="auto" w:fill="auto"/>
            <w:vAlign w:val="center"/>
          </w:tcPr>
          <w:p>
            <w:pPr>
              <w:widowControl/>
              <w:shd w:val="clear"/>
              <w:spacing w:line="0" w:lineRule="atLeast"/>
              <w:jc w:val="center"/>
              <w:rPr>
                <w:rFonts w:hint="default" w:ascii="Times New Roman" w:hAnsi="Times New Roman" w:eastAsia="宋体" w:cs="Times New Roman"/>
                <w:b/>
                <w:bCs/>
                <w:color w:val="000000"/>
                <w:kern w:val="0"/>
                <w:sz w:val="22"/>
                <w:szCs w:val="22"/>
                <w:highlight w:val="none"/>
                <w:lang w:eastAsia="zh-CN"/>
              </w:rPr>
            </w:pPr>
            <w:r>
              <w:rPr>
                <w:rFonts w:hint="default" w:ascii="Times New Roman" w:hAnsi="Times New Roman"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832" w:type="dxa"/>
            <w:vMerge w:val="restart"/>
            <w:shd w:val="clear" w:color="auto" w:fill="auto"/>
            <w:vAlign w:val="center"/>
          </w:tcPr>
          <w:p>
            <w:pPr>
              <w:shd w:val="clear"/>
              <w:spacing w:line="0" w:lineRule="atLeast"/>
              <w:jc w:val="center"/>
              <w:rPr>
                <w:rFonts w:hint="default" w:ascii="Times New Roman" w:hAnsi="Times New Roman" w:cs="Times New Roman"/>
                <w:color w:val="000000"/>
                <w:kern w:val="0"/>
                <w:sz w:val="22"/>
                <w:szCs w:val="22"/>
                <w:highlight w:val="none"/>
              </w:rPr>
            </w:pPr>
          </w:p>
          <w:p>
            <w:pPr>
              <w:shd w:val="clear"/>
              <w:spacing w:line="0" w:lineRule="atLeast"/>
              <w:jc w:val="center"/>
              <w:rPr>
                <w:rFonts w:hint="default" w:ascii="Times New Roman" w:hAnsi="Times New Roman" w:cs="Times New Roman"/>
                <w:color w:val="000000"/>
                <w:kern w:val="0"/>
                <w:sz w:val="22"/>
                <w:szCs w:val="22"/>
                <w:highlight w:val="none"/>
              </w:rPr>
            </w:pPr>
          </w:p>
          <w:p>
            <w:pPr>
              <w:shd w:val="clear"/>
              <w:spacing w:line="0" w:lineRule="atLeast"/>
              <w:jc w:val="center"/>
              <w:rPr>
                <w:rFonts w:hint="default" w:ascii="Times New Roman" w:hAnsi="Times New Roman" w:cs="Times New Roman"/>
                <w:color w:val="000000"/>
                <w:kern w:val="0"/>
                <w:sz w:val="22"/>
                <w:szCs w:val="22"/>
                <w:highlight w:val="none"/>
              </w:rPr>
            </w:pPr>
          </w:p>
          <w:p>
            <w:pPr>
              <w:shd w:val="clear"/>
              <w:spacing w:line="0" w:lineRule="atLeast"/>
              <w:jc w:val="center"/>
              <w:rPr>
                <w:rFonts w:hint="default" w:ascii="Times New Roman" w:hAnsi="Times New Roman" w:cs="Times New Roman"/>
                <w:color w:val="000000"/>
                <w:kern w:val="0"/>
                <w:sz w:val="22"/>
                <w:szCs w:val="22"/>
                <w:highlight w:val="none"/>
              </w:rPr>
            </w:pPr>
          </w:p>
          <w:p>
            <w:pPr>
              <w:shd w:val="clear"/>
              <w:spacing w:line="0" w:lineRule="atLeast"/>
              <w:jc w:val="center"/>
              <w:rPr>
                <w:rFonts w:hint="default" w:ascii="Times New Roman" w:hAnsi="Times New Roman" w:cs="Times New Roman"/>
                <w:color w:val="000000"/>
                <w:kern w:val="0"/>
                <w:sz w:val="22"/>
                <w:szCs w:val="22"/>
                <w:highlight w:val="none"/>
              </w:rPr>
            </w:pPr>
          </w:p>
          <w:p>
            <w:pPr>
              <w:shd w:val="clear"/>
              <w:spacing w:line="0" w:lineRule="atLeast"/>
              <w:jc w:val="center"/>
              <w:rPr>
                <w:rFonts w:hint="default" w:ascii="Times New Roman" w:hAnsi="Times New Roman" w:cs="Times New Roman"/>
                <w:color w:val="000000"/>
                <w:kern w:val="0"/>
                <w:sz w:val="22"/>
                <w:szCs w:val="22"/>
                <w:highlight w:val="none"/>
              </w:rPr>
            </w:pPr>
          </w:p>
          <w:p>
            <w:pPr>
              <w:shd w:val="clear"/>
              <w:spacing w:line="0" w:lineRule="atLeast"/>
              <w:jc w:val="center"/>
              <w:rPr>
                <w:rFonts w:hint="default" w:ascii="Times New Roman" w:hAnsi="Times New Roman" w:cs="Times New Roman"/>
                <w:color w:val="000000"/>
                <w:kern w:val="0"/>
                <w:sz w:val="22"/>
                <w:szCs w:val="22"/>
                <w:highlight w:val="none"/>
              </w:rPr>
            </w:pPr>
          </w:p>
          <w:p>
            <w:pPr>
              <w:shd w:val="clear"/>
              <w:spacing w:line="0" w:lineRule="atLeast"/>
              <w:jc w:val="center"/>
              <w:rPr>
                <w:rFonts w:hint="default" w:ascii="Times New Roman" w:hAnsi="Times New Roman" w:cs="Times New Roman"/>
                <w:color w:val="000000"/>
                <w:kern w:val="0"/>
                <w:sz w:val="22"/>
                <w:szCs w:val="22"/>
                <w:highlight w:val="none"/>
              </w:rPr>
            </w:pPr>
          </w:p>
          <w:p>
            <w:pPr>
              <w:shd w:val="clear"/>
              <w:spacing w:line="0" w:lineRule="atLeast"/>
              <w:jc w:val="center"/>
              <w:rPr>
                <w:rFonts w:hint="default" w:ascii="Times New Roman" w:hAnsi="Times New Roman" w:cs="Times New Roman"/>
                <w:color w:val="000000"/>
                <w:kern w:val="0"/>
                <w:sz w:val="22"/>
                <w:szCs w:val="22"/>
                <w:highlight w:val="none"/>
              </w:rPr>
            </w:pPr>
          </w:p>
          <w:p>
            <w:pPr>
              <w:shd w:val="clear"/>
              <w:spacing w:line="0" w:lineRule="atLeast"/>
              <w:jc w:val="center"/>
              <w:rPr>
                <w:rFonts w:hint="default" w:ascii="Times New Roman" w:hAnsi="Times New Roman" w:cs="Times New Roman"/>
                <w:color w:val="000000"/>
                <w:kern w:val="0"/>
                <w:sz w:val="22"/>
                <w:szCs w:val="22"/>
                <w:highlight w:val="none"/>
              </w:rPr>
            </w:pPr>
          </w:p>
          <w:p>
            <w:pPr>
              <w:shd w:val="clear"/>
              <w:spacing w:line="0" w:lineRule="atLeast"/>
              <w:jc w:val="center"/>
              <w:rPr>
                <w:rFonts w:hint="default" w:ascii="Times New Roman" w:hAnsi="Times New Roman" w:cs="Times New Roman"/>
                <w:color w:val="000000"/>
                <w:kern w:val="0"/>
                <w:sz w:val="22"/>
                <w:szCs w:val="22"/>
                <w:highlight w:val="none"/>
              </w:rPr>
            </w:pPr>
          </w:p>
          <w:p>
            <w:pPr>
              <w:shd w:val="clear"/>
              <w:spacing w:line="0" w:lineRule="atLeast"/>
              <w:jc w:val="center"/>
              <w:rPr>
                <w:rFonts w:hint="default" w:ascii="Times New Roman" w:hAnsi="Times New Roman" w:cs="Times New Roman"/>
                <w:color w:val="000000"/>
                <w:kern w:val="0"/>
                <w:sz w:val="22"/>
                <w:szCs w:val="22"/>
                <w:highlight w:val="none"/>
              </w:rPr>
            </w:pPr>
          </w:p>
          <w:p>
            <w:pPr>
              <w:shd w:val="clear"/>
              <w:spacing w:line="0" w:lineRule="atLeast"/>
              <w:jc w:val="center"/>
              <w:rPr>
                <w:rFonts w:hint="default" w:ascii="Times New Roman" w:hAnsi="Times New Roman" w:cs="Times New Roman"/>
                <w:color w:val="000000"/>
                <w:kern w:val="0"/>
                <w:sz w:val="22"/>
                <w:szCs w:val="22"/>
                <w:highlight w:val="none"/>
              </w:rPr>
            </w:pPr>
          </w:p>
          <w:p>
            <w:pPr>
              <w:shd w:val="clear"/>
              <w:spacing w:line="0" w:lineRule="atLeast"/>
              <w:jc w:val="center"/>
              <w:rPr>
                <w:rFonts w:hint="default" w:ascii="Times New Roman" w:hAnsi="Times New Roman" w:cs="Times New Roman"/>
                <w:color w:val="000000"/>
                <w:kern w:val="0"/>
                <w:sz w:val="22"/>
                <w:szCs w:val="22"/>
                <w:highlight w:val="none"/>
              </w:rPr>
            </w:pPr>
          </w:p>
          <w:p>
            <w:pPr>
              <w:shd w:val="clear"/>
              <w:spacing w:line="0" w:lineRule="atLeast"/>
              <w:jc w:val="center"/>
              <w:rPr>
                <w:rFonts w:hint="default" w:ascii="Times New Roman" w:hAnsi="Times New Roman" w:cs="Times New Roman"/>
                <w:color w:val="000000"/>
                <w:kern w:val="0"/>
                <w:sz w:val="22"/>
                <w:szCs w:val="22"/>
                <w:highlight w:val="none"/>
              </w:rPr>
            </w:pPr>
          </w:p>
          <w:p>
            <w:pPr>
              <w:shd w:val="clear"/>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过程</w:t>
            </w:r>
          </w:p>
          <w:p>
            <w:pPr>
              <w:widowControl/>
              <w:shd w:val="clear"/>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　　</w:t>
            </w:r>
          </w:p>
        </w:tc>
        <w:tc>
          <w:tcPr>
            <w:tcW w:w="764" w:type="dxa"/>
            <w:vMerge w:val="restart"/>
            <w:shd w:val="clear" w:color="auto" w:fill="auto"/>
            <w:vAlign w:val="center"/>
          </w:tcPr>
          <w:p>
            <w:pPr>
              <w:widowControl/>
              <w:shd w:val="clear"/>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资金管理</w:t>
            </w:r>
          </w:p>
        </w:tc>
        <w:tc>
          <w:tcPr>
            <w:tcW w:w="873" w:type="dxa"/>
            <w:shd w:val="clear" w:color="auto" w:fill="auto"/>
            <w:vAlign w:val="center"/>
          </w:tcPr>
          <w:p>
            <w:pPr>
              <w:widowControl/>
              <w:shd w:val="clear"/>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资金到位率</w:t>
            </w:r>
          </w:p>
        </w:tc>
        <w:tc>
          <w:tcPr>
            <w:tcW w:w="2353" w:type="dxa"/>
            <w:shd w:val="clear" w:color="auto" w:fill="auto"/>
            <w:vAlign w:val="center"/>
          </w:tcPr>
          <w:p>
            <w:pPr>
              <w:widowControl/>
              <w:shd w:val="clear"/>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实际到位资金与预算资金的比率，用以反映和考核资金落实情况对项目实施的总体保障程度。</w:t>
            </w:r>
          </w:p>
        </w:tc>
        <w:tc>
          <w:tcPr>
            <w:tcW w:w="5198" w:type="dxa"/>
            <w:shd w:val="clear" w:color="auto" w:fill="auto"/>
            <w:vAlign w:val="center"/>
          </w:tcPr>
          <w:p>
            <w:pPr>
              <w:widowControl/>
              <w:shd w:val="clear"/>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资金到位率=（实际到位资金/预算资金）×100%。</w:t>
            </w:r>
          </w:p>
          <w:p>
            <w:pPr>
              <w:widowControl/>
              <w:shd w:val="clear"/>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实际到位资金：一定时期（本年度或项目期）内落实到具体项目的资金。</w:t>
            </w:r>
          </w:p>
          <w:p>
            <w:pPr>
              <w:widowControl/>
              <w:shd w:val="clear"/>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预算资金：一定时期（本年度或项目期）内预算安排到具体项目的资金。</w:t>
            </w:r>
          </w:p>
        </w:tc>
        <w:tc>
          <w:tcPr>
            <w:tcW w:w="1300" w:type="dxa"/>
            <w:shd w:val="clear" w:color="auto" w:fill="auto"/>
            <w:vAlign w:val="center"/>
          </w:tcPr>
          <w:p>
            <w:pPr>
              <w:widowControl/>
              <w:shd w:val="clear"/>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4</w:t>
            </w:r>
          </w:p>
        </w:tc>
        <w:tc>
          <w:tcPr>
            <w:tcW w:w="1363" w:type="dxa"/>
            <w:shd w:val="clear" w:color="auto" w:fill="auto"/>
            <w:vAlign w:val="center"/>
          </w:tcPr>
          <w:p>
            <w:pPr>
              <w:widowControl/>
              <w:shd w:val="clear"/>
              <w:spacing w:line="0" w:lineRule="atLeast"/>
              <w:jc w:val="center"/>
              <w:rPr>
                <w:rFonts w:hint="default" w:ascii="Times New Roman" w:hAnsi="Times New Roman" w:eastAsia="宋体" w:cs="Times New Roman"/>
                <w:b/>
                <w:bCs/>
                <w:color w:val="000000"/>
                <w:kern w:val="0"/>
                <w:sz w:val="22"/>
                <w:szCs w:val="22"/>
                <w:highlight w:val="none"/>
                <w:lang w:eastAsia="zh-CN"/>
              </w:rPr>
            </w:pPr>
            <w:r>
              <w:rPr>
                <w:rFonts w:hint="default" w:ascii="Times New Roman" w:hAnsi="Times New Roman"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832" w:type="dxa"/>
            <w:vMerge w:val="continue"/>
            <w:shd w:val="clear" w:color="auto" w:fill="auto"/>
            <w:vAlign w:val="center"/>
          </w:tcPr>
          <w:p>
            <w:pPr>
              <w:shd w:val="clear"/>
              <w:spacing w:line="0" w:lineRule="atLeast"/>
              <w:jc w:val="center"/>
              <w:rPr>
                <w:rFonts w:hint="default" w:ascii="Times New Roman" w:hAnsi="Times New Roman" w:cs="Times New Roman"/>
                <w:color w:val="000000"/>
                <w:kern w:val="0"/>
                <w:sz w:val="22"/>
                <w:szCs w:val="22"/>
                <w:highlight w:val="none"/>
              </w:rPr>
            </w:pPr>
          </w:p>
        </w:tc>
        <w:tc>
          <w:tcPr>
            <w:tcW w:w="764" w:type="dxa"/>
            <w:vMerge w:val="continue"/>
            <w:shd w:val="clear" w:color="auto" w:fill="auto"/>
            <w:vAlign w:val="center"/>
          </w:tcPr>
          <w:p>
            <w:pPr>
              <w:shd w:val="clear"/>
              <w:spacing w:line="0" w:lineRule="atLeast"/>
              <w:jc w:val="center"/>
              <w:rPr>
                <w:rFonts w:hint="default" w:ascii="Times New Roman" w:hAnsi="Times New Roman" w:cs="Times New Roman"/>
                <w:color w:val="000000"/>
                <w:kern w:val="0"/>
                <w:sz w:val="22"/>
                <w:szCs w:val="22"/>
                <w:highlight w:val="none"/>
              </w:rPr>
            </w:pPr>
          </w:p>
        </w:tc>
        <w:tc>
          <w:tcPr>
            <w:tcW w:w="873" w:type="dxa"/>
            <w:shd w:val="clear" w:color="auto" w:fill="auto"/>
            <w:vAlign w:val="center"/>
          </w:tcPr>
          <w:p>
            <w:pPr>
              <w:widowControl/>
              <w:shd w:val="clear"/>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预算执行率</w:t>
            </w:r>
          </w:p>
        </w:tc>
        <w:tc>
          <w:tcPr>
            <w:tcW w:w="2353" w:type="dxa"/>
            <w:shd w:val="clear" w:color="auto" w:fill="auto"/>
            <w:vAlign w:val="center"/>
          </w:tcPr>
          <w:p>
            <w:pPr>
              <w:widowControl/>
              <w:shd w:val="clear"/>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项目预算资金是否按照计划执行，用以反映或考核项目预算执行情况。</w:t>
            </w:r>
          </w:p>
        </w:tc>
        <w:tc>
          <w:tcPr>
            <w:tcW w:w="5198" w:type="dxa"/>
            <w:shd w:val="clear" w:color="auto" w:fill="auto"/>
            <w:vAlign w:val="center"/>
          </w:tcPr>
          <w:p>
            <w:pPr>
              <w:widowControl/>
              <w:shd w:val="clear"/>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预算执行率=（实际支出资金/实际到位资金）×100%。</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实际支出资金：一定时期（本年度或项目期）内项目实际拨付的资金。</w:t>
            </w:r>
          </w:p>
        </w:tc>
        <w:tc>
          <w:tcPr>
            <w:tcW w:w="1300" w:type="dxa"/>
            <w:shd w:val="clear" w:color="auto" w:fill="auto"/>
            <w:vAlign w:val="center"/>
          </w:tcPr>
          <w:p>
            <w:pPr>
              <w:widowControl/>
              <w:shd w:val="clear"/>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4</w:t>
            </w:r>
          </w:p>
        </w:tc>
        <w:tc>
          <w:tcPr>
            <w:tcW w:w="1363" w:type="dxa"/>
            <w:shd w:val="clear" w:color="auto" w:fill="auto"/>
            <w:vAlign w:val="center"/>
          </w:tcPr>
          <w:p>
            <w:pPr>
              <w:widowControl/>
              <w:shd w:val="clear"/>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3.54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2" w:type="dxa"/>
            <w:vMerge w:val="continue"/>
            <w:shd w:val="clear" w:color="auto" w:fill="auto"/>
            <w:vAlign w:val="center"/>
          </w:tcPr>
          <w:p>
            <w:pPr>
              <w:shd w:val="clear"/>
              <w:spacing w:line="0" w:lineRule="atLeast"/>
              <w:jc w:val="center"/>
              <w:rPr>
                <w:rFonts w:hint="default" w:ascii="Times New Roman" w:hAnsi="Times New Roman" w:cs="Times New Roman"/>
                <w:color w:val="000000"/>
                <w:kern w:val="0"/>
                <w:sz w:val="22"/>
                <w:szCs w:val="22"/>
                <w:highlight w:val="none"/>
              </w:rPr>
            </w:pPr>
          </w:p>
        </w:tc>
        <w:tc>
          <w:tcPr>
            <w:tcW w:w="764" w:type="dxa"/>
            <w:shd w:val="clear" w:color="auto" w:fill="auto"/>
            <w:vAlign w:val="center"/>
          </w:tcPr>
          <w:p>
            <w:pPr>
              <w:widowControl/>
              <w:shd w:val="clear"/>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资金管理</w:t>
            </w:r>
          </w:p>
        </w:tc>
        <w:tc>
          <w:tcPr>
            <w:tcW w:w="873" w:type="dxa"/>
            <w:shd w:val="clear" w:color="auto" w:fill="auto"/>
            <w:vAlign w:val="center"/>
          </w:tcPr>
          <w:p>
            <w:pPr>
              <w:widowControl/>
              <w:shd w:val="clear"/>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资金使用</w:t>
            </w:r>
          </w:p>
          <w:p>
            <w:pPr>
              <w:widowControl/>
              <w:shd w:val="clear"/>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合规性</w:t>
            </w:r>
          </w:p>
        </w:tc>
        <w:tc>
          <w:tcPr>
            <w:tcW w:w="2353" w:type="dxa"/>
            <w:shd w:val="clear" w:color="auto" w:fill="auto"/>
            <w:vAlign w:val="center"/>
          </w:tcPr>
          <w:p>
            <w:pPr>
              <w:widowControl/>
              <w:shd w:val="clear"/>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项目资金使用是否符合相关的财务管理制度规定，用以反映和考核项目资金的规范运行情况。</w:t>
            </w:r>
          </w:p>
        </w:tc>
        <w:tc>
          <w:tcPr>
            <w:tcW w:w="5198" w:type="dxa"/>
            <w:shd w:val="clear" w:color="auto" w:fill="auto"/>
            <w:vAlign w:val="center"/>
          </w:tcPr>
          <w:p>
            <w:pPr>
              <w:widowControl/>
              <w:shd w:val="clear"/>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评价要点：</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①是否符合国家财经法规和财务管理制度以及有关专项资金管理办法的规定；</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②资金的拨付是否有完整的审批程序和手续；</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③是否符合项目预算批复或合同规定的用途；</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④是否存在截留、挤占、挪用、虚列支出等情况。</w:t>
            </w:r>
          </w:p>
        </w:tc>
        <w:tc>
          <w:tcPr>
            <w:tcW w:w="1300" w:type="dxa"/>
            <w:shd w:val="clear" w:color="auto" w:fill="auto"/>
            <w:vAlign w:val="center"/>
          </w:tcPr>
          <w:p>
            <w:pPr>
              <w:widowControl/>
              <w:shd w:val="clear"/>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4</w:t>
            </w:r>
          </w:p>
        </w:tc>
        <w:tc>
          <w:tcPr>
            <w:tcW w:w="1363" w:type="dxa"/>
            <w:shd w:val="clear" w:color="auto" w:fill="auto"/>
            <w:vAlign w:val="center"/>
          </w:tcPr>
          <w:p>
            <w:pPr>
              <w:widowControl/>
              <w:shd w:val="clear"/>
              <w:spacing w:line="0" w:lineRule="atLeast"/>
              <w:jc w:val="center"/>
              <w:rPr>
                <w:rFonts w:hint="default" w:ascii="Times New Roman" w:hAnsi="Times New Roman" w:eastAsia="宋体" w:cs="Times New Roman"/>
                <w:b/>
                <w:bCs/>
                <w:color w:val="000000"/>
                <w:kern w:val="0"/>
                <w:sz w:val="22"/>
                <w:szCs w:val="22"/>
                <w:highlight w:val="none"/>
                <w:lang w:eastAsia="zh-CN"/>
              </w:rPr>
            </w:pPr>
            <w:r>
              <w:rPr>
                <w:rFonts w:hint="default" w:ascii="Times New Roman" w:hAnsi="Times New Roman"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832" w:type="dxa"/>
            <w:vMerge w:val="continue"/>
            <w:shd w:val="clear" w:color="auto" w:fill="auto"/>
            <w:vAlign w:val="center"/>
          </w:tcPr>
          <w:p>
            <w:pPr>
              <w:shd w:val="clear"/>
              <w:spacing w:line="0" w:lineRule="atLeast"/>
              <w:jc w:val="center"/>
              <w:rPr>
                <w:rFonts w:hint="default" w:ascii="Times New Roman" w:hAnsi="Times New Roman" w:cs="Times New Roman"/>
                <w:color w:val="000000"/>
                <w:kern w:val="0"/>
                <w:sz w:val="22"/>
                <w:szCs w:val="22"/>
                <w:highlight w:val="none"/>
              </w:rPr>
            </w:pPr>
          </w:p>
        </w:tc>
        <w:tc>
          <w:tcPr>
            <w:tcW w:w="764" w:type="dxa"/>
            <w:vMerge w:val="restart"/>
            <w:shd w:val="clear" w:color="auto" w:fill="auto"/>
            <w:vAlign w:val="center"/>
          </w:tcPr>
          <w:p>
            <w:pPr>
              <w:widowControl/>
              <w:shd w:val="clear"/>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组织实施</w:t>
            </w:r>
          </w:p>
          <w:p>
            <w:pPr>
              <w:shd w:val="clear"/>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　</w:t>
            </w:r>
          </w:p>
        </w:tc>
        <w:tc>
          <w:tcPr>
            <w:tcW w:w="873" w:type="dxa"/>
            <w:shd w:val="clear" w:color="auto" w:fill="auto"/>
            <w:vAlign w:val="center"/>
          </w:tcPr>
          <w:p>
            <w:pPr>
              <w:widowControl/>
              <w:shd w:val="clear"/>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管理制度</w:t>
            </w:r>
          </w:p>
          <w:p>
            <w:pPr>
              <w:widowControl/>
              <w:shd w:val="clear"/>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健全性</w:t>
            </w:r>
          </w:p>
        </w:tc>
        <w:tc>
          <w:tcPr>
            <w:tcW w:w="2353" w:type="dxa"/>
            <w:shd w:val="clear" w:color="auto" w:fill="auto"/>
            <w:vAlign w:val="center"/>
          </w:tcPr>
          <w:p>
            <w:pPr>
              <w:widowControl/>
              <w:shd w:val="clear"/>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项目实施单位的财务和业务管理制度是否健全，用以反映和考核财务和业务管理制度对项目顺利实施的保障情况。</w:t>
            </w:r>
          </w:p>
        </w:tc>
        <w:tc>
          <w:tcPr>
            <w:tcW w:w="5198" w:type="dxa"/>
            <w:shd w:val="clear" w:color="auto" w:fill="auto"/>
            <w:vAlign w:val="center"/>
          </w:tcPr>
          <w:p>
            <w:pPr>
              <w:widowControl/>
              <w:shd w:val="clear"/>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评价要点：</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①是否已制定或具有相应的财务和业务管理制度；</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②财务和业务管理制度是否合法、合规、完整。</w:t>
            </w:r>
          </w:p>
        </w:tc>
        <w:tc>
          <w:tcPr>
            <w:tcW w:w="1300" w:type="dxa"/>
            <w:shd w:val="clear" w:color="auto" w:fill="auto"/>
            <w:vAlign w:val="center"/>
          </w:tcPr>
          <w:p>
            <w:pPr>
              <w:widowControl/>
              <w:shd w:val="clear"/>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4</w:t>
            </w:r>
          </w:p>
        </w:tc>
        <w:tc>
          <w:tcPr>
            <w:tcW w:w="1363" w:type="dxa"/>
            <w:shd w:val="clear" w:color="auto" w:fill="auto"/>
            <w:vAlign w:val="center"/>
          </w:tcPr>
          <w:p>
            <w:pPr>
              <w:widowControl/>
              <w:shd w:val="clear"/>
              <w:spacing w:line="0" w:lineRule="atLeast"/>
              <w:jc w:val="center"/>
              <w:rPr>
                <w:rFonts w:hint="default" w:ascii="Times New Roman" w:hAnsi="Times New Roman" w:eastAsia="宋体" w:cs="Times New Roman"/>
                <w:b/>
                <w:bCs/>
                <w:color w:val="000000"/>
                <w:kern w:val="0"/>
                <w:sz w:val="22"/>
                <w:szCs w:val="22"/>
                <w:highlight w:val="none"/>
                <w:lang w:eastAsia="zh-CN"/>
              </w:rPr>
            </w:pPr>
            <w:r>
              <w:rPr>
                <w:rFonts w:hint="default" w:ascii="Times New Roman" w:hAnsi="Times New Roman"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832" w:type="dxa"/>
            <w:vMerge w:val="continue"/>
            <w:shd w:val="clear" w:color="auto" w:fill="auto"/>
            <w:vAlign w:val="center"/>
          </w:tcPr>
          <w:p>
            <w:pPr>
              <w:widowControl/>
              <w:shd w:val="clear"/>
              <w:spacing w:line="0" w:lineRule="atLeast"/>
              <w:jc w:val="center"/>
              <w:rPr>
                <w:rFonts w:hint="default" w:ascii="Times New Roman" w:hAnsi="Times New Roman" w:cs="Times New Roman"/>
                <w:color w:val="000000"/>
                <w:kern w:val="0"/>
                <w:sz w:val="22"/>
                <w:szCs w:val="22"/>
                <w:highlight w:val="none"/>
              </w:rPr>
            </w:pPr>
          </w:p>
        </w:tc>
        <w:tc>
          <w:tcPr>
            <w:tcW w:w="764" w:type="dxa"/>
            <w:vMerge w:val="continue"/>
            <w:shd w:val="clear" w:color="auto" w:fill="auto"/>
            <w:vAlign w:val="center"/>
          </w:tcPr>
          <w:p>
            <w:pPr>
              <w:widowControl/>
              <w:shd w:val="clear"/>
              <w:spacing w:line="0" w:lineRule="atLeast"/>
              <w:jc w:val="center"/>
              <w:rPr>
                <w:rFonts w:hint="default" w:ascii="Times New Roman" w:hAnsi="Times New Roman" w:cs="Times New Roman"/>
                <w:color w:val="000000"/>
                <w:kern w:val="0"/>
                <w:sz w:val="22"/>
                <w:szCs w:val="22"/>
                <w:highlight w:val="none"/>
              </w:rPr>
            </w:pPr>
          </w:p>
        </w:tc>
        <w:tc>
          <w:tcPr>
            <w:tcW w:w="873" w:type="dxa"/>
            <w:shd w:val="clear" w:color="auto" w:fill="auto"/>
            <w:vAlign w:val="center"/>
          </w:tcPr>
          <w:p>
            <w:pPr>
              <w:widowControl/>
              <w:shd w:val="clear"/>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制度执行</w:t>
            </w:r>
          </w:p>
          <w:p>
            <w:pPr>
              <w:widowControl/>
              <w:shd w:val="clear"/>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有效性</w:t>
            </w:r>
          </w:p>
        </w:tc>
        <w:tc>
          <w:tcPr>
            <w:tcW w:w="2353" w:type="dxa"/>
            <w:shd w:val="clear" w:color="auto" w:fill="auto"/>
            <w:vAlign w:val="center"/>
          </w:tcPr>
          <w:p>
            <w:pPr>
              <w:widowControl/>
              <w:shd w:val="clear"/>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项目实施是否符合相关管理规定，用以反映和考核相关管理制度的有效执行情况。</w:t>
            </w:r>
          </w:p>
        </w:tc>
        <w:tc>
          <w:tcPr>
            <w:tcW w:w="5198" w:type="dxa"/>
            <w:shd w:val="clear" w:color="auto" w:fill="auto"/>
            <w:vAlign w:val="center"/>
          </w:tcPr>
          <w:p>
            <w:pPr>
              <w:widowControl/>
              <w:shd w:val="clear"/>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评价要点：</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①是否遵守相关法律法规和相关管理规定；</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②项目调整及支出调整手续是否完备；</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③项目合同书、验收报告、技术鉴定等资料是否齐全并及时归档；</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④项目实施的人员条件、场地设备、信息支撑等是否落实到位。</w:t>
            </w:r>
          </w:p>
        </w:tc>
        <w:tc>
          <w:tcPr>
            <w:tcW w:w="1300" w:type="dxa"/>
            <w:shd w:val="clear" w:color="auto" w:fill="auto"/>
            <w:vAlign w:val="center"/>
          </w:tcPr>
          <w:p>
            <w:pPr>
              <w:widowControl/>
              <w:shd w:val="clear"/>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4</w:t>
            </w:r>
          </w:p>
        </w:tc>
        <w:tc>
          <w:tcPr>
            <w:tcW w:w="1363" w:type="dxa"/>
            <w:shd w:val="clear" w:color="auto" w:fill="auto"/>
            <w:vAlign w:val="center"/>
          </w:tcPr>
          <w:p>
            <w:pPr>
              <w:widowControl/>
              <w:shd w:val="clear"/>
              <w:spacing w:line="0" w:lineRule="atLeast"/>
              <w:jc w:val="center"/>
              <w:rPr>
                <w:rFonts w:hint="default" w:ascii="Times New Roman" w:hAnsi="Times New Roman" w:eastAsia="宋体" w:cs="Times New Roman"/>
                <w:b/>
                <w:bCs/>
                <w:color w:val="000000"/>
                <w:kern w:val="0"/>
                <w:sz w:val="22"/>
                <w:szCs w:val="22"/>
                <w:highlight w:val="none"/>
                <w:lang w:eastAsia="zh-CN"/>
              </w:rPr>
            </w:pPr>
            <w:r>
              <w:rPr>
                <w:rFonts w:hint="default" w:ascii="Times New Roman" w:hAnsi="Times New Roman" w:cs="Times New Roman"/>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32" w:type="dxa"/>
            <w:vMerge w:val="restart"/>
            <w:shd w:val="clear" w:color="auto" w:fill="auto"/>
            <w:vAlign w:val="center"/>
          </w:tcPr>
          <w:p>
            <w:pPr>
              <w:widowControl/>
              <w:shd w:val="clear"/>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产出</w:t>
            </w:r>
          </w:p>
        </w:tc>
        <w:tc>
          <w:tcPr>
            <w:tcW w:w="764" w:type="dxa"/>
            <w:shd w:val="clear" w:color="auto" w:fill="auto"/>
            <w:vAlign w:val="center"/>
          </w:tcPr>
          <w:p>
            <w:pPr>
              <w:widowControl/>
              <w:shd w:val="clear"/>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产出数量</w:t>
            </w:r>
          </w:p>
        </w:tc>
        <w:tc>
          <w:tcPr>
            <w:tcW w:w="873" w:type="dxa"/>
            <w:shd w:val="clear" w:color="auto" w:fill="auto"/>
            <w:vAlign w:val="center"/>
          </w:tcPr>
          <w:p>
            <w:pPr>
              <w:widowControl/>
              <w:shd w:val="clear"/>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实际完成率</w:t>
            </w:r>
          </w:p>
        </w:tc>
        <w:tc>
          <w:tcPr>
            <w:tcW w:w="2353" w:type="dxa"/>
            <w:shd w:val="clear" w:color="auto" w:fill="auto"/>
            <w:vAlign w:val="center"/>
          </w:tcPr>
          <w:p>
            <w:pPr>
              <w:widowControl/>
              <w:shd w:val="clear"/>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项目实施的实际产出数与计划产出数的比率，用以反映和考核项目产出数量目标的实现程度。</w:t>
            </w:r>
          </w:p>
        </w:tc>
        <w:tc>
          <w:tcPr>
            <w:tcW w:w="5198" w:type="dxa"/>
            <w:shd w:val="clear" w:color="auto" w:fill="auto"/>
            <w:vAlign w:val="center"/>
          </w:tcPr>
          <w:p>
            <w:pPr>
              <w:widowControl/>
              <w:shd w:val="clear"/>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实际完成率=（实际产出数/计划产出数）×100%。</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实际产出数：一定时期（本年度或项目期）内项目实际产出的产品或提供的服务数量。</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计划产出数：项目绩效目标确定的在一定时期（本年度或项目期）内计划产出的产品或提供的服务数量。</w:t>
            </w:r>
          </w:p>
        </w:tc>
        <w:tc>
          <w:tcPr>
            <w:tcW w:w="1300" w:type="dxa"/>
            <w:shd w:val="clear" w:color="auto" w:fill="auto"/>
            <w:vAlign w:val="center"/>
          </w:tcPr>
          <w:p>
            <w:pPr>
              <w:widowControl/>
              <w:shd w:val="clear"/>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10</w:t>
            </w:r>
          </w:p>
        </w:tc>
        <w:tc>
          <w:tcPr>
            <w:tcW w:w="1363" w:type="dxa"/>
            <w:shd w:val="clear" w:color="auto" w:fill="auto"/>
            <w:vAlign w:val="center"/>
          </w:tcPr>
          <w:p>
            <w:pPr>
              <w:widowControl/>
              <w:shd w:val="clear"/>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832" w:type="dxa"/>
            <w:vMerge w:val="continue"/>
            <w:shd w:val="clear" w:color="auto" w:fill="auto"/>
            <w:vAlign w:val="center"/>
          </w:tcPr>
          <w:p>
            <w:pPr>
              <w:widowControl/>
              <w:shd w:val="clear"/>
              <w:spacing w:line="0" w:lineRule="atLeast"/>
              <w:jc w:val="center"/>
              <w:rPr>
                <w:rFonts w:hint="default" w:ascii="Times New Roman" w:hAnsi="Times New Roman" w:cs="Times New Roman"/>
                <w:color w:val="000000"/>
                <w:kern w:val="0"/>
                <w:sz w:val="22"/>
                <w:szCs w:val="22"/>
                <w:highlight w:val="none"/>
              </w:rPr>
            </w:pPr>
          </w:p>
        </w:tc>
        <w:tc>
          <w:tcPr>
            <w:tcW w:w="764" w:type="dxa"/>
            <w:shd w:val="clear" w:color="auto" w:fill="auto"/>
            <w:vAlign w:val="center"/>
          </w:tcPr>
          <w:p>
            <w:pPr>
              <w:widowControl/>
              <w:shd w:val="clear"/>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产出质量</w:t>
            </w:r>
          </w:p>
        </w:tc>
        <w:tc>
          <w:tcPr>
            <w:tcW w:w="873" w:type="dxa"/>
            <w:shd w:val="clear" w:color="auto" w:fill="auto"/>
            <w:vAlign w:val="center"/>
          </w:tcPr>
          <w:p>
            <w:pPr>
              <w:widowControl/>
              <w:shd w:val="clear"/>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质量达标率</w:t>
            </w:r>
          </w:p>
        </w:tc>
        <w:tc>
          <w:tcPr>
            <w:tcW w:w="2353" w:type="dxa"/>
            <w:shd w:val="clear" w:color="auto" w:fill="auto"/>
            <w:vAlign w:val="center"/>
          </w:tcPr>
          <w:p>
            <w:pPr>
              <w:widowControl/>
              <w:shd w:val="clear"/>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项目完成的质量达标产出数与实际产出数的比率，用以反映和考核项目产出质量目标的实现程度。</w:t>
            </w:r>
          </w:p>
        </w:tc>
        <w:tc>
          <w:tcPr>
            <w:tcW w:w="5198" w:type="dxa"/>
            <w:shd w:val="clear" w:color="auto" w:fill="auto"/>
            <w:vAlign w:val="center"/>
          </w:tcPr>
          <w:p>
            <w:pPr>
              <w:widowControl/>
              <w:shd w:val="clear"/>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质量达标率=（质量达标产出数/实际产出数）×100%。</w:t>
            </w:r>
          </w:p>
          <w:p>
            <w:pPr>
              <w:widowControl/>
              <w:shd w:val="clear"/>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auto" w:fill="auto"/>
            <w:vAlign w:val="center"/>
          </w:tcPr>
          <w:p>
            <w:pPr>
              <w:widowControl/>
              <w:shd w:val="clear"/>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10</w:t>
            </w:r>
          </w:p>
        </w:tc>
        <w:tc>
          <w:tcPr>
            <w:tcW w:w="1363" w:type="dxa"/>
            <w:shd w:val="clear" w:color="auto" w:fill="auto"/>
            <w:vAlign w:val="center"/>
          </w:tcPr>
          <w:p>
            <w:pPr>
              <w:widowControl/>
              <w:shd w:val="clear"/>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832" w:type="dxa"/>
            <w:vMerge w:val="continue"/>
            <w:shd w:val="clear" w:color="auto" w:fill="auto"/>
            <w:vAlign w:val="center"/>
          </w:tcPr>
          <w:p>
            <w:pPr>
              <w:shd w:val="clear"/>
              <w:spacing w:line="0" w:lineRule="atLeast"/>
              <w:jc w:val="center"/>
              <w:rPr>
                <w:rFonts w:hint="default" w:ascii="Times New Roman" w:hAnsi="Times New Roman" w:cs="Times New Roman"/>
                <w:color w:val="000000"/>
                <w:kern w:val="0"/>
                <w:sz w:val="22"/>
                <w:szCs w:val="22"/>
                <w:highlight w:val="none"/>
              </w:rPr>
            </w:pPr>
          </w:p>
        </w:tc>
        <w:tc>
          <w:tcPr>
            <w:tcW w:w="764" w:type="dxa"/>
            <w:shd w:val="clear" w:color="auto" w:fill="auto"/>
            <w:vAlign w:val="center"/>
          </w:tcPr>
          <w:p>
            <w:pPr>
              <w:shd w:val="clear"/>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产出时效</w:t>
            </w:r>
          </w:p>
        </w:tc>
        <w:tc>
          <w:tcPr>
            <w:tcW w:w="873" w:type="dxa"/>
            <w:shd w:val="clear" w:color="auto" w:fill="auto"/>
            <w:vAlign w:val="center"/>
          </w:tcPr>
          <w:p>
            <w:pPr>
              <w:widowControl/>
              <w:shd w:val="clear"/>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完成及时性</w:t>
            </w:r>
          </w:p>
        </w:tc>
        <w:tc>
          <w:tcPr>
            <w:tcW w:w="2353" w:type="dxa"/>
            <w:shd w:val="clear" w:color="auto" w:fill="auto"/>
            <w:vAlign w:val="center"/>
          </w:tcPr>
          <w:p>
            <w:pPr>
              <w:widowControl/>
              <w:shd w:val="clear"/>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项目实际完成时间与计划完成时间的比较，用以反映和考核项目产出时效目标的实现程度。</w:t>
            </w:r>
          </w:p>
        </w:tc>
        <w:tc>
          <w:tcPr>
            <w:tcW w:w="5198" w:type="dxa"/>
            <w:shd w:val="clear" w:color="auto" w:fill="auto"/>
            <w:vAlign w:val="center"/>
          </w:tcPr>
          <w:p>
            <w:pPr>
              <w:widowControl/>
              <w:shd w:val="clear"/>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实际完成时间：项目实施单位完成该项目实际所耗用的时间。</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计划完成时间：按照项目实施计划或相关规定完成该项目所需的时间。</w:t>
            </w:r>
          </w:p>
        </w:tc>
        <w:tc>
          <w:tcPr>
            <w:tcW w:w="1300" w:type="dxa"/>
            <w:shd w:val="clear" w:color="auto" w:fill="auto"/>
            <w:vAlign w:val="center"/>
          </w:tcPr>
          <w:p>
            <w:pPr>
              <w:widowControl/>
              <w:shd w:val="clear"/>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10</w:t>
            </w:r>
          </w:p>
        </w:tc>
        <w:tc>
          <w:tcPr>
            <w:tcW w:w="1363" w:type="dxa"/>
            <w:shd w:val="clear" w:color="auto" w:fill="auto"/>
            <w:vAlign w:val="center"/>
          </w:tcPr>
          <w:p>
            <w:pPr>
              <w:widowControl/>
              <w:shd w:val="clear"/>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8.46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2" w:type="dxa"/>
            <w:vMerge w:val="continue"/>
            <w:shd w:val="clear" w:color="auto" w:fill="auto"/>
            <w:vAlign w:val="center"/>
          </w:tcPr>
          <w:p>
            <w:pPr>
              <w:widowControl/>
              <w:shd w:val="clear"/>
              <w:spacing w:line="0" w:lineRule="atLeast"/>
              <w:jc w:val="center"/>
              <w:rPr>
                <w:rFonts w:hint="default" w:ascii="Times New Roman" w:hAnsi="Times New Roman" w:cs="Times New Roman"/>
                <w:color w:val="000000"/>
                <w:kern w:val="0"/>
                <w:sz w:val="22"/>
                <w:szCs w:val="22"/>
                <w:highlight w:val="none"/>
              </w:rPr>
            </w:pPr>
          </w:p>
        </w:tc>
        <w:tc>
          <w:tcPr>
            <w:tcW w:w="764" w:type="dxa"/>
            <w:shd w:val="clear" w:color="auto" w:fill="auto"/>
            <w:vAlign w:val="center"/>
          </w:tcPr>
          <w:p>
            <w:pPr>
              <w:widowControl/>
              <w:shd w:val="clear"/>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产出成本</w:t>
            </w:r>
          </w:p>
        </w:tc>
        <w:tc>
          <w:tcPr>
            <w:tcW w:w="873" w:type="dxa"/>
            <w:shd w:val="clear" w:color="auto" w:fill="auto"/>
            <w:vAlign w:val="center"/>
          </w:tcPr>
          <w:p>
            <w:pPr>
              <w:widowControl/>
              <w:shd w:val="clear"/>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成本节约率</w:t>
            </w:r>
          </w:p>
        </w:tc>
        <w:tc>
          <w:tcPr>
            <w:tcW w:w="2353" w:type="dxa"/>
            <w:shd w:val="clear" w:color="auto" w:fill="auto"/>
            <w:vAlign w:val="center"/>
          </w:tcPr>
          <w:p>
            <w:pPr>
              <w:widowControl/>
              <w:shd w:val="clear"/>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完成项目计划工作目标的实际节约成本与计划成本的比率，用以反映和考核项目的成本节约程度。</w:t>
            </w:r>
          </w:p>
        </w:tc>
        <w:tc>
          <w:tcPr>
            <w:tcW w:w="5198" w:type="dxa"/>
            <w:shd w:val="clear" w:color="auto" w:fill="auto"/>
            <w:vAlign w:val="center"/>
          </w:tcPr>
          <w:p>
            <w:pPr>
              <w:widowControl/>
              <w:shd w:val="clear"/>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成本节约率=[（计划成本-实际成本）/计划成本]×100%。</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实际成本：项目实施单位如期、保质、保量完成既定工作目标实际所耗费的支出。</w:t>
            </w:r>
            <w:r>
              <w:rPr>
                <w:rFonts w:hint="default" w:ascii="Times New Roman" w:hAnsi="Times New Roman" w:cs="Times New Roman"/>
                <w:color w:val="000000"/>
                <w:kern w:val="0"/>
                <w:sz w:val="22"/>
                <w:szCs w:val="22"/>
                <w:highlight w:val="none"/>
              </w:rPr>
              <w:br w:type="textWrapping"/>
            </w:r>
            <w:r>
              <w:rPr>
                <w:rFonts w:hint="default" w:ascii="Times New Roman" w:hAnsi="Times New Roman" w:cs="Times New Roman"/>
                <w:color w:val="000000"/>
                <w:kern w:val="0"/>
                <w:sz w:val="22"/>
                <w:szCs w:val="22"/>
                <w:highlight w:val="none"/>
              </w:rPr>
              <w:t>计划成本：项目实施单位为完成工作目标计划安排的支出，一般以项目预算为参考。</w:t>
            </w:r>
          </w:p>
        </w:tc>
        <w:tc>
          <w:tcPr>
            <w:tcW w:w="1300" w:type="dxa"/>
            <w:shd w:val="clear" w:color="auto" w:fill="auto"/>
            <w:vAlign w:val="center"/>
          </w:tcPr>
          <w:p>
            <w:pPr>
              <w:widowControl/>
              <w:shd w:val="clear"/>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10</w:t>
            </w:r>
          </w:p>
        </w:tc>
        <w:tc>
          <w:tcPr>
            <w:tcW w:w="1363" w:type="dxa"/>
            <w:shd w:val="clear" w:color="auto" w:fill="auto"/>
            <w:vAlign w:val="center"/>
          </w:tcPr>
          <w:p>
            <w:pPr>
              <w:widowControl/>
              <w:shd w:val="clear"/>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8.84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832" w:type="dxa"/>
            <w:vMerge w:val="restart"/>
            <w:shd w:val="clear" w:color="auto" w:fill="auto"/>
            <w:vAlign w:val="center"/>
          </w:tcPr>
          <w:p>
            <w:pPr>
              <w:widowControl/>
              <w:shd w:val="clear"/>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效益　</w:t>
            </w:r>
          </w:p>
        </w:tc>
        <w:tc>
          <w:tcPr>
            <w:tcW w:w="764" w:type="dxa"/>
            <w:vMerge w:val="restart"/>
            <w:shd w:val="clear" w:color="auto" w:fill="auto"/>
            <w:vAlign w:val="center"/>
          </w:tcPr>
          <w:p>
            <w:pPr>
              <w:widowControl/>
              <w:shd w:val="clear"/>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项目效益　</w:t>
            </w:r>
          </w:p>
        </w:tc>
        <w:tc>
          <w:tcPr>
            <w:tcW w:w="873" w:type="dxa"/>
            <w:shd w:val="clear" w:color="auto" w:fill="auto"/>
            <w:vAlign w:val="center"/>
          </w:tcPr>
          <w:p>
            <w:pPr>
              <w:widowControl/>
              <w:shd w:val="clear"/>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实施效益</w:t>
            </w:r>
          </w:p>
        </w:tc>
        <w:tc>
          <w:tcPr>
            <w:tcW w:w="2353" w:type="dxa"/>
            <w:shd w:val="clear" w:color="auto" w:fill="auto"/>
            <w:vAlign w:val="center"/>
          </w:tcPr>
          <w:p>
            <w:pPr>
              <w:widowControl/>
              <w:shd w:val="clear"/>
              <w:spacing w:line="0" w:lineRule="atLeast"/>
              <w:jc w:val="lef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项目实施所产生的效益。</w:t>
            </w:r>
          </w:p>
        </w:tc>
        <w:tc>
          <w:tcPr>
            <w:tcW w:w="5198" w:type="dxa"/>
            <w:shd w:val="clear" w:color="auto" w:fill="auto"/>
            <w:vAlign w:val="center"/>
          </w:tcPr>
          <w:p>
            <w:pPr>
              <w:widowControl/>
              <w:shd w:val="clear"/>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项目实施所产生的社会效益、经济效益、生态效益、可持续影响等。可根据项目实际情况有选择地设置和细化。</w:t>
            </w:r>
          </w:p>
        </w:tc>
        <w:tc>
          <w:tcPr>
            <w:tcW w:w="1300" w:type="dxa"/>
            <w:shd w:val="clear" w:color="auto" w:fill="auto"/>
            <w:vAlign w:val="center"/>
          </w:tcPr>
          <w:p>
            <w:pPr>
              <w:widowControl/>
              <w:shd w:val="clear"/>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10</w:t>
            </w:r>
          </w:p>
        </w:tc>
        <w:tc>
          <w:tcPr>
            <w:tcW w:w="1363" w:type="dxa"/>
            <w:shd w:val="clear" w:color="auto" w:fill="auto"/>
            <w:vAlign w:val="center"/>
          </w:tcPr>
          <w:p>
            <w:pPr>
              <w:widowControl/>
              <w:shd w:val="clear"/>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832" w:type="dxa"/>
            <w:vMerge w:val="continue"/>
            <w:shd w:val="clear" w:color="auto" w:fill="auto"/>
            <w:vAlign w:val="center"/>
          </w:tcPr>
          <w:p>
            <w:pPr>
              <w:widowControl/>
              <w:shd w:val="clear"/>
              <w:spacing w:line="0" w:lineRule="atLeast"/>
              <w:jc w:val="center"/>
              <w:rPr>
                <w:rFonts w:hint="default" w:ascii="Times New Roman" w:hAnsi="Times New Roman" w:cs="Times New Roman"/>
                <w:color w:val="000000"/>
                <w:kern w:val="0"/>
                <w:sz w:val="22"/>
                <w:szCs w:val="22"/>
                <w:highlight w:val="none"/>
              </w:rPr>
            </w:pPr>
          </w:p>
        </w:tc>
        <w:tc>
          <w:tcPr>
            <w:tcW w:w="764" w:type="dxa"/>
            <w:vMerge w:val="continue"/>
            <w:shd w:val="clear" w:color="auto" w:fill="auto"/>
            <w:vAlign w:val="center"/>
          </w:tcPr>
          <w:p>
            <w:pPr>
              <w:widowControl/>
              <w:shd w:val="clear"/>
              <w:spacing w:line="0" w:lineRule="atLeast"/>
              <w:jc w:val="center"/>
              <w:rPr>
                <w:rFonts w:hint="default" w:ascii="Times New Roman" w:hAnsi="Times New Roman" w:cs="Times New Roman"/>
                <w:color w:val="000000"/>
                <w:kern w:val="0"/>
                <w:sz w:val="22"/>
                <w:szCs w:val="22"/>
                <w:highlight w:val="none"/>
              </w:rPr>
            </w:pPr>
          </w:p>
        </w:tc>
        <w:tc>
          <w:tcPr>
            <w:tcW w:w="873" w:type="dxa"/>
            <w:shd w:val="clear" w:color="auto" w:fill="auto"/>
            <w:vAlign w:val="center"/>
          </w:tcPr>
          <w:p>
            <w:pPr>
              <w:widowControl/>
              <w:shd w:val="clear"/>
              <w:spacing w:line="0" w:lineRule="atLeast"/>
              <w:jc w:val="center"/>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满意度</w:t>
            </w:r>
          </w:p>
        </w:tc>
        <w:tc>
          <w:tcPr>
            <w:tcW w:w="2353" w:type="dxa"/>
            <w:shd w:val="clear" w:color="auto" w:fill="auto"/>
            <w:vAlign w:val="center"/>
          </w:tcPr>
          <w:p>
            <w:pPr>
              <w:widowControl/>
              <w:shd w:val="clear"/>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社会公众或服务对象对项目实施效果的满意程度。</w:t>
            </w:r>
          </w:p>
        </w:tc>
        <w:tc>
          <w:tcPr>
            <w:tcW w:w="5198" w:type="dxa"/>
            <w:shd w:val="clear" w:color="auto" w:fill="auto"/>
            <w:vAlign w:val="center"/>
          </w:tcPr>
          <w:p>
            <w:pPr>
              <w:widowControl/>
              <w:shd w:val="clear"/>
              <w:spacing w:line="0" w:lineRule="atLeast"/>
              <w:rPr>
                <w:rFonts w:hint="default" w:ascii="Times New Roman" w:hAnsi="Times New Roman" w:cs="Times New Roman"/>
                <w:color w:val="000000"/>
                <w:kern w:val="0"/>
                <w:sz w:val="22"/>
                <w:szCs w:val="22"/>
                <w:highlight w:val="none"/>
              </w:rPr>
            </w:pPr>
            <w:r>
              <w:rPr>
                <w:rFonts w:hint="default" w:ascii="Times New Roman" w:hAnsi="Times New Roman" w:cs="Times New Roman"/>
                <w:color w:val="000000"/>
                <w:kern w:val="0"/>
                <w:sz w:val="22"/>
                <w:szCs w:val="22"/>
                <w:highlight w:val="none"/>
              </w:rPr>
              <w:t>社会公众或服务对象是指因该项目实施而受到影响的部门（单位）、群体或个人。一般采取社会调查的方式。</w:t>
            </w:r>
          </w:p>
        </w:tc>
        <w:tc>
          <w:tcPr>
            <w:tcW w:w="1300" w:type="dxa"/>
            <w:shd w:val="clear" w:color="auto" w:fill="auto"/>
            <w:vAlign w:val="center"/>
          </w:tcPr>
          <w:p>
            <w:pPr>
              <w:widowControl/>
              <w:shd w:val="clear"/>
              <w:spacing w:line="0" w:lineRule="atLeast"/>
              <w:jc w:val="center"/>
              <w:rPr>
                <w:rFonts w:hint="default" w:ascii="Times New Roman" w:hAnsi="Times New Roman" w:cs="Times New Roman"/>
                <w:b/>
                <w:bCs/>
                <w:color w:val="000000"/>
                <w:kern w:val="0"/>
                <w:sz w:val="22"/>
                <w:szCs w:val="22"/>
                <w:highlight w:val="none"/>
              </w:rPr>
            </w:pPr>
            <w:r>
              <w:rPr>
                <w:rFonts w:hint="default" w:ascii="Times New Roman" w:hAnsi="Times New Roman" w:cs="Times New Roman"/>
                <w:b/>
                <w:bCs/>
                <w:color w:val="000000"/>
                <w:kern w:val="0"/>
                <w:sz w:val="22"/>
                <w:szCs w:val="22"/>
                <w:highlight w:val="none"/>
              </w:rPr>
              <w:t>10</w:t>
            </w:r>
          </w:p>
        </w:tc>
        <w:tc>
          <w:tcPr>
            <w:tcW w:w="1363" w:type="dxa"/>
            <w:shd w:val="clear" w:color="auto" w:fill="auto"/>
            <w:vAlign w:val="center"/>
          </w:tcPr>
          <w:p>
            <w:pPr>
              <w:widowControl/>
              <w:shd w:val="clear"/>
              <w:spacing w:line="0" w:lineRule="atLeast"/>
              <w:jc w:val="center"/>
              <w:rPr>
                <w:rFonts w:hint="default" w:ascii="Times New Roman" w:hAnsi="Times New Roman" w:eastAsia="宋体" w:cs="Times New Roman"/>
                <w:b/>
                <w:bCs/>
                <w:color w:val="000000"/>
                <w:kern w:val="0"/>
                <w:sz w:val="22"/>
                <w:szCs w:val="22"/>
                <w:highlight w:val="none"/>
                <w:lang w:val="en-US" w:eastAsia="zh-CN"/>
              </w:rPr>
            </w:pPr>
            <w:r>
              <w:rPr>
                <w:rFonts w:hint="default" w:ascii="Times New Roman" w:hAnsi="Times New Roman" w:cs="Times New Roman"/>
                <w:b/>
                <w:bCs/>
                <w:color w:val="000000"/>
                <w:kern w:val="0"/>
                <w:sz w:val="22"/>
                <w:szCs w:val="22"/>
                <w:highlight w:val="none"/>
                <w:lang w:val="en-US" w:eastAsia="zh-CN"/>
              </w:rPr>
              <w:t>10</w:t>
            </w:r>
          </w:p>
        </w:tc>
      </w:tr>
    </w:tbl>
    <w:p>
      <w:pPr>
        <w:shd w:val="clear"/>
        <w:rPr>
          <w:rFonts w:hint="default" w:ascii="Times New Roman" w:hAnsi="Times New Roman" w:cs="Times New Roman"/>
          <w:highlight w:val="none"/>
        </w:rPr>
      </w:pPr>
    </w:p>
    <w:sectPr>
      <w:pgSz w:w="16838" w:h="11906" w:orient="landscape"/>
      <w:pgMar w:top="1803" w:right="1440" w:bottom="1559" w:left="1440" w:header="851" w:footer="992" w:gutter="0"/>
      <w:cols w:space="0" w:num="1"/>
      <w:rtlGutter w:val="0"/>
      <w:docGrid w:type="lines" w:linePitch="31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楷体_GB2312">
    <w:altName w:val="楷体"/>
    <w:panose1 w:val="02010609030101010101"/>
    <w:charset w:val="86"/>
    <w:family w:val="auto"/>
    <w:pitch w:val="default"/>
    <w:sig w:usb0="00000000" w:usb1="00000000" w:usb2="00000000" w:usb3="00000000" w:csb0="00040000" w:csb1="00000000"/>
  </w:font>
  <w:font w:name="方正仿宋_GBK">
    <w:altName w:val="微软雅黑"/>
    <w:panose1 w:val="02000000000000000000"/>
    <w:charset w:val="86"/>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7"/>
          <w:jc w:val="center"/>
        </w:pPr>
        <w:r>
          <w:fldChar w:fldCharType="begin"/>
        </w:r>
        <w:r>
          <w:instrText xml:space="preserve">PAGE   \* MERGEFORMAT</w:instrText>
        </w:r>
        <w:r>
          <w:fldChar w:fldCharType="separate"/>
        </w:r>
        <w:r>
          <w:rPr>
            <w:lang w:val="zh-CN"/>
          </w:rPr>
          <w:t>13</w:t>
        </w:r>
        <w: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BA374AE"/>
    <w:multiLevelType w:val="singleLevel"/>
    <w:tmpl w:val="BBA374AE"/>
    <w:lvl w:ilvl="0" w:tentative="0">
      <w:start w:val="4"/>
      <w:numFmt w:val="chineseCounting"/>
      <w:suff w:val="nothing"/>
      <w:lvlText w:val="(%1）"/>
      <w:lvlJc w:val="left"/>
      <w:rPr>
        <w:rFonts w:hint="eastAsia"/>
      </w:rPr>
    </w:lvl>
  </w:abstractNum>
  <w:abstractNum w:abstractNumId="1">
    <w:nsid w:val="DEF60FE1"/>
    <w:multiLevelType w:val="singleLevel"/>
    <w:tmpl w:val="DEF60FE1"/>
    <w:lvl w:ilvl="0" w:tentative="0">
      <w:start w:val="1"/>
      <w:numFmt w:val="decimal"/>
      <w:suff w:val="nothing"/>
      <w:lvlText w:val="（%1）"/>
      <w:lvlJc w:val="left"/>
    </w:lvl>
  </w:abstractNum>
  <w:abstractNum w:abstractNumId="2">
    <w:nsid w:val="E83853AE"/>
    <w:multiLevelType w:val="singleLevel"/>
    <w:tmpl w:val="E83853AE"/>
    <w:lvl w:ilvl="0" w:tentative="0">
      <w:start w:val="2"/>
      <w:numFmt w:val="decimal"/>
      <w:suff w:val="nothing"/>
      <w:lvlText w:val="%1、"/>
      <w:lvlJc w:val="left"/>
    </w:lvl>
  </w:abstractNum>
  <w:abstractNum w:abstractNumId="3">
    <w:nsid w:val="FF9379A8"/>
    <w:multiLevelType w:val="singleLevel"/>
    <w:tmpl w:val="FF9379A8"/>
    <w:lvl w:ilvl="0" w:tentative="0">
      <w:start w:val="2"/>
      <w:numFmt w:val="chineseCounting"/>
      <w:suff w:val="nothing"/>
      <w:lvlText w:val="（%1）"/>
      <w:lvlJc w:val="left"/>
      <w:pPr>
        <w:ind w:left="-13"/>
      </w:pPr>
      <w:rPr>
        <w:rFonts w:hint="eastAsia"/>
      </w:rPr>
    </w:lvl>
  </w:abstractNum>
  <w:abstractNum w:abstractNumId="4">
    <w:nsid w:val="116B29BF"/>
    <w:multiLevelType w:val="singleLevel"/>
    <w:tmpl w:val="116B29BF"/>
    <w:lvl w:ilvl="0" w:tentative="0">
      <w:start w:val="3"/>
      <w:numFmt w:val="chineseCounting"/>
      <w:suff w:val="nothing"/>
      <w:lvlText w:val="%1、"/>
      <w:lvlJc w:val="left"/>
      <w:rPr>
        <w:rFonts w:hint="eastAsia"/>
      </w:rPr>
    </w:lvl>
  </w:abstractNum>
  <w:abstractNum w:abstractNumId="5">
    <w:nsid w:val="27813159"/>
    <w:multiLevelType w:val="singleLevel"/>
    <w:tmpl w:val="27813159"/>
    <w:lvl w:ilvl="0" w:tentative="0">
      <w:start w:val="3"/>
      <w:numFmt w:val="chineseCounting"/>
      <w:suff w:val="nothing"/>
      <w:lvlText w:val="（%1）"/>
      <w:lvlJc w:val="left"/>
      <w:rPr>
        <w:rFonts w:hint="eastAsia"/>
      </w:rPr>
    </w:lvl>
  </w:abstractNum>
  <w:abstractNum w:abstractNumId="6">
    <w:nsid w:val="6FAA0AB1"/>
    <w:multiLevelType w:val="singleLevel"/>
    <w:tmpl w:val="6FAA0AB1"/>
    <w:lvl w:ilvl="0" w:tentative="0">
      <w:start w:val="2"/>
      <w:numFmt w:val="chineseCounting"/>
      <w:suff w:val="nothing"/>
      <w:lvlText w:val="（%1）"/>
      <w:lvlJc w:val="left"/>
      <w:pPr>
        <w:ind w:left="-13"/>
      </w:pPr>
      <w:rPr>
        <w:rFonts w:hint="eastAsia"/>
      </w:rPr>
    </w:lvl>
  </w:abstractNum>
  <w:num w:numId="1">
    <w:abstractNumId w:val="2"/>
  </w:num>
  <w:num w:numId="2">
    <w:abstractNumId w:val="1"/>
  </w:num>
  <w:num w:numId="3">
    <w:abstractNumId w:val="5"/>
  </w:num>
  <w:num w:numId="4">
    <w:abstractNumId w:val="4"/>
  </w:num>
  <w:num w:numId="5">
    <w:abstractNumId w:val="6"/>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8"/>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EzYTUzZWU5NjcwMTQwY2YwMDczOTAyZDAxNWRiMzEifQ=="/>
  </w:docVars>
  <w:rsids>
    <w:rsidRoot w:val="FF6C4049"/>
    <w:rsid w:val="00105882"/>
    <w:rsid w:val="006F7242"/>
    <w:rsid w:val="007B168A"/>
    <w:rsid w:val="008B2CFE"/>
    <w:rsid w:val="00F26FF6"/>
    <w:rsid w:val="02675B83"/>
    <w:rsid w:val="03103526"/>
    <w:rsid w:val="0318719B"/>
    <w:rsid w:val="037D3593"/>
    <w:rsid w:val="04676886"/>
    <w:rsid w:val="046B7AE8"/>
    <w:rsid w:val="057D7D6E"/>
    <w:rsid w:val="05986CF5"/>
    <w:rsid w:val="05E338C6"/>
    <w:rsid w:val="07397B77"/>
    <w:rsid w:val="07B77FC5"/>
    <w:rsid w:val="08447BB2"/>
    <w:rsid w:val="086A7219"/>
    <w:rsid w:val="096F1BD6"/>
    <w:rsid w:val="0A7C04C6"/>
    <w:rsid w:val="0B500E2F"/>
    <w:rsid w:val="0D396746"/>
    <w:rsid w:val="0F241DDF"/>
    <w:rsid w:val="0FE77ED8"/>
    <w:rsid w:val="120F21B1"/>
    <w:rsid w:val="12392A23"/>
    <w:rsid w:val="13471461"/>
    <w:rsid w:val="13B90F01"/>
    <w:rsid w:val="13D01686"/>
    <w:rsid w:val="18030219"/>
    <w:rsid w:val="181066D2"/>
    <w:rsid w:val="1AC22694"/>
    <w:rsid w:val="1B0739D3"/>
    <w:rsid w:val="1C671E73"/>
    <w:rsid w:val="1DDC2C05"/>
    <w:rsid w:val="1E954DE3"/>
    <w:rsid w:val="20156BB0"/>
    <w:rsid w:val="20ED5E8E"/>
    <w:rsid w:val="244642E2"/>
    <w:rsid w:val="244B1540"/>
    <w:rsid w:val="24CB005F"/>
    <w:rsid w:val="263460D7"/>
    <w:rsid w:val="275C455A"/>
    <w:rsid w:val="27F95BB7"/>
    <w:rsid w:val="282628F8"/>
    <w:rsid w:val="2AD845B1"/>
    <w:rsid w:val="2E6444EB"/>
    <w:rsid w:val="330E3E09"/>
    <w:rsid w:val="338E355D"/>
    <w:rsid w:val="33EA5358"/>
    <w:rsid w:val="33FE5CCD"/>
    <w:rsid w:val="3458620E"/>
    <w:rsid w:val="38CA40DD"/>
    <w:rsid w:val="395F2B56"/>
    <w:rsid w:val="3B57306A"/>
    <w:rsid w:val="3BECE841"/>
    <w:rsid w:val="3E094F20"/>
    <w:rsid w:val="3E7F10A2"/>
    <w:rsid w:val="3FF7797D"/>
    <w:rsid w:val="433203AA"/>
    <w:rsid w:val="437B770D"/>
    <w:rsid w:val="44145F8B"/>
    <w:rsid w:val="45DC52FC"/>
    <w:rsid w:val="46CE31B0"/>
    <w:rsid w:val="4B7A57F1"/>
    <w:rsid w:val="4BC46BE9"/>
    <w:rsid w:val="4D063625"/>
    <w:rsid w:val="4D834C75"/>
    <w:rsid w:val="4E716307"/>
    <w:rsid w:val="4EE53AAD"/>
    <w:rsid w:val="5488112C"/>
    <w:rsid w:val="55914C92"/>
    <w:rsid w:val="57031118"/>
    <w:rsid w:val="58B5759C"/>
    <w:rsid w:val="59D92725"/>
    <w:rsid w:val="5A8D7EFE"/>
    <w:rsid w:val="5AB84A94"/>
    <w:rsid w:val="5AC16640"/>
    <w:rsid w:val="5B316222"/>
    <w:rsid w:val="5BFF6039"/>
    <w:rsid w:val="5CC6692D"/>
    <w:rsid w:val="5D517C0D"/>
    <w:rsid w:val="5D76A616"/>
    <w:rsid w:val="5D7F20B9"/>
    <w:rsid w:val="5DAC7D0E"/>
    <w:rsid w:val="5DDD61EF"/>
    <w:rsid w:val="5EA43969"/>
    <w:rsid w:val="5F98B5AF"/>
    <w:rsid w:val="5FFE8511"/>
    <w:rsid w:val="5FFEACE2"/>
    <w:rsid w:val="63A542A5"/>
    <w:rsid w:val="643EE26D"/>
    <w:rsid w:val="64DA2E6F"/>
    <w:rsid w:val="66310709"/>
    <w:rsid w:val="68B375CB"/>
    <w:rsid w:val="6B7B7F17"/>
    <w:rsid w:val="6F5C41AC"/>
    <w:rsid w:val="6FAF6C78"/>
    <w:rsid w:val="7317C656"/>
    <w:rsid w:val="734ED73F"/>
    <w:rsid w:val="76FD5491"/>
    <w:rsid w:val="771B15FD"/>
    <w:rsid w:val="7778138F"/>
    <w:rsid w:val="77FD8BE9"/>
    <w:rsid w:val="780A196C"/>
    <w:rsid w:val="795A52F3"/>
    <w:rsid w:val="79A9BD3F"/>
    <w:rsid w:val="79C86666"/>
    <w:rsid w:val="7A5739AC"/>
    <w:rsid w:val="7B87365E"/>
    <w:rsid w:val="7BFFFDD0"/>
    <w:rsid w:val="7C1B26AC"/>
    <w:rsid w:val="7C336E5F"/>
    <w:rsid w:val="7D0273AE"/>
    <w:rsid w:val="7D7A5F86"/>
    <w:rsid w:val="7F37BB4E"/>
    <w:rsid w:val="7FCE270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4">
    <w:name w:val="annotation text"/>
    <w:basedOn w:val="1"/>
    <w:link w:val="21"/>
    <w:qFormat/>
    <w:uiPriority w:val="0"/>
    <w:pPr>
      <w:jc w:val="left"/>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19"/>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9">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0">
    <w:name w:val="annotation subject"/>
    <w:basedOn w:val="4"/>
    <w:next w:val="4"/>
    <w:link w:val="22"/>
    <w:qFormat/>
    <w:uiPriority w:val="0"/>
    <w:rPr>
      <w:b/>
      <w:bCs/>
    </w:rPr>
  </w:style>
  <w:style w:type="paragraph" w:styleId="11">
    <w:name w:val="Body Text First Indent"/>
    <w:basedOn w:val="2"/>
    <w:qFormat/>
    <w:uiPriority w:val="0"/>
    <w:pPr>
      <w:spacing w:after="0"/>
      <w:ind w:firstLine="200" w:firstLineChars="200"/>
    </w:pPr>
  </w:style>
  <w:style w:type="paragraph" w:styleId="12">
    <w:name w:val="Body Text First Indent 2"/>
    <w:basedOn w:val="5"/>
    <w:qFormat/>
    <w:uiPriority w:val="0"/>
    <w:pPr>
      <w:ind w:firstLine="420" w:firstLineChars="200"/>
    </w:p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character" w:customStyle="1" w:styleId="17">
    <w:name w:val="fontstyle01"/>
    <w:qFormat/>
    <w:uiPriority w:val="0"/>
    <w:rPr>
      <w:rFonts w:ascii="仿宋_GB2312" w:hAnsi="仿宋_GB2312" w:eastAsia="仿宋_GB2312" w:cs="仿宋_GB2312"/>
      <w:color w:val="000000"/>
      <w:sz w:val="32"/>
      <w:szCs w:val="32"/>
    </w:rPr>
  </w:style>
  <w:style w:type="paragraph" w:customStyle="1" w:styleId="18">
    <w:name w:val="闻政-正文段落文字"/>
    <w:basedOn w:val="1"/>
    <w:qFormat/>
    <w:uiPriority w:val="3"/>
    <w:pPr>
      <w:spacing w:line="500" w:lineRule="exact"/>
      <w:ind w:firstLine="200"/>
    </w:pPr>
    <w:rPr>
      <w:kern w:val="0"/>
      <w:szCs w:val="28"/>
    </w:rPr>
  </w:style>
  <w:style w:type="character" w:customStyle="1" w:styleId="19">
    <w:name w:val="批注框文本 字符"/>
    <w:basedOn w:val="14"/>
    <w:link w:val="6"/>
    <w:qFormat/>
    <w:uiPriority w:val="0"/>
    <w:rPr>
      <w:rFonts w:ascii="Times New Roman" w:hAnsi="Times New Roman" w:eastAsia="宋体" w:cs="Times New Roman"/>
      <w:kern w:val="2"/>
      <w:sz w:val="18"/>
      <w:szCs w:val="18"/>
    </w:rPr>
  </w:style>
  <w:style w:type="character" w:customStyle="1" w:styleId="20">
    <w:name w:val="页眉 字符"/>
    <w:basedOn w:val="14"/>
    <w:link w:val="8"/>
    <w:qFormat/>
    <w:uiPriority w:val="0"/>
    <w:rPr>
      <w:rFonts w:ascii="Times New Roman" w:hAnsi="Times New Roman" w:eastAsia="宋体" w:cs="Times New Roman"/>
      <w:kern w:val="2"/>
      <w:sz w:val="18"/>
      <w:szCs w:val="18"/>
    </w:rPr>
  </w:style>
  <w:style w:type="character" w:customStyle="1" w:styleId="21">
    <w:name w:val="批注文字 字符"/>
    <w:basedOn w:val="14"/>
    <w:link w:val="4"/>
    <w:qFormat/>
    <w:uiPriority w:val="0"/>
    <w:rPr>
      <w:rFonts w:ascii="Times New Roman" w:hAnsi="Times New Roman" w:eastAsia="宋体" w:cs="Times New Roman"/>
      <w:kern w:val="2"/>
      <w:sz w:val="21"/>
      <w:szCs w:val="24"/>
    </w:rPr>
  </w:style>
  <w:style w:type="character" w:customStyle="1" w:styleId="22">
    <w:name w:val="批注主题 字符"/>
    <w:basedOn w:val="21"/>
    <w:link w:val="10"/>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26</Pages>
  <Words>11932</Words>
  <Characters>12435</Characters>
  <Lines>58</Lines>
  <Paragraphs>16</Paragraphs>
  <TotalTime>4</TotalTime>
  <ScaleCrop>false</ScaleCrop>
  <LinksUpToDate>false</LinksUpToDate>
  <CharactersWithSpaces>12454</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2024-09-25T10:29:15Z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07B01B9BB5B343B7B1A7FD9F7DA058EE</vt:lpwstr>
  </property>
</Properties>
</file>