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black"/>
        </w:rPr>
      </w:pPr>
    </w:p>
    <w:p>
      <w:pPr>
        <w:keepNext w:val="0"/>
        <w:keepLines w:val="0"/>
        <w:pageBreakBefore w:val="0"/>
        <w:widowControl w:val="0"/>
        <w:kinsoku/>
        <w:wordWrap/>
        <w:overflowPunct/>
        <w:topLinePunct w:val="0"/>
        <w:adjustRightInd/>
        <w:snapToGrid/>
        <w:spacing w:line="240" w:lineRule="auto"/>
        <w:jc w:val="center"/>
        <w:textAlignment w:val="auto"/>
        <w:rPr>
          <w:rFonts w:hint="eastAsia" w:ascii="方正小标宋_GBK" w:hAnsi="方正小标宋_GBK" w:eastAsia="方正小标宋_GBK"/>
          <w:sz w:val="44"/>
          <w:szCs w:val="44"/>
          <w:highlight w:val="none"/>
        </w:rPr>
      </w:pPr>
      <w:r>
        <w:rPr>
          <w:rFonts w:hint="eastAsia" w:ascii="方正小标宋_GBK" w:hAnsi="方正小标宋_GBK" w:eastAsia="方正小标宋_GBK"/>
          <w:sz w:val="44"/>
          <w:szCs w:val="44"/>
          <w:highlight w:val="none"/>
        </w:rPr>
        <w:t>哈密市教育局</w:t>
      </w:r>
      <w:bookmarkStart w:id="38" w:name="_GoBack"/>
      <w:bookmarkEnd w:id="38"/>
      <w:r>
        <w:rPr>
          <w:rFonts w:hint="eastAsia" w:ascii="方正小标宋_GBK" w:hAnsi="方正小标宋_GBK" w:eastAsia="方正小标宋_GBK"/>
          <w:sz w:val="44"/>
          <w:szCs w:val="44"/>
          <w:highlight w:val="none"/>
        </w:rPr>
        <w:t>石油教育分局2023年度部门决算公开说明</w:t>
      </w:r>
    </w:p>
    <w:p>
      <w:pPr>
        <w:keepNext w:val="0"/>
        <w:keepLines w:val="0"/>
        <w:pageBreakBefore w:val="0"/>
        <w:widowControl w:val="0"/>
        <w:kinsoku/>
        <w:wordWrap/>
        <w:overflowPunct/>
        <w:topLinePunct w:val="0"/>
        <w:autoSpaceDE/>
        <w:autoSpaceDN/>
        <w:adjustRightInd/>
        <w:snapToGrid/>
        <w:spacing w:line="240" w:lineRule="auto"/>
        <w:ind w:left="0" w:leftChars="0"/>
        <w:jc w:val="center"/>
        <w:textAlignment w:val="auto"/>
        <w:rPr>
          <w:rFonts w:hint="eastAsia" w:ascii="仿宋_GB2312" w:hAnsi="仿宋_GB2312" w:eastAsia="仿宋_GB2312" w:cs="仿宋_GB2312"/>
          <w:b w:val="0"/>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kern w:val="0"/>
          <w:sz w:val="36"/>
          <w:szCs w:val="36"/>
          <w:highlight w:val="none"/>
        </w:rPr>
        <w:t>目 录</w:t>
      </w:r>
    </w:p>
    <w:p>
      <w:pPr>
        <w:pStyle w:val="4"/>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_Toc32314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第一部分 单位概况</w:t>
      </w:r>
      <w:r>
        <w:rPr>
          <w:rFonts w:hint="eastAsia" w:ascii="仿宋_GB2312" w:hAnsi="仿宋_GB2312" w:eastAsia="仿宋_GB2312" w:cs="仿宋_GB2312"/>
          <w:b/>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_Toc30567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二、机构设置</w:t>
      </w:r>
      <w:r>
        <w:rPr>
          <w:rFonts w:hint="eastAsia" w:ascii="仿宋_GB2312" w:hAnsi="仿宋_GB2312" w:eastAsia="仿宋_GB2312" w:cs="仿宋_GB2312"/>
          <w:kern w:val="0"/>
          <w:sz w:val="32"/>
          <w:szCs w:val="32"/>
          <w:highlight w:val="none"/>
          <w:lang w:eastAsia="zh-CN"/>
        </w:rPr>
        <w:t>及人员</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_Toc29374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第二部分 部门决算情况说明</w:t>
      </w:r>
      <w:r>
        <w:rPr>
          <w:rFonts w:hint="eastAsia" w:ascii="仿宋_GB2312" w:hAnsi="仿宋_GB2312" w:eastAsia="仿宋_GB2312" w:cs="仿宋_GB2312"/>
          <w:b/>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_Toc25314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_Toc12142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二、</w:t>
      </w:r>
      <w:r>
        <w:rPr>
          <w:rFonts w:hint="eastAsia" w:ascii="仿宋_GB2312" w:hAnsi="仿宋_GB2312" w:eastAsia="仿宋_GB2312" w:cs="仿宋_GB2312"/>
          <w:kern w:val="0"/>
          <w:sz w:val="32"/>
          <w:szCs w:val="32"/>
          <w:highlight w:val="none"/>
        </w:rPr>
        <w:t>收入</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_Toc13201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_Toc26564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_Toc20360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_Toc30870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_Toc21518</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七</w:t>
      </w:r>
      <w:r>
        <w:rPr>
          <w:rFonts w:hint="eastAsia" w:ascii="仿宋_GB2312" w:hAnsi="仿宋_GB2312" w:eastAsia="仿宋_GB2312" w:cs="仿宋_GB2312"/>
          <w:kern w:val="0"/>
          <w:sz w:val="32"/>
          <w:szCs w:val="32"/>
          <w:highlight w:val="none"/>
        </w:rPr>
        <w:t>、</w:t>
      </w:r>
      <w:r>
        <w:rPr>
          <w:rFonts w:hint="eastAsia" w:ascii="仿宋_GB2312" w:hAnsi="仿宋_GB2312" w:eastAsia="仿宋_GB2312" w:cs="仿宋_GB2312"/>
          <w:kern w:val="0"/>
          <w:sz w:val="32"/>
          <w:szCs w:val="32"/>
          <w:highlight w:val="none"/>
          <w:lang w:eastAsia="zh-CN"/>
        </w:rPr>
        <w:t>财政拨款</w:t>
      </w:r>
      <w:r>
        <w:rPr>
          <w:rFonts w:hint="eastAsia" w:ascii="仿宋_GB2312" w:hAnsi="仿宋_GB2312" w:eastAsia="仿宋_GB2312" w:cs="仿宋_GB2312"/>
          <w:kern w:val="0"/>
          <w:sz w:val="32"/>
          <w:szCs w:val="32"/>
          <w:highlight w:val="none"/>
        </w:rPr>
        <w:t>“三公”经费支出</w:t>
      </w:r>
      <w:r>
        <w:rPr>
          <w:rFonts w:hint="eastAsia" w:ascii="仿宋_GB2312" w:hAnsi="仿宋_GB2312" w:eastAsia="仿宋_GB2312" w:cs="仿宋_GB2312"/>
          <w:kern w:val="0"/>
          <w:sz w:val="32"/>
          <w:szCs w:val="32"/>
          <w:highlight w:val="none"/>
          <w:lang w:eastAsia="zh-CN"/>
        </w:rPr>
        <w:t>决算</w:t>
      </w:r>
      <w:r>
        <w:rPr>
          <w:rFonts w:hint="eastAsia" w:ascii="仿宋_GB2312" w:hAnsi="仿宋_GB2312" w:eastAsia="仿宋_GB2312" w:cs="仿宋_GB2312"/>
          <w:kern w:val="0"/>
          <w:sz w:val="32"/>
          <w:szCs w:val="32"/>
          <w:highlight w:val="none"/>
        </w:rPr>
        <w:t>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八、政府性基金预算财政拨款收入支出决算情况说明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_Toc5810</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九、国有资本经营预算财政拨款收入支出决算情况说明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_Toc1235</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w:t>
      </w:r>
      <w:r>
        <w:rPr>
          <w:rFonts w:hint="eastAsia" w:ascii="仿宋_GB2312" w:hAnsi="仿宋_GB2312" w:eastAsia="仿宋_GB2312" w:cs="仿宋_GB2312"/>
          <w:kern w:val="0"/>
          <w:sz w:val="32"/>
          <w:szCs w:val="32"/>
          <w:highlight w:val="none"/>
        </w:rPr>
        <w:t>、其他重要事项的情况</w:t>
      </w:r>
      <w:r>
        <w:rPr>
          <w:rFonts w:hint="eastAsia" w:ascii="仿宋_GB2312" w:hAnsi="仿宋_GB2312" w:eastAsia="仿宋_GB2312" w:cs="仿宋_GB2312"/>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_Toc14519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机关运行经费支出情况</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_Toc227</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2"/>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_Toc8391</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十一、预算绩效的情况说明</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_Toc11283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lang w:eastAsia="zh-CN"/>
        </w:rPr>
        <w:t>十二、其他需说明的事项</w:t>
      </w:r>
      <w:r>
        <w:rPr>
          <w:rFonts w:hint="eastAsia" w:ascii="仿宋_GB2312" w:hAnsi="仿宋_GB2312" w:eastAsia="仿宋_GB2312" w:cs="仿宋_GB2312"/>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_Toc3250</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第三部分 专业名词解释</w:t>
      </w:r>
      <w:r>
        <w:rPr>
          <w:rFonts w:hint="eastAsia" w:ascii="仿宋_GB2312" w:hAnsi="仿宋_GB2312" w:eastAsia="仿宋_GB2312" w:cs="仿宋_GB2312"/>
          <w:b/>
          <w:sz w:val="32"/>
          <w:szCs w:val="32"/>
          <w:highlight w:val="none"/>
        </w:rPr>
        <w:fldChar w:fldCharType="end"/>
      </w:r>
    </w:p>
    <w:p>
      <w:pPr>
        <w:pStyle w:val="4"/>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b/>
          <w:sz w:val="32"/>
          <w:szCs w:val="32"/>
          <w:highlight w:val="none"/>
        </w:rPr>
      </w:pPr>
      <w:r>
        <w:rPr>
          <w:rFonts w:hint="eastAsia" w:ascii="仿宋_GB2312" w:hAnsi="仿宋_GB2312" w:eastAsia="仿宋_GB2312" w:cs="仿宋_GB2312"/>
          <w:b/>
          <w:sz w:val="32"/>
          <w:szCs w:val="32"/>
          <w:highlight w:val="none"/>
        </w:rPr>
        <w:fldChar w:fldCharType="begin"/>
      </w:r>
      <w:r>
        <w:rPr>
          <w:rFonts w:hint="eastAsia" w:ascii="仿宋_GB2312" w:hAnsi="仿宋_GB2312" w:eastAsia="仿宋_GB2312" w:cs="仿宋_GB2312"/>
          <w:b/>
          <w:sz w:val="32"/>
          <w:szCs w:val="32"/>
          <w:highlight w:val="none"/>
        </w:rPr>
        <w:instrText xml:space="preserve"> HYPERLINK \l _Toc22784</w:instrText>
      </w:r>
      <w:r>
        <w:rPr>
          <w:rFonts w:hint="eastAsia" w:ascii="仿宋_GB2312" w:hAnsi="仿宋_GB2312" w:eastAsia="仿宋_GB2312" w:cs="仿宋_GB2312"/>
          <w:b/>
          <w:sz w:val="32"/>
          <w:szCs w:val="32"/>
          <w:highlight w:val="none"/>
        </w:rPr>
        <w:fldChar w:fldCharType="separate"/>
      </w:r>
      <w:r>
        <w:rPr>
          <w:rFonts w:hint="eastAsia" w:ascii="仿宋_GB2312" w:hAnsi="仿宋_GB2312" w:eastAsia="仿宋_GB2312" w:cs="仿宋_GB2312"/>
          <w:b/>
          <w:sz w:val="32"/>
          <w:szCs w:val="32"/>
          <w:highlight w:val="none"/>
        </w:rPr>
        <w:t>第四部分 部门决算报表（见附表）</w:t>
      </w:r>
      <w:r>
        <w:rPr>
          <w:rFonts w:hint="eastAsia" w:ascii="仿宋_GB2312" w:hAnsi="仿宋_GB2312" w:eastAsia="仿宋_GB2312" w:cs="仿宋_GB2312"/>
          <w:b/>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_Toc2183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_Toc24532</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_Toc32434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_Toc28786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_Toc14869</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_Toc8884</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_Toc29106</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七、《财政拨款“三公”经费支出决算表》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八、《政府性基金预算财政拨款收入支出决算表》</w:t>
      </w:r>
      <w:r>
        <w:rPr>
          <w:rFonts w:hint="eastAsia" w:ascii="仿宋_GB2312" w:hAnsi="仿宋_GB2312" w:eastAsia="仿宋_GB2312" w:cs="仿宋_GB2312"/>
          <w:sz w:val="32"/>
          <w:szCs w:val="32"/>
          <w:highlight w:val="none"/>
        </w:rPr>
        <w:fldChar w:fldCharType="end"/>
      </w:r>
    </w:p>
    <w:p>
      <w:pPr>
        <w:pStyle w:val="5"/>
        <w:keepNext w:val="0"/>
        <w:keepLines w:val="0"/>
        <w:pageBreakBefore w:val="0"/>
        <w:widowControl w:val="0"/>
        <w:tabs>
          <w:tab w:val="right" w:pos="8306"/>
        </w:tabs>
        <w:kinsoku/>
        <w:wordWrap/>
        <w:overflowPunct/>
        <w:topLinePunct w:val="0"/>
        <w:autoSpaceDE/>
        <w:autoSpaceDN/>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_Toc7643</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kern w:val="0"/>
          <w:sz w:val="32"/>
          <w:szCs w:val="32"/>
          <w:highlight w:val="none"/>
        </w:rPr>
        <w:t>九、《国有资本经营预算财政拨款收入支出决算表》</w:t>
      </w: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ind w:left="0" w:leftChars="0"/>
        <w:jc w:val="both"/>
        <w:textAlignment w:val="auto"/>
        <w:rPr>
          <w:highlight w:val="none"/>
        </w:rPr>
      </w:pPr>
      <w:r>
        <w:rPr>
          <w:rFonts w:hint="eastAsia" w:ascii="仿宋_GB2312" w:hAnsi="仿宋_GB2312" w:eastAsia="仿宋_GB2312" w:cs="仿宋_GB2312"/>
          <w:sz w:val="32"/>
          <w:szCs w:val="32"/>
          <w:highlight w:val="none"/>
        </w:rPr>
        <w:fldChar w:fldCharType="end"/>
      </w:r>
    </w:p>
    <w:p>
      <w:pPr>
        <w:keepNext w:val="0"/>
        <w:keepLines w:val="0"/>
        <w:pageBreakBefore w:val="0"/>
        <w:widowControl w:val="0"/>
        <w:kinsoku/>
        <w:wordWrap/>
        <w:overflowPunct/>
        <w:topLinePunct w:val="0"/>
        <w:autoSpaceDE/>
        <w:autoSpaceDN/>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0" w:name="_Toc32314"/>
      <w:bookmarkStart w:id="1" w:name="_Toc24028"/>
      <w:r>
        <w:rPr>
          <w:rFonts w:hint="eastAsia" w:ascii="黑体" w:hAnsi="黑体" w:eastAsia="黑体"/>
          <w:sz w:val="32"/>
          <w:szCs w:val="32"/>
          <w:highlight w:val="none"/>
        </w:rPr>
        <w:t>第一部分 单位概况</w:t>
      </w:r>
      <w:bookmarkEnd w:id="0"/>
      <w:bookmarkEnd w:id="1"/>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仿宋_GB2312" w:eastAsia="仿宋_GB2312"/>
          <w:sz w:val="32"/>
          <w:szCs w:val="32"/>
          <w:highlight w:val="none"/>
        </w:rPr>
      </w:pPr>
      <w:bookmarkStart w:id="2" w:name="_Toc30567"/>
      <w:bookmarkStart w:id="3" w:name="_Toc30738"/>
      <w:r>
        <w:rPr>
          <w:rFonts w:hint="eastAsia" w:ascii="黑体" w:hAnsi="黑体" w:eastAsia="黑体" w:cs="宋体"/>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adjustRightInd/>
        <w:snapToGrid/>
        <w:spacing w:line="40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（一）全面</w:t>
      </w:r>
      <w:r>
        <w:rPr>
          <w:rFonts w:hint="eastAsia" w:ascii="仿宋_GB2312" w:eastAsia="仿宋_GB2312"/>
          <w:sz w:val="32"/>
          <w:szCs w:val="32"/>
          <w:highlight w:val="none"/>
        </w:rPr>
        <w:t>贯彻党和国家的教育工作方针、政策</w:t>
      </w:r>
      <w:r>
        <w:rPr>
          <w:rFonts w:hint="eastAsia" w:ascii="仿宋_GB2312" w:eastAsia="仿宋_GB2312"/>
          <w:sz w:val="32"/>
          <w:szCs w:val="32"/>
          <w:highlight w:val="none"/>
          <w:lang w:eastAsia="zh-CN"/>
        </w:rPr>
        <w:t>和</w:t>
      </w:r>
      <w:r>
        <w:rPr>
          <w:rFonts w:hint="eastAsia" w:ascii="仿宋_GB2312" w:eastAsia="仿宋_GB2312"/>
          <w:sz w:val="32"/>
          <w:szCs w:val="32"/>
          <w:highlight w:val="none"/>
        </w:rPr>
        <w:t>法规，认真落实自治区、哈密市有关的决定、决议。</w:t>
      </w:r>
      <w:r>
        <w:rPr>
          <w:rFonts w:hint="eastAsia" w:ascii="仿宋_GB2312" w:eastAsia="仿宋_GB2312"/>
          <w:sz w:val="32"/>
          <w:szCs w:val="32"/>
          <w:highlight w:val="none"/>
          <w:lang w:eastAsia="zh-CN"/>
        </w:rPr>
        <w:t>指导、监督所属各单位思想政治工作、党风廉政建设和精神文明建设。</w:t>
      </w:r>
    </w:p>
    <w:p>
      <w:pPr>
        <w:keepNext w:val="0"/>
        <w:keepLines w:val="0"/>
        <w:pageBreakBefore w:val="0"/>
        <w:widowControl w:val="0"/>
        <w:numPr>
          <w:ilvl w:val="0"/>
          <w:numId w:val="1"/>
        </w:numPr>
        <w:kinsoku/>
        <w:wordWrap/>
        <w:overflowPunct/>
        <w:topLinePunct w:val="0"/>
        <w:autoSpaceDE/>
        <w:autoSpaceDN/>
        <w:adjustRightInd/>
        <w:snapToGrid/>
        <w:spacing w:line="40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制定石油教育分局教育事业发展规划，</w:t>
      </w:r>
      <w:r>
        <w:rPr>
          <w:rFonts w:hint="eastAsia" w:ascii="仿宋_GB2312" w:eastAsia="仿宋_GB2312"/>
          <w:sz w:val="32"/>
          <w:szCs w:val="32"/>
          <w:highlight w:val="none"/>
          <w:lang w:eastAsia="zh-CN"/>
        </w:rPr>
        <w:t>指导各学校制定教育教学发展规划和年度计划。</w:t>
      </w:r>
    </w:p>
    <w:p>
      <w:pPr>
        <w:keepNext w:val="0"/>
        <w:keepLines w:val="0"/>
        <w:pageBreakBefore w:val="0"/>
        <w:widowControl w:val="0"/>
        <w:numPr>
          <w:ilvl w:val="0"/>
          <w:numId w:val="1"/>
        </w:numPr>
        <w:kinsoku/>
        <w:wordWrap/>
        <w:overflowPunct/>
        <w:topLinePunct w:val="0"/>
        <w:autoSpaceDE/>
        <w:autoSpaceDN/>
        <w:adjustRightInd/>
        <w:snapToGrid/>
        <w:spacing w:line="40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指导监督协调石油教育分局义务教育（一至九年级）、普通高中阶段教育教学工作。</w:t>
      </w:r>
    </w:p>
    <w:p>
      <w:pPr>
        <w:keepNext w:val="0"/>
        <w:keepLines w:val="0"/>
        <w:pageBreakBefore w:val="0"/>
        <w:widowControl w:val="0"/>
        <w:numPr>
          <w:ilvl w:val="0"/>
          <w:numId w:val="1"/>
        </w:numPr>
        <w:kinsoku/>
        <w:wordWrap/>
        <w:overflowPunct/>
        <w:topLinePunct w:val="0"/>
        <w:autoSpaceDE/>
        <w:autoSpaceDN/>
        <w:adjustRightInd/>
        <w:snapToGrid/>
        <w:spacing w:line="40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负责石油教育分局教师干部队伍建设工作，负责各学校校长、教师培训工作。落实石油教育分局人事管理有关政策和规章制度；组织实施招录人员入职、考核工作。</w:t>
      </w:r>
    </w:p>
    <w:p>
      <w:pPr>
        <w:keepNext w:val="0"/>
        <w:keepLines w:val="0"/>
        <w:pageBreakBefore w:val="0"/>
        <w:widowControl w:val="0"/>
        <w:numPr>
          <w:ilvl w:val="0"/>
          <w:numId w:val="1"/>
        </w:numPr>
        <w:kinsoku/>
        <w:wordWrap/>
        <w:overflowPunct/>
        <w:topLinePunct w:val="0"/>
        <w:autoSpaceDE/>
        <w:autoSpaceDN/>
        <w:adjustRightInd/>
        <w:snapToGrid/>
        <w:spacing w:line="40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负责石油教育分局机关及所属人员编制管理、人事调配、劳动工资、年终考核、奖惩管理。</w:t>
      </w:r>
    </w:p>
    <w:p>
      <w:pPr>
        <w:keepNext w:val="0"/>
        <w:keepLines w:val="0"/>
        <w:pageBreakBefore w:val="0"/>
        <w:widowControl w:val="0"/>
        <w:numPr>
          <w:ilvl w:val="0"/>
          <w:numId w:val="1"/>
        </w:numPr>
        <w:kinsoku/>
        <w:wordWrap/>
        <w:overflowPunct/>
        <w:topLinePunct w:val="0"/>
        <w:autoSpaceDE/>
        <w:autoSpaceDN/>
        <w:adjustRightInd/>
        <w:snapToGrid/>
        <w:spacing w:line="40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指导、监督各学校落实中华人民共和国未成年人保护法，做好青少年学生教育、管理、关爱工作。</w:t>
      </w:r>
    </w:p>
    <w:p>
      <w:pPr>
        <w:keepNext w:val="0"/>
        <w:keepLines w:val="0"/>
        <w:pageBreakBefore w:val="0"/>
        <w:widowControl w:val="0"/>
        <w:numPr>
          <w:ilvl w:val="0"/>
          <w:numId w:val="1"/>
        </w:numPr>
        <w:kinsoku/>
        <w:wordWrap/>
        <w:overflowPunct/>
        <w:topLinePunct w:val="0"/>
        <w:autoSpaceDE/>
        <w:autoSpaceDN/>
        <w:adjustRightInd/>
        <w:snapToGrid/>
        <w:spacing w:line="40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指导、组织各学校教学考试工作；协助上级部门做好普通高考、中考、会考工作。审核、指导所属各学校招生计划。</w:t>
      </w:r>
    </w:p>
    <w:p>
      <w:pPr>
        <w:keepNext w:val="0"/>
        <w:keepLines w:val="0"/>
        <w:pageBreakBefore w:val="0"/>
        <w:widowControl w:val="0"/>
        <w:numPr>
          <w:ilvl w:val="0"/>
          <w:numId w:val="1"/>
        </w:numPr>
        <w:kinsoku/>
        <w:wordWrap/>
        <w:overflowPunct/>
        <w:topLinePunct w:val="0"/>
        <w:autoSpaceDE/>
        <w:autoSpaceDN/>
        <w:adjustRightInd/>
        <w:snapToGrid/>
        <w:spacing w:line="40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做好石油教育分局各单位教育事业经费及国有资产的管理使用。</w:t>
      </w:r>
    </w:p>
    <w:p>
      <w:pPr>
        <w:keepNext w:val="0"/>
        <w:keepLines w:val="0"/>
        <w:pageBreakBefore w:val="0"/>
        <w:widowControl w:val="0"/>
        <w:numPr>
          <w:ilvl w:val="0"/>
          <w:numId w:val="1"/>
        </w:numPr>
        <w:kinsoku/>
        <w:wordWrap/>
        <w:overflowPunct/>
        <w:topLinePunct w:val="0"/>
        <w:autoSpaceDE/>
        <w:autoSpaceDN/>
        <w:adjustRightInd/>
        <w:snapToGrid/>
        <w:spacing w:line="40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lang w:eastAsia="zh-CN"/>
        </w:rPr>
        <w:t>负责所属学校各类基本建设管理，教学设施设备购置；做好教育教学用房、教育教学设备、教育教学用地管理。</w:t>
      </w:r>
    </w:p>
    <w:p>
      <w:pPr>
        <w:keepNext w:val="0"/>
        <w:keepLines w:val="0"/>
        <w:pageBreakBefore w:val="0"/>
        <w:widowControl w:val="0"/>
        <w:numPr>
          <w:ilvl w:val="0"/>
          <w:numId w:val="1"/>
        </w:numPr>
        <w:kinsoku/>
        <w:wordWrap/>
        <w:overflowPunct/>
        <w:topLinePunct w:val="0"/>
        <w:autoSpaceDE/>
        <w:autoSpaceDN/>
        <w:adjustRightInd/>
        <w:snapToGrid/>
        <w:spacing w:line="40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做好</w:t>
      </w:r>
      <w:r>
        <w:rPr>
          <w:rFonts w:hint="eastAsia" w:ascii="仿宋_GB2312" w:eastAsia="仿宋_GB2312"/>
          <w:sz w:val="32"/>
          <w:szCs w:val="32"/>
          <w:highlight w:val="none"/>
          <w:lang w:eastAsia="zh-CN"/>
        </w:rPr>
        <w:t>所属单位教育信息的统计、上报、分析工作。</w:t>
      </w:r>
    </w:p>
    <w:p>
      <w:pPr>
        <w:keepNext w:val="0"/>
        <w:keepLines w:val="0"/>
        <w:pageBreakBefore w:val="0"/>
        <w:widowControl w:val="0"/>
        <w:kinsoku/>
        <w:wordWrap/>
        <w:overflowPunct/>
        <w:topLinePunct w:val="0"/>
        <w:autoSpaceDE/>
        <w:autoSpaceDN/>
        <w:adjustRightInd/>
        <w:snapToGrid/>
        <w:spacing w:line="400" w:lineRule="exact"/>
        <w:ind w:firstLine="640" w:firstLineChars="200"/>
        <w:jc w:val="both"/>
        <w:textAlignment w:val="auto"/>
        <w:outlineLvl w:val="1"/>
        <w:rPr>
          <w:rFonts w:hint="eastAsia" w:ascii="黑体" w:hAnsi="黑体" w:eastAsia="黑体" w:cs="宋体"/>
          <w:kern w:val="0"/>
          <w:sz w:val="32"/>
          <w:szCs w:val="32"/>
          <w:highlight w:val="none"/>
        </w:rPr>
      </w:pPr>
      <w:bookmarkStart w:id="4" w:name="_Toc31238"/>
      <w:bookmarkStart w:id="5" w:name="_Toc2151"/>
      <w:r>
        <w:rPr>
          <w:rFonts w:hint="eastAsia" w:ascii="黑体" w:hAnsi="黑体" w:eastAsia="黑体" w:cs="宋体"/>
          <w:kern w:val="0"/>
          <w:sz w:val="32"/>
          <w:szCs w:val="32"/>
          <w:highlight w:val="none"/>
        </w:rPr>
        <w:t>二、机构设置</w:t>
      </w:r>
      <w:r>
        <w:rPr>
          <w:rFonts w:hint="eastAsia" w:ascii="黑体" w:hAnsi="黑体" w:eastAsia="黑体" w:cs="宋体"/>
          <w:kern w:val="0"/>
          <w:sz w:val="32"/>
          <w:szCs w:val="32"/>
          <w:highlight w:val="none"/>
          <w:lang w:eastAsia="zh-CN"/>
        </w:rPr>
        <w:t>及</w:t>
      </w:r>
      <w:bookmarkEnd w:id="4"/>
      <w:r>
        <w:rPr>
          <w:rFonts w:hint="eastAsia" w:ascii="黑体" w:hAnsi="黑体" w:eastAsia="黑体" w:cs="宋体"/>
          <w:kern w:val="0"/>
          <w:sz w:val="32"/>
          <w:szCs w:val="32"/>
          <w:highlight w:val="none"/>
          <w:lang w:eastAsia="zh-CN"/>
        </w:rPr>
        <w:t>人员</w:t>
      </w:r>
      <w:r>
        <w:rPr>
          <w:rFonts w:hint="eastAsia" w:ascii="黑体" w:hAnsi="黑体" w:eastAsia="黑体" w:cs="宋体"/>
          <w:kern w:val="0"/>
          <w:sz w:val="32"/>
          <w:szCs w:val="32"/>
          <w:highlight w:val="none"/>
        </w:rPr>
        <w:t>情况</w:t>
      </w:r>
      <w:bookmarkEnd w:id="5"/>
    </w:p>
    <w:p>
      <w:pPr>
        <w:keepNext w:val="0"/>
        <w:keepLines w:val="0"/>
        <w:pageBreakBefore w:val="0"/>
        <w:widowControl w:val="0"/>
        <w:kinsoku/>
        <w:wordWrap/>
        <w:overflowPunct/>
        <w:topLinePunct w:val="0"/>
        <w:autoSpaceDE/>
        <w:autoSpaceDN/>
        <w:adjustRightInd/>
        <w:snapToGrid/>
        <w:spacing w:line="400" w:lineRule="exact"/>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哈密市教育局石油教育分局2023年度，实有人数500人，其中：在职人员349人，离休人员0人，退休人员151人。</w:t>
      </w:r>
    </w:p>
    <w:p>
      <w:pPr>
        <w:keepNext w:val="0"/>
        <w:keepLines w:val="0"/>
        <w:pageBreakBefore w:val="0"/>
        <w:widowControl w:val="0"/>
        <w:kinsoku/>
        <w:wordWrap/>
        <w:overflowPunct/>
        <w:topLinePunct w:val="0"/>
        <w:autoSpaceDE/>
        <w:autoSpaceDN/>
        <w:adjustRightInd/>
        <w:snapToGrid/>
        <w:spacing w:line="400" w:lineRule="exact"/>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单位无下属预算单位，下设11个处室，分别是：哈密市第六小学、哈密市第十四中学、哈密市外国语学校、哈密市第十五中学、办公室、人事劳资（组织）科、党群科、计划财务科、普教科、教研室、石油教育服务中心。</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6" w:name="_Toc3092"/>
      <w:bookmarkStart w:id="7" w:name="_Toc29374"/>
      <w:r>
        <w:rPr>
          <w:rFonts w:hint="default" w:ascii="黑体"/>
          <w:b/>
          <w:kern w:val="44"/>
          <w:sz w:val="28"/>
          <w:highlight w:val="none"/>
        </w:rPr>
        <w:br w:type="page"/>
      </w:r>
      <w:r>
        <w:rPr>
          <w:rFonts w:hint="default" w:ascii="黑体"/>
          <w:b/>
          <w:spacing w:val="40"/>
          <w:sz w:val="28"/>
          <w:highlight w:val="none"/>
        </w:rPr>
        <w:t xml:space="preserve"> </w:t>
      </w:r>
      <w:r>
        <w:rPr>
          <w:rFonts w:hint="eastAsia" w:ascii="黑体" w:hAnsi="黑体" w:eastAsia="黑体"/>
          <w:sz w:val="32"/>
          <w:szCs w:val="32"/>
          <w:highlight w:val="none"/>
        </w:rPr>
        <w:t>第二部分 部门决算情况说明</w:t>
      </w:r>
      <w:bookmarkEnd w:id="6"/>
      <w:bookmarkEnd w:id="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8" w:name="_Toc25314"/>
      <w:bookmarkStart w:id="9" w:name="_Toc12566"/>
      <w:r>
        <w:rPr>
          <w:rFonts w:hint="eastAsia" w:ascii="黑体" w:hAnsi="黑体" w:eastAsia="黑体" w:cs="宋体"/>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2023</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收入总计8,610.97万元</w:t>
      </w:r>
      <w:r>
        <w:rPr>
          <w:rFonts w:hint="eastAsia" w:ascii="仿宋_GB2312" w:eastAsia="仿宋_GB2312"/>
          <w:sz w:val="32"/>
          <w:szCs w:val="32"/>
          <w:highlight w:val="none"/>
          <w:lang w:eastAsia="zh-CN"/>
        </w:rPr>
        <w:t>，其中：本年收入合计8,608.28万元，使用非财政拨款结余0.00万元，年初结转和结余2.69万元。</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2023年度支出总计8,610.97万元</w:t>
      </w:r>
      <w:r>
        <w:rPr>
          <w:rFonts w:hint="eastAsia" w:ascii="仿宋_GB2312" w:eastAsia="仿宋_GB2312"/>
          <w:sz w:val="32"/>
          <w:szCs w:val="32"/>
          <w:highlight w:val="none"/>
          <w:lang w:eastAsia="zh-CN"/>
        </w:rPr>
        <w:t>，其中：本年支出合计8,606.68万元，结余分配0.00万元，年末结转和结余4.30万元。</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收入支出总体与上年相比</w:t>
      </w:r>
      <w:r>
        <w:rPr>
          <w:rFonts w:hint="eastAsia" w:ascii="仿宋_GB2312" w:eastAsia="仿宋_GB2312"/>
          <w:sz w:val="32"/>
          <w:szCs w:val="32"/>
          <w:highlight w:val="none"/>
          <w:lang w:eastAsia="zh-CN"/>
        </w:rPr>
        <w:t>，增加357.00万元，增长4.33%，主要原因是</w:t>
      </w:r>
      <w:r>
        <w:rPr>
          <w:rFonts w:hint="eastAsia" w:ascii="仿宋_GB2312" w:eastAsia="仿宋_GB2312"/>
          <w:sz w:val="32"/>
          <w:szCs w:val="32"/>
          <w:highlight w:val="none"/>
        </w:rPr>
        <w:t>：我单位本年增加义务教育薄弱环节改善与能力提升补助</w:t>
      </w:r>
      <w:r>
        <w:rPr>
          <w:rFonts w:hint="eastAsia" w:ascii="仿宋_GB2312" w:eastAsia="仿宋_GB2312"/>
          <w:sz w:val="32"/>
          <w:szCs w:val="32"/>
          <w:highlight w:val="none"/>
          <w:lang w:eastAsia="zh-CN"/>
        </w:rPr>
        <w:t>、城乡义务教育生均公用经费</w:t>
      </w:r>
      <w:r>
        <w:rPr>
          <w:rFonts w:hint="eastAsia" w:ascii="仿宋_GB2312" w:eastAsia="仿宋_GB2312"/>
          <w:sz w:val="32"/>
          <w:szCs w:val="32"/>
          <w:highlight w:val="none"/>
          <w:lang w:val="en-US" w:eastAsia="zh-CN"/>
        </w:rPr>
        <w:t>等项目</w:t>
      </w:r>
      <w:r>
        <w:rPr>
          <w:rFonts w:hint="eastAsia" w:ascii="仿宋_GB2312" w:eastAsia="仿宋_GB2312"/>
          <w:sz w:val="32"/>
          <w:szCs w:val="32"/>
          <w:highlight w:val="none"/>
        </w:rPr>
        <w:t>经费，因此收入支出总体与上年相比增加。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rPr>
      </w:pPr>
      <w:bookmarkStart w:id="10" w:name="_Toc1979"/>
      <w:bookmarkStart w:id="11" w:name="_Toc12142"/>
      <w:r>
        <w:rPr>
          <w:rFonts w:hint="eastAsia" w:ascii="黑体" w:hAnsi="黑体" w:eastAsia="黑体" w:cs="宋体"/>
          <w:kern w:val="0"/>
          <w:sz w:val="32"/>
          <w:szCs w:val="32"/>
          <w:highlight w:val="none"/>
          <w:lang w:eastAsia="zh-CN"/>
        </w:rPr>
        <w:t>二、</w:t>
      </w:r>
      <w:r>
        <w:rPr>
          <w:rFonts w:hint="eastAsia" w:ascii="黑体" w:hAnsi="黑体" w:eastAsia="黑体" w:cs="宋体"/>
          <w:kern w:val="0"/>
          <w:sz w:val="32"/>
          <w:szCs w:val="32"/>
          <w:highlight w:val="none"/>
        </w:rPr>
        <w:t>收入</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本年收入8,608.28万元，其中：财政拨款收入8,606.05万元，占99.97%；上级补助收入0.00万元，占0.00%；事业收入0.00万元，占0.00%；经营收入0.00万元，占0.00%；附属单位上缴收入0.00万元，占0.00%；其他收入2.23万元，占0.03%。</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2" w:name="_Toc13201"/>
      <w:bookmarkStart w:id="13" w:name="_Toc27961"/>
      <w:r>
        <w:rPr>
          <w:rFonts w:hint="eastAsia" w:ascii="黑体" w:hAnsi="黑体" w:eastAsia="黑体" w:cs="宋体"/>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本年支出8,606.68万元，其中：基本支出7,124.17万元，占82.77%；项目支出1,482.51万元，占17.23%；上缴上级支出0.00万元，占0.00%；经营支出0.00万元，占0.00%；对附属单位补助支出0.00万元，占0.00%。</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4" w:name="_Toc26564"/>
      <w:bookmarkStart w:id="15" w:name="_Toc4393"/>
      <w:r>
        <w:rPr>
          <w:rFonts w:hint="eastAsia" w:ascii="黑体" w:hAnsi="黑体" w:eastAsia="黑体" w:cs="宋体"/>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2023</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财政拨款收入总计8,607.66万元，其中：年初财政拨款结转和结余1.61万元，本年财政拨款收入8,606.05万元。财政拨款支出总计8,607.66万元，其中：年末财政拨款结转和结余1.61万元，本年财政拨款支出8,606.05万元。</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财政拨款收入支出总体与上年相比，增加356.20万元，增长4.32%，</w:t>
      </w:r>
      <w:r>
        <w:rPr>
          <w:rFonts w:hint="eastAsia" w:ascii="仿宋_GB2312" w:eastAsia="仿宋_GB2312"/>
          <w:sz w:val="32"/>
          <w:szCs w:val="32"/>
          <w:highlight w:val="none"/>
          <w:lang w:eastAsia="zh-CN"/>
        </w:rPr>
        <w:t>主要原因是：</w:t>
      </w:r>
      <w:r>
        <w:rPr>
          <w:rFonts w:hint="eastAsia" w:ascii="仿宋_GB2312" w:eastAsia="仿宋_GB2312"/>
          <w:sz w:val="32"/>
          <w:szCs w:val="32"/>
          <w:highlight w:val="none"/>
        </w:rPr>
        <w:t>我单位本年增加义务教育薄弱环节改善与能力提升补助</w:t>
      </w:r>
      <w:r>
        <w:rPr>
          <w:rFonts w:hint="eastAsia" w:ascii="仿宋_GB2312" w:eastAsia="仿宋_GB2312"/>
          <w:sz w:val="32"/>
          <w:szCs w:val="32"/>
          <w:highlight w:val="none"/>
          <w:lang w:eastAsia="zh-CN"/>
        </w:rPr>
        <w:t>、城乡义务教育生均公用经费</w:t>
      </w:r>
      <w:r>
        <w:rPr>
          <w:rFonts w:hint="eastAsia" w:ascii="仿宋_GB2312" w:eastAsia="仿宋_GB2312"/>
          <w:sz w:val="32"/>
          <w:szCs w:val="32"/>
          <w:highlight w:val="none"/>
          <w:lang w:val="en-US" w:eastAsia="zh-CN"/>
        </w:rPr>
        <w:t>等项目</w:t>
      </w:r>
      <w:r>
        <w:rPr>
          <w:rFonts w:hint="eastAsia" w:ascii="仿宋_GB2312" w:eastAsia="仿宋_GB2312"/>
          <w:sz w:val="32"/>
          <w:szCs w:val="32"/>
          <w:highlight w:val="none"/>
        </w:rPr>
        <w:t>经费，因此财政拨款收入支出总体与上年相比增加。与年初预算相比，年初预算数8,227.03万元，决算数8,607.66万元，预决算差异率4.63%，主要原因是：我单位本年项目安排增加，年中追加哈密市十四中学实验楼建设</w:t>
      </w:r>
      <w:r>
        <w:rPr>
          <w:rFonts w:hint="eastAsia" w:ascii="仿宋_GB2312" w:eastAsia="仿宋_GB2312"/>
          <w:sz w:val="32"/>
          <w:szCs w:val="32"/>
          <w:highlight w:val="none"/>
          <w:lang w:val="en-US" w:eastAsia="zh-CN"/>
        </w:rPr>
        <w:t>项目经费</w:t>
      </w:r>
      <w:r>
        <w:rPr>
          <w:rFonts w:hint="eastAsia" w:ascii="仿宋_GB2312" w:eastAsia="仿宋_GB2312"/>
          <w:sz w:val="32"/>
          <w:szCs w:val="32"/>
          <w:highlight w:val="none"/>
        </w:rPr>
        <w:t>预算，因此预决算相比产生差异。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6" w:name="_Toc20360"/>
      <w:bookmarkStart w:id="17" w:name="_Toc13833"/>
      <w:r>
        <w:rPr>
          <w:rFonts w:hint="eastAsia" w:ascii="黑体" w:hAnsi="黑体" w:eastAsia="黑体" w:cs="宋体"/>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（一）一般公共预算财政拨款支出决算总体情况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pacing w:val="0"/>
          <w:sz w:val="32"/>
          <w:szCs w:val="32"/>
          <w:highlight w:val="none"/>
        </w:rPr>
        <w:t>2023</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一般公共预算财政拨款支出8,606.05万元，占本年支出合计的99.99%。与上年相比，增加440.92万元，增长5.40%，主要原因是：我单位本年增加义务教育薄弱环节改善与能力提升补助</w:t>
      </w:r>
      <w:r>
        <w:rPr>
          <w:rFonts w:hint="eastAsia" w:ascii="仿宋_GB2312" w:eastAsia="仿宋_GB2312"/>
          <w:sz w:val="32"/>
          <w:szCs w:val="32"/>
          <w:highlight w:val="none"/>
          <w:lang w:eastAsia="zh-CN"/>
        </w:rPr>
        <w:t>、城乡义务教育生均公用经费</w:t>
      </w:r>
      <w:r>
        <w:rPr>
          <w:rFonts w:hint="eastAsia" w:ascii="仿宋_GB2312" w:eastAsia="仿宋_GB2312"/>
          <w:sz w:val="32"/>
          <w:szCs w:val="32"/>
          <w:highlight w:val="none"/>
          <w:lang w:val="en-US" w:eastAsia="zh-CN"/>
        </w:rPr>
        <w:t>等项目支出</w:t>
      </w:r>
      <w:r>
        <w:rPr>
          <w:rFonts w:hint="eastAsia" w:ascii="仿宋_GB2312" w:eastAsia="仿宋_GB2312"/>
          <w:sz w:val="32"/>
          <w:szCs w:val="32"/>
          <w:highlight w:val="none"/>
        </w:rPr>
        <w:t>，因此一般公共预算财政拨款支出较上年增加。</w:t>
      </w:r>
      <w:r>
        <w:rPr>
          <w:rFonts w:hint="eastAsia" w:ascii="仿宋_GB2312" w:eastAsia="仿宋_GB2312"/>
          <w:sz w:val="32"/>
          <w:szCs w:val="32"/>
          <w:highlight w:val="none"/>
          <w:lang w:eastAsia="zh-CN"/>
        </w:rPr>
        <w:t>与年初预算相比，年初预算数</w:t>
      </w:r>
      <w:r>
        <w:rPr>
          <w:rFonts w:hint="eastAsia" w:ascii="仿宋_GB2312" w:eastAsia="仿宋_GB2312"/>
          <w:sz w:val="32"/>
          <w:szCs w:val="32"/>
          <w:highlight w:val="none"/>
        </w:rPr>
        <w:t>8,227.03万元，决算数8,606.05万元，预决算差异率4.61%，主要原因是：我单位本年项目安排增加，年中追加哈密市十四中学实验楼建设</w:t>
      </w:r>
      <w:r>
        <w:rPr>
          <w:rFonts w:hint="eastAsia" w:ascii="仿宋_GB2312" w:eastAsia="仿宋_GB2312"/>
          <w:sz w:val="32"/>
          <w:szCs w:val="32"/>
          <w:highlight w:val="none"/>
          <w:lang w:val="en-US" w:eastAsia="zh-CN"/>
        </w:rPr>
        <w:t>项目经费</w:t>
      </w:r>
      <w:r>
        <w:rPr>
          <w:rFonts w:hint="eastAsia" w:ascii="仿宋_GB2312" w:eastAsia="仿宋_GB2312"/>
          <w:sz w:val="32"/>
          <w:szCs w:val="32"/>
          <w:highlight w:val="none"/>
        </w:rPr>
        <w:t>预算，因此预决算相比产生差异。</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（二）一般公共预算财政拨款支出决算结构情况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1.教育支出（类）7,709.98万元，占89.59%。</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2.社会保障和就业支出（类）780.25万元，占9.07%。</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3.卫生健康支出（类）115.83万元，占1.34%。</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（三）一般公共预算财政拨款支出决算具体情况</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1.教育支出（类）教育管理事务（款）其他教育管理事务支出（项）：支出决算数为7,215.64万元，比上年决算增加737.62万元，增长11.39%，主要原因是：</w:t>
      </w:r>
      <w:r>
        <w:rPr>
          <w:rFonts w:hint="eastAsia" w:ascii="仿宋_GB2312" w:eastAsia="仿宋_GB2312"/>
          <w:sz w:val="32"/>
          <w:szCs w:val="32"/>
          <w:highlight w:val="none"/>
        </w:rPr>
        <w:t>我单位本年增加义务教育薄弱环节改善与能力提升补助</w:t>
      </w:r>
      <w:r>
        <w:rPr>
          <w:rFonts w:hint="eastAsia" w:ascii="仿宋_GB2312" w:eastAsia="仿宋_GB2312"/>
          <w:sz w:val="32"/>
          <w:szCs w:val="32"/>
          <w:highlight w:val="none"/>
          <w:lang w:eastAsia="zh-CN"/>
        </w:rPr>
        <w:t>、城乡义务教育生均公用经费</w:t>
      </w:r>
      <w:r>
        <w:rPr>
          <w:rFonts w:hint="eastAsia" w:ascii="仿宋_GB2312" w:eastAsia="仿宋_GB2312"/>
          <w:sz w:val="32"/>
          <w:szCs w:val="32"/>
          <w:highlight w:val="none"/>
          <w:lang w:val="en-US" w:eastAsia="zh-CN"/>
        </w:rPr>
        <w:t>等项目支出，因此支出较上年增加。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2.教育支出（类）普通教育（款）小学教育（项）：支出决算数为139.10万元，比上年决算增加139.10万元，增长100%，主要原因是：本年新增科目，用于城乡义务教育补助经费（小学教育）项目支出，因此支出较上年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3.教育支出（类）普通教育（款）初中教育（项）：支出决算数为94.17万元，比上年决算增加94.17万元，增长100%，主要原因是：本年新增科目，用于城乡义务教育补助经费（初中教育）项目支出，因此支出较上年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4.教育支出（类）普通教育（款）高中教育（项）：支出决算数为38.45万元，比上年决算减少2.24万元，下降5.51%，主要原因是：我单位本年减少普通高中学生补助项目支出，因此支出较上年减少。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5.教育支出（类）普通教育（款）其他普通教育支出（项）：支出决算数为222.62万元，比上年决算减少765.51万元，下降77.47%，主要原因是：我单位本年减少义务教育校舍安全保障机制项目经费支出，因此支出较上年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6.社会保障和就业支出（类）行政事业单位养老支出（款）机关事业单位基本养老保险缴费支出（项）：支出决算数为677.40万元，比上年决算增加157.58万元，增长30.31%，主要原因是：我单位本年工资调增，机关事业单位基本养老保险缴费基数增加，因此支出较上年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7.社会保障和就业支出（类）行政事业单位养老支出（款）机关事业单位职业年金缴费支出（项）：支出决算数为102.85万元，比上年决算减少35.62万元，下降25.72%，主要原因是：我单位本年在职转退休人员较上年减少，因此机关事业单位职业年金缴费支出减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val="en-US" w:eastAsia="zh-CN"/>
        </w:rPr>
        <w:t>8.卫生健康支出（类）行政事业单位医疗（款）公务员医疗补助（项）：支出决算数为115.83万元，比上年决算增加115.83万元，增长100%，主要原因是：我单位本年功能科目调整，公务员医疗补助缴费从教育支出（类）教育管理事务（款）其他教育管理事务支出（项）调整至本科目核算，因此支出较上年增加。</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18" w:name="_Toc11146"/>
      <w:bookmarkStart w:id="19" w:name="_Toc30870"/>
      <w:r>
        <w:rPr>
          <w:rFonts w:hint="eastAsia" w:ascii="黑体" w:hAnsi="黑体" w:eastAsia="黑体" w:cs="宋体"/>
          <w:kern w:val="0"/>
          <w:sz w:val="32"/>
          <w:szCs w:val="32"/>
          <w:highlight w:val="none"/>
          <w:lang w:eastAsia="zh-CN"/>
        </w:rPr>
        <w:t>六、一般公共预算财政拨款基本支出决算情况说明</w:t>
      </w:r>
      <w:bookmarkEnd w:id="18"/>
      <w:bookmarkEnd w:id="1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2023年度一般公共预算财政拨款基本支出7,123.54万元，其中：人员经费6,568.37万元，包括：基本工资、津贴补贴、奖金、绩效工资、机关事业单位基本养老保险缴费、职业年金缴费、职工基本医疗保险缴费、公务员医疗补助缴费、其他社会保障缴费、住房公积金、其他工资福利支出、退休费、抚恤金、生活补助、医疗费补助、奖励金。</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rPr>
        <w:t>公用经费555.17万元，包括：办公费、印刷费、水费、电费、邮电费、取暖费、物业管理费、差旅费、维修（护）费、培训费、公务接待费、专用燃料费、工会经费、福利费、公务用车运行维护费、专用设备购置。</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0" w:name="_Toc7190"/>
      <w:bookmarkStart w:id="21" w:name="_Toc21518"/>
      <w:r>
        <w:rPr>
          <w:rFonts w:hint="eastAsia" w:ascii="黑体" w:hAnsi="黑体" w:eastAsia="黑体" w:cs="宋体"/>
          <w:kern w:val="0"/>
          <w:sz w:val="32"/>
          <w:szCs w:val="32"/>
          <w:highlight w:val="none"/>
          <w:lang w:eastAsia="zh-CN"/>
        </w:rPr>
        <w:t>七</w:t>
      </w:r>
      <w:r>
        <w:rPr>
          <w:rFonts w:hint="eastAsia" w:ascii="黑体" w:hAnsi="黑体" w:eastAsia="黑体" w:cs="宋体"/>
          <w:kern w:val="0"/>
          <w:sz w:val="32"/>
          <w:szCs w:val="32"/>
          <w:highlight w:val="none"/>
        </w:rPr>
        <w:t>、</w:t>
      </w:r>
      <w:r>
        <w:rPr>
          <w:rFonts w:hint="eastAsia" w:ascii="黑体" w:hAnsi="黑体" w:eastAsia="黑体" w:cs="宋体"/>
          <w:kern w:val="0"/>
          <w:sz w:val="32"/>
          <w:szCs w:val="32"/>
          <w:highlight w:val="none"/>
          <w:lang w:eastAsia="zh-CN"/>
        </w:rPr>
        <w:t>财政拨款</w:t>
      </w:r>
      <w:r>
        <w:rPr>
          <w:rFonts w:hint="eastAsia" w:ascii="黑体" w:hAnsi="黑体" w:eastAsia="黑体" w:cs="宋体"/>
          <w:kern w:val="0"/>
          <w:sz w:val="32"/>
          <w:szCs w:val="32"/>
          <w:highlight w:val="none"/>
        </w:rPr>
        <w:t>“三公”经费支出</w:t>
      </w:r>
      <w:r>
        <w:rPr>
          <w:rFonts w:hint="eastAsia" w:ascii="黑体" w:hAnsi="黑体" w:eastAsia="黑体" w:cs="宋体"/>
          <w:kern w:val="0"/>
          <w:sz w:val="32"/>
          <w:szCs w:val="32"/>
          <w:highlight w:val="none"/>
          <w:lang w:eastAsia="zh-CN"/>
        </w:rPr>
        <w:t>决算</w:t>
      </w:r>
      <w:r>
        <w:rPr>
          <w:rFonts w:hint="eastAsia" w:ascii="黑体" w:hAnsi="黑体" w:eastAsia="黑体" w:cs="宋体"/>
          <w:kern w:val="0"/>
          <w:sz w:val="32"/>
          <w:szCs w:val="32"/>
          <w:highlight w:val="none"/>
        </w:rPr>
        <w:t>情况</w:t>
      </w:r>
      <w:r>
        <w:rPr>
          <w:rFonts w:hint="eastAsia" w:ascii="黑体" w:hAnsi="黑体" w:eastAsia="黑体" w:cs="宋体"/>
          <w:kern w:val="0"/>
          <w:sz w:val="32"/>
          <w:szCs w:val="32"/>
          <w:highlight w:val="none"/>
          <w:lang w:eastAsia="zh-CN"/>
        </w:rPr>
        <w:t>说明</w:t>
      </w:r>
      <w:bookmarkEnd w:id="20"/>
      <w:bookmarkEnd w:id="2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2023</w:t>
      </w:r>
      <w:r>
        <w:rPr>
          <w:rFonts w:hint="eastAsia" w:ascii="仿宋_GB2312" w:eastAsia="仿宋_GB2312"/>
          <w:spacing w:val="0"/>
          <w:sz w:val="32"/>
          <w:szCs w:val="32"/>
          <w:highlight w:val="none"/>
          <w:lang w:eastAsia="zh-CN"/>
        </w:rPr>
        <w:t>年度</w:t>
      </w:r>
      <w:r>
        <w:rPr>
          <w:rFonts w:hint="eastAsia" w:ascii="仿宋_GB2312" w:eastAsia="仿宋_GB2312"/>
          <w:sz w:val="32"/>
          <w:szCs w:val="32"/>
          <w:highlight w:val="none"/>
        </w:rPr>
        <w:t>财政拨款“三公”经费支出3.52万元，比上年减少3.83万元，下降52.11%，主要原因是：厉行节约，减少公务用车外出次数，减少公务用车燃油费、维修费等支出，因此财政拨款“三公”经费支出减少。其中：因公出国（境）费支出0.00万元，占0.00%，比上年增加0.00万元，增长0.00%，主要原因是：我单位无</w:t>
      </w:r>
      <w:r>
        <w:rPr>
          <w:rFonts w:hint="eastAsia" w:ascii="仿宋_GB2312" w:eastAsia="仿宋_GB2312"/>
          <w:sz w:val="32"/>
          <w:szCs w:val="32"/>
          <w:highlight w:val="none"/>
          <w:lang w:eastAsia="zh-CN"/>
        </w:rPr>
        <w:t>因公出国（境）费</w:t>
      </w:r>
      <w:r>
        <w:rPr>
          <w:rFonts w:hint="eastAsia" w:ascii="仿宋_GB2312" w:eastAsia="仿宋_GB2312"/>
          <w:sz w:val="32"/>
          <w:szCs w:val="32"/>
          <w:highlight w:val="none"/>
        </w:rPr>
        <w:t>支出；公务用车购置及运行维护费支出2.89万元，占82.10%，比上年减少4.27万元，下降59.64%，主要原因是：厉行节约，减少公务用车外出次数，减少公务用车燃油费、维修费等支出，因此公务用车购置及运行维护费支出减少；公务接待费支出0.63万元，占17.90%，比上年增加0.44万元，增长231.58%，主要原因是：业务量增加，公务接待任务安排增加，因此公务接待费支出增加。</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具体情况如下：</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因公出国（境）费支出0.00万元，开支内容包括我单位无</w:t>
      </w:r>
      <w:r>
        <w:rPr>
          <w:rFonts w:hint="eastAsia" w:ascii="仿宋_GB2312" w:eastAsia="仿宋_GB2312"/>
          <w:sz w:val="32"/>
          <w:szCs w:val="32"/>
          <w:highlight w:val="none"/>
          <w:lang w:eastAsia="zh-CN"/>
        </w:rPr>
        <w:t>因公出国（境）费</w:t>
      </w:r>
      <w:r>
        <w:rPr>
          <w:rFonts w:hint="eastAsia" w:ascii="仿宋_GB2312" w:eastAsia="仿宋_GB2312"/>
          <w:sz w:val="32"/>
          <w:szCs w:val="32"/>
          <w:highlight w:val="none"/>
        </w:rPr>
        <w:t>支出。单位全年安排的因公出国（境）团组0个，因公出国（境）0人次。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用车购置及运行维护费2.89万元，其中：公务用车购置费0.00万元，公务用车运行维护费2.89万元。公务用车运行维护费开支内容包括公务用车燃料费、维修费、过路过桥费、保险费等支出。公务用车购置数0辆，公务用车保有量2辆。国有资产占用情况中固定资产车辆2辆，与公务用车保有量差异原因是：我单位固定资产车辆数与公务用车保有量一致，相比无差异。</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公务接待费0.63万元，开支内容包括接待上级领导检查的就餐费</w:t>
      </w:r>
      <w:r>
        <w:rPr>
          <w:rFonts w:hint="eastAsia" w:ascii="仿宋_GB2312" w:eastAsia="仿宋_GB2312"/>
          <w:sz w:val="32"/>
          <w:szCs w:val="32"/>
          <w:highlight w:val="none"/>
          <w:lang w:val="en-US" w:eastAsia="zh-CN"/>
        </w:rPr>
        <w:t>支出</w:t>
      </w:r>
      <w:r>
        <w:rPr>
          <w:rFonts w:hint="eastAsia" w:ascii="仿宋_GB2312" w:eastAsia="仿宋_GB2312"/>
          <w:sz w:val="32"/>
          <w:szCs w:val="32"/>
          <w:highlight w:val="none"/>
        </w:rPr>
        <w:t>。单位全年安排的国内公务接待8批次，74人次。</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与全年预算相比，财政拨款“三公”经费支出全年预算数8.00万元，决算数3.52万元，预决算差异率-56.00%，主要原因是：2023年我单位严格执行中央八项规定，厉行节约，压减财政拨款“三公”经费支出，因此预决算差异率为负数。</w:t>
      </w:r>
      <w:r>
        <w:rPr>
          <w:rFonts w:hint="eastAsia" w:ascii="仿宋_GB2312" w:eastAsia="仿宋_GB2312"/>
          <w:sz w:val="32"/>
          <w:szCs w:val="32"/>
          <w:highlight w:val="none"/>
          <w:lang w:eastAsia="zh-CN"/>
        </w:rPr>
        <w:t>其中：因公出国（境）费全年预算数0.00万元，决算数0.00万元，预决算差异率0.00%，主要原因是：我单位无因公出国（境）费预算安排；</w:t>
      </w:r>
      <w:r>
        <w:rPr>
          <w:rFonts w:hint="eastAsia" w:ascii="仿宋_GB2312" w:eastAsia="仿宋_GB2312"/>
          <w:sz w:val="32"/>
          <w:szCs w:val="32"/>
          <w:highlight w:val="none"/>
        </w:rPr>
        <w:t>公务用车购置费全年预算数0.00万元，决算数0.00万元，预决算差异率0.00%，主要原因是：我单位本年度无公务用车购置费支出，预决算对比无差异；</w:t>
      </w:r>
      <w:r>
        <w:rPr>
          <w:rFonts w:hint="eastAsia" w:ascii="仿宋_GB2312" w:hAnsi="宋体" w:eastAsia="仿宋_GB2312" w:cs="宋体"/>
          <w:kern w:val="0"/>
          <w:sz w:val="32"/>
          <w:szCs w:val="32"/>
          <w:highlight w:val="none"/>
        </w:rPr>
        <w:t>公务用车运行费全年预算数6.00万元，决算数2.89万元，预决算差异率-51.83%，主要原因是：2023年我单位严格执行中央八项规定，厉行节约，压减公务用车运行费支出，因此预决算差异率为负数；</w:t>
      </w:r>
      <w:r>
        <w:rPr>
          <w:rFonts w:hint="eastAsia" w:ascii="仿宋_GB2312" w:eastAsia="仿宋_GB2312"/>
          <w:sz w:val="32"/>
          <w:szCs w:val="32"/>
          <w:highlight w:val="none"/>
        </w:rPr>
        <w:t>公务接待费全年预算数2.00万元，决算数0.63万元，预决算差异率-68.50%，主要原因是：2023年我单位严格执行中央八项规定，厉行节约，压减公务接待费支出，因此预决算差异率为负数。</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2" w:name="_Toc7927"/>
      <w:bookmarkStart w:id="23" w:name="_Toc5810"/>
      <w:r>
        <w:rPr>
          <w:rFonts w:hint="eastAsia" w:ascii="黑体" w:hAnsi="黑体" w:eastAsia="黑体" w:cs="宋体"/>
          <w:kern w:val="0"/>
          <w:sz w:val="32"/>
          <w:szCs w:val="32"/>
          <w:highlight w:val="none"/>
          <w:lang w:eastAsia="zh-CN"/>
        </w:rPr>
        <w:t>八、政府性基金预算财政拨款收入支出决算情况说明</w:t>
      </w:r>
      <w:bookmarkEnd w:id="22"/>
      <w:bookmarkEnd w:id="23"/>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我单位本年度无政府性基金预算财政拨款收入、支出及结转和结余，</w:t>
      </w:r>
      <w:r>
        <w:rPr>
          <w:rFonts w:hint="eastAsia" w:ascii="仿宋_GB2312" w:eastAsia="仿宋_GB2312"/>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九、国有资本经营预算财政拨款收入支出决算情况说明</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我单位本年度无国有资本经营预算财政拨款收入、支出及结转和结余，</w:t>
      </w:r>
      <w:r>
        <w:rPr>
          <w:rFonts w:hint="eastAsia" w:ascii="仿宋_GB2312" w:eastAsia="仿宋_GB2312"/>
          <w:sz w:val="32"/>
          <w:szCs w:val="32"/>
          <w:highlight w:val="none"/>
        </w:rPr>
        <w:t>国有资本经营预算财政拨款收入支出决算表为空表。</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24" w:name="_Toc7314"/>
      <w:bookmarkStart w:id="25" w:name="_Toc1235"/>
      <w:r>
        <w:rPr>
          <w:rFonts w:hint="eastAsia" w:ascii="黑体" w:hAnsi="黑体" w:eastAsia="黑体" w:cs="宋体"/>
          <w:kern w:val="0"/>
          <w:sz w:val="32"/>
          <w:szCs w:val="32"/>
          <w:highlight w:val="none"/>
          <w:lang w:eastAsia="zh-CN"/>
        </w:rPr>
        <w:t>十</w:t>
      </w:r>
      <w:r>
        <w:rPr>
          <w:rFonts w:hint="eastAsia" w:ascii="黑体" w:hAnsi="黑体" w:eastAsia="黑体" w:cs="宋体"/>
          <w:kern w:val="0"/>
          <w:sz w:val="32"/>
          <w:szCs w:val="32"/>
          <w:highlight w:val="none"/>
        </w:rPr>
        <w:t>、其他重要事项的情况</w:t>
      </w:r>
      <w:r>
        <w:rPr>
          <w:rFonts w:hint="eastAsia" w:ascii="黑体" w:hAnsi="黑体" w:eastAsia="黑体" w:cs="宋体"/>
          <w:kern w:val="0"/>
          <w:sz w:val="32"/>
          <w:szCs w:val="32"/>
          <w:highlight w:val="none"/>
          <w:lang w:eastAsia="zh-CN"/>
        </w:rPr>
        <w:t>说明</w:t>
      </w:r>
      <w:bookmarkEnd w:id="24"/>
      <w:bookmarkEnd w:id="25"/>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26" w:name="_Toc14519"/>
      <w:bookmarkStart w:id="27"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机关运行经费支出情况</w:t>
      </w:r>
      <w:bookmarkEnd w:id="26"/>
      <w:bookmarkEnd w:id="27"/>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rPr>
        <w:t>2023年度哈密市教育局石油教育分局（事业单位）公用经费支出555.17万元，比上年减少100.93万元，下降15.38%，主要原因是：我单位本年</w:t>
      </w:r>
      <w:r>
        <w:rPr>
          <w:rFonts w:hint="eastAsia" w:ascii="仿宋_GB2312" w:eastAsia="仿宋_GB2312"/>
          <w:sz w:val="32"/>
          <w:szCs w:val="32"/>
          <w:highlight w:val="none"/>
          <w:lang w:val="en-US" w:eastAsia="zh-CN"/>
        </w:rPr>
        <w:t>业务量减少</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水费、电费、邮电费、专用材料费等支出减少</w:t>
      </w:r>
      <w:r>
        <w:rPr>
          <w:rFonts w:hint="eastAsia" w:ascii="仿宋_GB2312" w:eastAsia="仿宋_GB2312"/>
          <w:sz w:val="32"/>
          <w:szCs w:val="32"/>
          <w:highlight w:val="none"/>
        </w:rPr>
        <w:t>，因此公用经费支出较上年减少。</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8" w:name="_Toc227"/>
      <w:bookmarkStart w:id="29" w:name="_Toc26704"/>
      <w:r>
        <w:rPr>
          <w:rFonts w:hint="eastAsia" w:ascii="黑体" w:hAnsi="黑体" w:eastAsia="黑体"/>
          <w:sz w:val="32"/>
          <w:szCs w:val="32"/>
          <w:highlight w:val="none"/>
          <w:lang w:eastAsia="zh-CN"/>
        </w:rPr>
        <w:t>（二）政府采购情况</w:t>
      </w:r>
      <w:bookmarkEnd w:id="28"/>
      <w:bookmarkEnd w:id="29"/>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pacing w:val="0"/>
          <w:sz w:val="32"/>
          <w:szCs w:val="32"/>
          <w:highlight w:val="none"/>
        </w:rPr>
        <w:t>2023年度政府采购支出总额676.47万元，其中：政府采购货物支出281.79万元、政府采购工程支出372.21万元、政府采购服务支出22.47万元。</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rPr>
        <w:t>授予中小企业合同金额</w:t>
      </w:r>
      <w:r>
        <w:rPr>
          <w:rFonts w:hint="eastAsia" w:ascii="仿宋_GB2312" w:eastAsia="仿宋_GB2312"/>
          <w:sz w:val="32"/>
          <w:szCs w:val="32"/>
          <w:highlight w:val="none"/>
          <w:lang w:eastAsia="zh-CN"/>
        </w:rPr>
        <w:t>675.69</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99.88</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，其中：授予小微企业合同金额</w:t>
      </w:r>
      <w:r>
        <w:rPr>
          <w:rFonts w:hint="eastAsia" w:ascii="仿宋_GB2312" w:eastAsia="仿宋_GB2312"/>
          <w:sz w:val="32"/>
          <w:szCs w:val="32"/>
          <w:highlight w:val="none"/>
          <w:lang w:eastAsia="zh-CN"/>
        </w:rPr>
        <w:t>654.98</w:t>
      </w:r>
      <w:r>
        <w:rPr>
          <w:rFonts w:hint="eastAsia" w:ascii="仿宋_GB2312" w:eastAsia="仿宋_GB2312"/>
          <w:sz w:val="32"/>
          <w:szCs w:val="32"/>
          <w:highlight w:val="none"/>
        </w:rPr>
        <w:t>万元，占政府采购支出总额的</w:t>
      </w:r>
      <w:r>
        <w:rPr>
          <w:rFonts w:hint="eastAsia" w:ascii="仿宋_GB2312" w:eastAsia="仿宋_GB2312"/>
          <w:sz w:val="32"/>
          <w:szCs w:val="32"/>
          <w:highlight w:val="none"/>
          <w:lang w:eastAsia="zh-CN"/>
        </w:rPr>
        <w:t>96.82</w:t>
      </w:r>
      <w:r>
        <w:rPr>
          <w:rFonts w:hint="eastAsia" w:ascii="仿宋_GB2312" w:eastAsia="仿宋_GB2312"/>
          <w:sz w:val="32"/>
          <w:szCs w:val="32"/>
          <w:highlight w:val="none"/>
          <w:lang w:val="en-US" w:eastAsia="zh-CN"/>
        </w:rPr>
        <w:t>%。</w:t>
      </w:r>
    </w:p>
    <w:p>
      <w:pPr>
        <w:keepNext w:val="0"/>
        <w:keepLines w:val="0"/>
        <w:pageBreakBefore w:val="0"/>
        <w:widowControl w:val="0"/>
        <w:kinsoku/>
        <w:wordWrap/>
        <w:overflowPunct/>
        <w:topLinePunct w:val="0"/>
        <w:autoSpaceDE/>
        <w:autoSpaceDN/>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0" w:name="_Toc8391"/>
      <w:bookmarkStart w:id="31" w:name="_Toc4591"/>
      <w:r>
        <w:rPr>
          <w:rFonts w:hint="eastAsia" w:ascii="黑体" w:hAnsi="黑体" w:eastAsia="黑体"/>
          <w:sz w:val="32"/>
          <w:szCs w:val="32"/>
          <w:highlight w:val="none"/>
          <w:lang w:eastAsia="zh-CN"/>
        </w:rPr>
        <w:t>（三）国有资产占用情况说明</w:t>
      </w:r>
      <w:bookmarkEnd w:id="30"/>
      <w:bookmarkEnd w:id="31"/>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截至2023年12月31日，固定资产原值13,302.90万元，房屋61,657.61平方米，价值8,847.21万元。车辆2辆，价值41.75万元，其中：副部（省）级及以上领导用车0辆、主要负责人用车0辆、机要通信用车0辆、应急保障用车0辆、执法执勤用车0辆、特种专业技术用车0辆、离退休干部服务用车0辆、其他用车2辆，其他用车主要是：收发文件、接送人员用车；单价100万元（含）以上设备（不含车辆）0台（套）。</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bookmarkStart w:id="32" w:name="_Toc11283"/>
      <w:bookmarkStart w:id="33" w:name="_Toc435"/>
      <w:r>
        <w:rPr>
          <w:rFonts w:hint="eastAsia" w:ascii="黑体" w:hAnsi="黑体" w:eastAsia="黑体" w:cs="宋体"/>
          <w:kern w:val="0"/>
          <w:sz w:val="32"/>
          <w:szCs w:val="32"/>
          <w:highlight w:val="none"/>
          <w:lang w:eastAsia="zh-CN"/>
        </w:rPr>
        <w:t>十一、预算绩效的情况说明</w:t>
      </w:r>
      <w:bookmarkEnd w:id="32"/>
      <w:bookmarkEnd w:id="33"/>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根据预算绩效管理要求，我单位2023年度预算绩效管理整体支出绩效自评表</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lang w:eastAsia="zh-CN"/>
        </w:rPr>
        <w:t>个，全年预算总额0万元，实际执行总额0万元；预算绩效评价项目15个，全年预算数1,640.48万元，全年执行数1,492.76万元。预算绩效管理取得的成效：一是保障义务教育阶段学校正常运转、完成教育教学活动和其他日常工作；二是义务教育学校在课堂教学、设施维护、教师培训等方面有所提高。发现的问题及原因：一是全面实施预算绩效管理的认识还不到位，项目申报与实施等环节不够紧密；二是部分指标在实际执行中与年初预算指标和监控指标有差异。下一步改进措施：一是加强绩效管理，使各类资金充分发挥最大的作用；二是加强财务管理，做到厉行节约。具体项目自评情况附绩效自评表及自评报告。</w:t>
      </w:r>
    </w:p>
    <w:p>
      <w:pPr>
        <w:keepNext w:val="0"/>
        <w:keepLines w:val="0"/>
        <w:pageBreakBefore w:val="0"/>
        <w:widowControl w:val="0"/>
        <w:kinsoku/>
        <w:wordWrap/>
        <w:overflowPunct/>
        <w:topLinePunct w:val="0"/>
        <w:autoSpaceDE/>
        <w:autoSpaceDN/>
        <w:adjustRightInd/>
        <w:snapToGrid/>
        <w:spacing w:line="240" w:lineRule="auto"/>
        <w:ind w:firstLine="640" w:firstLineChars="200"/>
        <w:jc w:val="both"/>
        <w:textAlignment w:val="auto"/>
        <w:outlineLvl w:val="1"/>
        <w:rPr>
          <w:rFonts w:hint="eastAsia" w:ascii="黑体" w:hAnsi="黑体" w:eastAsia="黑体" w:cs="宋体"/>
          <w:kern w:val="0"/>
          <w:sz w:val="32"/>
          <w:szCs w:val="32"/>
          <w:highlight w:val="none"/>
          <w:lang w:eastAsia="zh-CN"/>
        </w:rPr>
      </w:pPr>
      <w:r>
        <w:rPr>
          <w:rFonts w:hint="eastAsia" w:ascii="黑体" w:hAnsi="黑体" w:eastAsia="黑体" w:cs="宋体"/>
          <w:kern w:val="0"/>
          <w:sz w:val="32"/>
          <w:szCs w:val="32"/>
          <w:highlight w:val="none"/>
          <w:lang w:eastAsia="zh-CN"/>
        </w:rPr>
        <w:t>十二、其他需说明的事项</w:t>
      </w:r>
    </w:p>
    <w:p>
      <w:pPr>
        <w:keepNext w:val="0"/>
        <w:keepLines w:val="0"/>
        <w:pageBreakBefore w:val="0"/>
        <w:widowControl w:val="0"/>
        <w:kinsoku/>
        <w:wordWrap/>
        <w:overflowPunct/>
        <w:topLinePunct w:val="0"/>
        <w:adjustRightInd/>
        <w:snapToGrid/>
        <w:spacing w:line="240" w:lineRule="auto"/>
        <w:ind w:firstLine="640" w:firstLineChars="200"/>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本单位为教育局的下属二级预算单位，预算绩效管理整体支出绩效自评工作由主管单位教育局负责，统一做一套整体支出绩效目标自评表，因此我单位无整体支出绩效目标自评表。</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4" w:name="_Toc3250"/>
      <w:bookmarkStart w:id="35" w:name="_Toc24143"/>
      <w:r>
        <w:rPr>
          <w:rFonts w:hint="default" w:ascii="黑体"/>
          <w:b/>
          <w:kern w:val="44"/>
          <w:sz w:val="28"/>
          <w:highlight w:val="none"/>
        </w:rPr>
        <w:br w:type="page"/>
      </w:r>
      <w:r>
        <w:rPr>
          <w:rFonts w:hint="default" w:ascii="黑体"/>
          <w:b/>
          <w:spacing w:val="40"/>
          <w:sz w:val="28"/>
          <w:highlight w:val="none"/>
        </w:rPr>
        <w:t xml:space="preserve"> </w:t>
      </w:r>
      <w:r>
        <w:rPr>
          <w:rFonts w:hint="eastAsia" w:ascii="黑体" w:hAnsi="黑体" w:eastAsia="黑体"/>
          <w:sz w:val="32"/>
          <w:szCs w:val="32"/>
          <w:highlight w:val="none"/>
        </w:rPr>
        <w:t>第三部分 专业名词解释</w:t>
      </w:r>
      <w:bookmarkEnd w:id="34"/>
      <w:bookmarkEnd w:id="35"/>
    </w:p>
    <w:p>
      <w:pPr>
        <w:keepNext w:val="0"/>
        <w:keepLines w:val="0"/>
        <w:pageBreakBefore w:val="0"/>
        <w:widowControl w:val="0"/>
        <w:kinsoku/>
        <w:wordWrap/>
        <w:overflowPunct/>
        <w:topLinePunct w:val="0"/>
        <w:autoSpaceDE w:val="0"/>
        <w:autoSpaceDN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sz w:val="32"/>
          <w:highlight w:val="none"/>
        </w:rPr>
        <w:t>一、财政拨款收入：</w:t>
      </w:r>
      <w:r>
        <w:rPr>
          <w:rFonts w:hint="eastAsia" w:ascii="仿宋_GB2312" w:eastAsia="仿宋_GB2312"/>
          <w:sz w:val="32"/>
          <w:szCs w:val="32"/>
          <w:highlight w:val="none"/>
        </w:rPr>
        <w:t>指同级财政当年拨付的资金。</w:t>
      </w:r>
    </w:p>
    <w:p>
      <w:pPr>
        <w:keepNext w:val="0"/>
        <w:keepLines w:val="0"/>
        <w:pageBreakBefore w:val="0"/>
        <w:widowControl w:val="0"/>
        <w:kinsoku/>
        <w:wordWrap/>
        <w:overflowPunct/>
        <w:topLinePunct w:val="0"/>
        <w:autoSpaceDE w:val="0"/>
        <w:autoSpaceDN w:val="0"/>
        <w:adjustRightInd/>
        <w:snapToGrid/>
        <w:spacing w:line="240" w:lineRule="auto"/>
        <w:ind w:firstLine="643" w:firstLineChars="200"/>
        <w:textAlignment w:val="auto"/>
        <w:rPr>
          <w:rFonts w:hint="eastAsia" w:ascii="仿宋_GB2312" w:eastAsia="仿宋_GB2312"/>
          <w:sz w:val="32"/>
          <w:highlight w:val="none"/>
        </w:rPr>
      </w:pPr>
      <w:r>
        <w:rPr>
          <w:rFonts w:hint="eastAsia" w:ascii="仿宋_GB2312" w:eastAsia="仿宋_GB2312"/>
          <w:b/>
          <w:sz w:val="32"/>
          <w:szCs w:val="32"/>
          <w:highlight w:val="none"/>
        </w:rPr>
        <w:t>二、上级补助收入：</w:t>
      </w:r>
      <w:r>
        <w:rPr>
          <w:rFonts w:hint="eastAsia" w:ascii="仿宋_GB2312" w:eastAsia="仿宋_GB2312"/>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sz w:val="32"/>
          <w:szCs w:val="32"/>
          <w:highlight w:val="none"/>
        </w:rPr>
        <w:t>三、事业收入：</w:t>
      </w:r>
      <w:r>
        <w:rPr>
          <w:rFonts w:hint="eastAsia" w:ascii="仿宋_GB2312" w:eastAsia="仿宋_GB2312"/>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sz w:val="32"/>
          <w:szCs w:val="32"/>
          <w:highlight w:val="none"/>
        </w:rPr>
        <w:t>四、经营收入：</w:t>
      </w:r>
      <w:r>
        <w:rPr>
          <w:rFonts w:hint="eastAsia" w:ascii="仿宋_GB2312" w:eastAsia="仿宋_GB2312"/>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sz w:val="32"/>
          <w:szCs w:val="32"/>
          <w:highlight w:val="none"/>
        </w:rPr>
        <w:t>五、附属单位上缴收入：</w:t>
      </w:r>
      <w:r>
        <w:rPr>
          <w:rFonts w:hint="eastAsia" w:ascii="仿宋_GB2312" w:eastAsia="仿宋_GB2312"/>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sz w:val="32"/>
          <w:szCs w:val="32"/>
          <w:highlight w:val="none"/>
        </w:rPr>
        <w:t>六、其他收入：</w:t>
      </w:r>
      <w:r>
        <w:rPr>
          <w:rFonts w:hint="eastAsia" w:ascii="仿宋_GB2312" w:eastAsia="仿宋_GB2312"/>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sz w:val="32"/>
          <w:szCs w:val="32"/>
          <w:highlight w:val="none"/>
        </w:rPr>
        <w:t>七、年初结转和结余：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sz w:val="32"/>
          <w:szCs w:val="32"/>
          <w:highlight w:val="none"/>
        </w:rPr>
        <w:t>八、年末结转和结余：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sz w:val="32"/>
          <w:szCs w:val="32"/>
          <w:highlight w:val="none"/>
        </w:rPr>
        <w:t>九、基本支出：</w:t>
      </w:r>
      <w:r>
        <w:rPr>
          <w:rFonts w:hint="eastAsia" w:ascii="仿宋_GB2312" w:eastAsia="仿宋_GB2312"/>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sz w:val="32"/>
          <w:szCs w:val="32"/>
          <w:highlight w:val="none"/>
        </w:rPr>
        <w:t>十、项目支出：</w:t>
      </w:r>
      <w:r>
        <w:rPr>
          <w:rFonts w:hint="eastAsia" w:ascii="仿宋_GB2312" w:eastAsia="仿宋_GB2312"/>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sz w:val="32"/>
          <w:szCs w:val="32"/>
          <w:highlight w:val="none"/>
        </w:rPr>
        <w:t>十一、经营支出：</w:t>
      </w:r>
      <w:r>
        <w:rPr>
          <w:rFonts w:hint="eastAsia" w:ascii="仿宋_GB2312" w:eastAsia="仿宋_GB2312"/>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sz w:val="32"/>
          <w:szCs w:val="32"/>
          <w:highlight w:val="none"/>
        </w:rPr>
        <w:t>十二、对附属单位补助支出：</w:t>
      </w:r>
      <w:r>
        <w:rPr>
          <w:rFonts w:hint="eastAsia" w:ascii="仿宋_GB2312" w:eastAsia="仿宋_GB2312"/>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sz w:val="32"/>
          <w:szCs w:val="32"/>
          <w:highlight w:val="none"/>
        </w:rPr>
        <w:t>十三、“三公”经费：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val="0"/>
        <w:kinsoku/>
        <w:wordWrap/>
        <w:overflowPunct/>
        <w:topLinePunct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sz w:val="32"/>
          <w:szCs w:val="32"/>
          <w:highlight w:val="none"/>
        </w:rPr>
        <w:t>十四、机关运行经费：</w:t>
      </w:r>
      <w:r>
        <w:rPr>
          <w:rFonts w:hint="eastAsia" w:ascii="仿宋_GB2312" w:eastAsia="仿宋_GB2312"/>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adjustRightInd/>
        <w:snapToGrid/>
        <w:spacing w:line="240" w:lineRule="auto"/>
        <w:ind w:firstLine="562" w:firstLineChars="200"/>
        <w:jc w:val="center"/>
        <w:textAlignment w:val="auto"/>
        <w:outlineLvl w:val="0"/>
        <w:rPr>
          <w:rFonts w:hint="eastAsia" w:ascii="黑体" w:hAnsi="黑体" w:eastAsia="黑体"/>
          <w:sz w:val="32"/>
          <w:szCs w:val="32"/>
          <w:highlight w:val="none"/>
        </w:rPr>
      </w:pPr>
      <w:bookmarkStart w:id="36" w:name="_Toc22784"/>
      <w:bookmarkStart w:id="37" w:name="_Toc28903"/>
      <w:r>
        <w:rPr>
          <w:rFonts w:hint="default" w:ascii="黑体"/>
          <w:b/>
          <w:kern w:val="44"/>
          <w:sz w:val="28"/>
          <w:highlight w:val="none"/>
        </w:rPr>
        <w:br w:type="page"/>
      </w:r>
      <w:r>
        <w:rPr>
          <w:rFonts w:hint="default" w:ascii="黑体"/>
          <w:b/>
          <w:spacing w:val="40"/>
          <w:sz w:val="28"/>
          <w:highlight w:val="none"/>
        </w:rPr>
        <w:t xml:space="preserve"> </w:t>
      </w:r>
      <w:r>
        <w:rPr>
          <w:rFonts w:hint="eastAsia" w:ascii="黑体" w:hAnsi="黑体" w:eastAsia="黑体"/>
          <w:sz w:val="32"/>
          <w:szCs w:val="32"/>
          <w:highlight w:val="none"/>
        </w:rPr>
        <w:t>第四部分 部门决算报表（见附表）</w:t>
      </w:r>
      <w:bookmarkEnd w:id="36"/>
      <w:bookmarkEnd w:id="37"/>
    </w:p>
    <w:p>
      <w:pPr>
        <w:keepNext w:val="0"/>
        <w:keepLines w:val="0"/>
        <w:pageBreakBefore w:val="0"/>
        <w:widowControl w:val="0"/>
        <w:kinsoku/>
        <w:wordWrap/>
        <w:overflowPunct/>
        <w:topLinePunct w:val="0"/>
        <w:autoSpaceDE/>
        <w:autoSpaceDN/>
        <w:adjustRightInd/>
        <w:snapToGrid/>
        <w:spacing w:line="240" w:lineRule="auto"/>
        <w:jc w:val="both"/>
        <w:textAlignment w:val="auto"/>
        <w:outlineLvl w:val="1"/>
        <w:rPr>
          <w:rFonts w:hint="default" w:ascii="仿宋_GB2312" w:cs="仿宋_GB2312"/>
          <w:kern w:val="0"/>
          <w:sz w:val="32"/>
          <w:highlight w:val="none"/>
        </w:rPr>
      </w:pPr>
      <w:r>
        <w:rPr>
          <w:rFonts w:hint="eastAsia" w:ascii="仿宋_GB2312" w:eastAsia="仿宋_GB2312"/>
          <w:sz w:val="32"/>
          <w:szCs w:val="32"/>
          <w:highlight w:val="none"/>
        </w:rPr>
        <w:t>一、《收入支出决算总表》</w:t>
      </w:r>
    </w:p>
    <w:p>
      <w:pPr>
        <w:keepNext w:val="0"/>
        <w:keepLines w:val="0"/>
        <w:pageBreakBefore w:val="0"/>
        <w:widowControl w:val="0"/>
        <w:kinsoku/>
        <w:wordWrap/>
        <w:overflowPunct/>
        <w:topLinePunct w:val="0"/>
        <w:autoSpaceDE/>
        <w:autoSpaceDN/>
        <w:adjustRightInd/>
        <w:snapToGrid/>
        <w:spacing w:line="240" w:lineRule="auto"/>
        <w:jc w:val="both"/>
        <w:textAlignment w:val="auto"/>
        <w:outlineLvl w:val="1"/>
        <w:rPr>
          <w:rFonts w:hint="eastAsia" w:ascii="仿宋_GB2312" w:eastAsia="仿宋_GB2312"/>
          <w:sz w:val="32"/>
          <w:szCs w:val="32"/>
          <w:highlight w:val="none"/>
        </w:rPr>
      </w:pPr>
      <w:r>
        <w:rPr>
          <w:rFonts w:hint="eastAsia" w:ascii="仿宋_GB2312" w:eastAsia="仿宋_GB2312"/>
          <w:sz w:val="32"/>
          <w:szCs w:val="32"/>
          <w:highlight w:val="none"/>
        </w:rPr>
        <w:t>二、《收入决算表》</w:t>
      </w:r>
    </w:p>
    <w:p>
      <w:pPr>
        <w:keepNext w:val="0"/>
        <w:keepLines w:val="0"/>
        <w:pageBreakBefore w:val="0"/>
        <w:widowControl w:val="0"/>
        <w:kinsoku/>
        <w:wordWrap/>
        <w:overflowPunct/>
        <w:topLinePunct w:val="0"/>
        <w:autoSpaceDE/>
        <w:autoSpaceDN/>
        <w:adjustRightInd/>
        <w:snapToGrid/>
        <w:spacing w:line="240" w:lineRule="auto"/>
        <w:jc w:val="both"/>
        <w:textAlignment w:val="auto"/>
        <w:outlineLvl w:val="1"/>
        <w:rPr>
          <w:rFonts w:hint="eastAsia" w:ascii="仿宋_GB2312" w:eastAsia="仿宋_GB2312"/>
          <w:sz w:val="32"/>
          <w:szCs w:val="32"/>
          <w:highlight w:val="none"/>
        </w:rPr>
      </w:pPr>
      <w:r>
        <w:rPr>
          <w:rFonts w:hint="eastAsia" w:ascii="仿宋_GB2312" w:eastAsia="仿宋_GB2312"/>
          <w:sz w:val="32"/>
          <w:szCs w:val="32"/>
          <w:highlight w:val="none"/>
        </w:rPr>
        <w:t>三、《支出决算表》</w:t>
      </w:r>
    </w:p>
    <w:p>
      <w:pPr>
        <w:keepNext w:val="0"/>
        <w:keepLines w:val="0"/>
        <w:pageBreakBefore w:val="0"/>
        <w:widowControl w:val="0"/>
        <w:kinsoku/>
        <w:wordWrap/>
        <w:overflowPunct/>
        <w:topLinePunct w:val="0"/>
        <w:autoSpaceDE/>
        <w:autoSpaceDN/>
        <w:adjustRightInd/>
        <w:snapToGrid/>
        <w:spacing w:line="240" w:lineRule="auto"/>
        <w:jc w:val="both"/>
        <w:textAlignment w:val="auto"/>
        <w:outlineLvl w:val="1"/>
        <w:rPr>
          <w:rFonts w:hint="eastAsia" w:ascii="仿宋_GB2312" w:eastAsia="仿宋_GB2312"/>
          <w:sz w:val="32"/>
          <w:szCs w:val="32"/>
          <w:highlight w:val="none"/>
        </w:rPr>
      </w:pPr>
      <w:r>
        <w:rPr>
          <w:rFonts w:hint="eastAsia" w:ascii="仿宋_GB2312" w:eastAsia="仿宋_GB2312"/>
          <w:sz w:val="32"/>
          <w:szCs w:val="32"/>
          <w:highlight w:val="none"/>
        </w:rPr>
        <w:t>四、《财政拨款收入支出决算总表》</w:t>
      </w:r>
    </w:p>
    <w:p>
      <w:pPr>
        <w:keepNext w:val="0"/>
        <w:keepLines w:val="0"/>
        <w:pageBreakBefore w:val="0"/>
        <w:widowControl w:val="0"/>
        <w:kinsoku/>
        <w:wordWrap/>
        <w:overflowPunct/>
        <w:topLinePunct w:val="0"/>
        <w:autoSpaceDE/>
        <w:autoSpaceDN/>
        <w:adjustRightInd/>
        <w:snapToGrid/>
        <w:spacing w:line="240" w:lineRule="auto"/>
        <w:jc w:val="both"/>
        <w:textAlignment w:val="auto"/>
        <w:outlineLvl w:val="1"/>
        <w:rPr>
          <w:rFonts w:hint="eastAsia" w:ascii="仿宋_GB2312" w:eastAsia="仿宋_GB2312"/>
          <w:sz w:val="32"/>
          <w:szCs w:val="32"/>
          <w:highlight w:val="none"/>
        </w:rPr>
      </w:pPr>
      <w:r>
        <w:rPr>
          <w:rFonts w:hint="eastAsia" w:ascii="仿宋_GB2312" w:eastAsia="仿宋_GB2312"/>
          <w:sz w:val="32"/>
          <w:szCs w:val="32"/>
          <w:highlight w:val="none"/>
        </w:rPr>
        <w:t>五、《一般公共预算财政拨款支出决算表》</w:t>
      </w:r>
    </w:p>
    <w:p>
      <w:pPr>
        <w:keepNext w:val="0"/>
        <w:keepLines w:val="0"/>
        <w:pageBreakBefore w:val="0"/>
        <w:widowControl w:val="0"/>
        <w:kinsoku/>
        <w:wordWrap/>
        <w:overflowPunct/>
        <w:topLinePunct w:val="0"/>
        <w:autoSpaceDE/>
        <w:autoSpaceDN/>
        <w:adjustRightInd/>
        <w:snapToGrid/>
        <w:spacing w:line="240" w:lineRule="auto"/>
        <w:jc w:val="both"/>
        <w:textAlignment w:val="auto"/>
        <w:outlineLvl w:val="1"/>
        <w:rPr>
          <w:rFonts w:hint="eastAsia" w:ascii="仿宋_GB2312" w:eastAsia="仿宋_GB2312"/>
          <w:sz w:val="32"/>
          <w:szCs w:val="32"/>
          <w:highlight w:val="none"/>
        </w:rPr>
      </w:pPr>
      <w:r>
        <w:rPr>
          <w:rFonts w:hint="eastAsia" w:ascii="仿宋_GB2312" w:eastAsia="仿宋_GB2312"/>
          <w:sz w:val="32"/>
          <w:szCs w:val="32"/>
          <w:highlight w:val="none"/>
        </w:rPr>
        <w:t>六、《一般公共预算财政拨款基本支出决算表》</w:t>
      </w:r>
    </w:p>
    <w:p>
      <w:pPr>
        <w:keepNext w:val="0"/>
        <w:keepLines w:val="0"/>
        <w:pageBreakBefore w:val="0"/>
        <w:widowControl w:val="0"/>
        <w:kinsoku/>
        <w:wordWrap/>
        <w:overflowPunct/>
        <w:topLinePunct w:val="0"/>
        <w:autoSpaceDE/>
        <w:autoSpaceDN/>
        <w:adjustRightInd/>
        <w:snapToGrid/>
        <w:spacing w:line="240" w:lineRule="auto"/>
        <w:jc w:val="both"/>
        <w:textAlignment w:val="auto"/>
        <w:outlineLvl w:val="1"/>
        <w:rPr>
          <w:rFonts w:hint="eastAsia" w:ascii="仿宋_GB2312" w:eastAsia="仿宋_GB2312"/>
          <w:sz w:val="32"/>
          <w:szCs w:val="32"/>
          <w:highlight w:val="none"/>
        </w:rPr>
      </w:pPr>
      <w:r>
        <w:rPr>
          <w:rFonts w:hint="eastAsia" w:ascii="仿宋_GB2312" w:eastAsia="仿宋_GB2312"/>
          <w:sz w:val="32"/>
          <w:szCs w:val="32"/>
          <w:highlight w:val="none"/>
        </w:rPr>
        <w:t>七、《财政拨款“三公”经费支出决算表》</w:t>
      </w:r>
    </w:p>
    <w:p>
      <w:pPr>
        <w:keepNext w:val="0"/>
        <w:keepLines w:val="0"/>
        <w:pageBreakBefore w:val="0"/>
        <w:widowControl w:val="0"/>
        <w:kinsoku/>
        <w:wordWrap/>
        <w:overflowPunct/>
        <w:topLinePunct w:val="0"/>
        <w:autoSpaceDE/>
        <w:autoSpaceDN/>
        <w:adjustRightInd/>
        <w:snapToGrid/>
        <w:spacing w:line="240" w:lineRule="auto"/>
        <w:jc w:val="both"/>
        <w:textAlignment w:val="auto"/>
        <w:outlineLvl w:val="1"/>
        <w:rPr>
          <w:rFonts w:hint="eastAsia" w:ascii="仿宋_GB2312" w:eastAsia="仿宋_GB2312"/>
          <w:sz w:val="32"/>
          <w:szCs w:val="32"/>
          <w:highlight w:val="none"/>
        </w:rPr>
      </w:pPr>
      <w:r>
        <w:rPr>
          <w:rFonts w:hint="eastAsia" w:ascii="仿宋_GB2312" w:eastAsia="仿宋_GB2312"/>
          <w:sz w:val="32"/>
          <w:szCs w:val="32"/>
          <w:highlight w:val="none"/>
        </w:rPr>
        <w:t>八、《政府性基金预算财政拨款收入支出决算表》</w:t>
      </w:r>
    </w:p>
    <w:p>
      <w:pPr>
        <w:keepNext w:val="0"/>
        <w:keepLines w:val="0"/>
        <w:pageBreakBefore w:val="0"/>
        <w:widowControl w:val="0"/>
        <w:kinsoku/>
        <w:wordWrap/>
        <w:overflowPunct/>
        <w:topLinePunct w:val="0"/>
        <w:autoSpaceDE/>
        <w:autoSpaceDN/>
        <w:adjustRightInd/>
        <w:snapToGrid/>
        <w:spacing w:line="240" w:lineRule="auto"/>
        <w:jc w:val="both"/>
        <w:textAlignment w:val="auto"/>
        <w:outlineLvl w:val="1"/>
        <w:rPr>
          <w:rFonts w:hint="eastAsia" w:ascii="仿宋_GB2312" w:eastAsia="仿宋_GB2312"/>
          <w:sz w:val="32"/>
          <w:szCs w:val="32"/>
          <w:highlight w:val="none"/>
        </w:rPr>
      </w:pPr>
      <w:r>
        <w:rPr>
          <w:rFonts w:hint="eastAsia" w:ascii="仿宋_GB2312" w:eastAsia="仿宋_GB2312"/>
          <w:sz w:val="32"/>
          <w:szCs w:val="32"/>
          <w:highlight w:val="none"/>
        </w:rPr>
        <w:t>九、《国有资本经营预算财政拨款收入支出决算表》</w:t>
      </w:r>
    </w:p>
    <w:p>
      <w:pPr>
        <w:rPr>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00"/>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enter" w:pos="4153"/>
        <w:tab w:val="right" w:pos="8306"/>
      </w:tabs>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Ps5vjrgEAAEsD&#10;AAAOAAAAAAAAAAEAIAAAAB4BAABkcnMvZTJvRG9jLnhtbFBLBQYAAAAABgAGAFkBAAA+BQAAAAA=&#10;">
              <v:fill on="f" focussize="0,0"/>
              <v:stroke on="f"/>
              <v:imagedata o:title=""/>
              <o:lock v:ext="edit" aspectratio="f"/>
              <v:textbox inset="0mm,0mm,0mm,0mm" style="mso-fit-shape-to-text:t;">
                <w:txbxContent>
                  <w:p>
                    <w:pPr>
                      <w:pStyle w:val="3"/>
                      <w:tabs>
                        <w:tab w:val="center" w:pos="4153"/>
                        <w:tab w:val="right" w:pos="8306"/>
                      </w:tabs>
                      <w:rPr>
                        <w:rFonts w:hint="eastAsia" w:eastAsia="宋体"/>
                        <w:lang w:eastAsia="zh-CN"/>
                      </w:rPr>
                    </w:pPr>
                    <w:r>
                      <w:rPr>
                        <w:rFonts w:hint="eastAsia"/>
                        <w:lang w:eastAsia="zh-CN"/>
                      </w:rPr>
                      <w:fldChar w:fldCharType="begin"/>
                    </w:r>
                    <w:r>
                      <w:rPr>
                        <w:rFonts w:hint="eastAsia"/>
                        <w:lang w:eastAsia="zh-CN"/>
                      </w:rPr>
                      <w:instrText xml:space="preserve"> PAGE \* MERGEFORMAT</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ABA60E"/>
    <w:multiLevelType w:val="singleLevel"/>
    <w:tmpl w:val="B7ABA60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4E946FE"/>
    <w:rsid w:val="39C91AE4"/>
    <w:rsid w:val="5F673805"/>
    <w:rsid w:val="62D636F4"/>
    <w:rsid w:val="64EB23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kern w:val="2"/>
      <w:sz w:val="21"/>
      <w:szCs w:val="24"/>
      <w:lang w:val="en-US" w:eastAsia="zh-CN"/>
    </w:rPr>
  </w:style>
  <w:style w:type="character" w:default="1" w:styleId="7">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qFormat/>
    <w:uiPriority w:val="0"/>
    <w:pPr>
      <w:snapToGrid w:val="0"/>
      <w:jc w:val="left"/>
    </w:pPr>
    <w:rPr>
      <w:sz w:val="18"/>
    </w:rPr>
  </w:style>
  <w:style w:type="paragraph" w:styleId="4">
    <w:name w:val="toc 1"/>
    <w:basedOn w:val="1"/>
    <w:next w:val="1"/>
    <w:qFormat/>
    <w:uiPriority w:val="0"/>
  </w:style>
  <w:style w:type="paragraph" w:styleId="5">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2025-03-31T08:54:00Z</dcterms:created>
  <dc:creator>Administrator</dc:creator>
  <cp:lastModifiedBy>Administrator</cp:lastModifiedBy>
  <dcterms:modified xsi:type="dcterms:W3CDTF">2024-09-25T10:27:46Z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