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FEFDE9">
      <w:pPr>
        <w:spacing w:line="540" w:lineRule="exact"/>
        <w:jc w:val="center"/>
        <w:rPr>
          <w:rFonts w:hint="default" w:ascii="Times New Roman" w:hAnsi="Times New Roman" w:eastAsia="华文中宋" w:cs="Times New Roman"/>
          <w:b/>
          <w:kern w:val="0"/>
          <w:sz w:val="52"/>
          <w:szCs w:val="52"/>
        </w:rPr>
      </w:pPr>
    </w:p>
    <w:p w14:paraId="4D363615">
      <w:pPr>
        <w:spacing w:line="540" w:lineRule="exact"/>
        <w:rPr>
          <w:rFonts w:hint="default" w:ascii="Times New Roman" w:hAnsi="Times New Roman" w:eastAsia="华文中宋" w:cs="Times New Roman"/>
          <w:b/>
          <w:kern w:val="0"/>
          <w:sz w:val="52"/>
          <w:szCs w:val="52"/>
        </w:rPr>
      </w:pPr>
    </w:p>
    <w:p w14:paraId="6783CC04">
      <w:pPr>
        <w:spacing w:line="540" w:lineRule="exact"/>
        <w:jc w:val="center"/>
        <w:rPr>
          <w:rFonts w:hint="default" w:ascii="Times New Roman" w:hAnsi="Times New Roman" w:eastAsia="华文中宋" w:cs="Times New Roman"/>
          <w:b/>
          <w:kern w:val="0"/>
          <w:sz w:val="52"/>
          <w:szCs w:val="52"/>
        </w:rPr>
      </w:pPr>
    </w:p>
    <w:p w14:paraId="44DD6196">
      <w:pPr>
        <w:spacing w:line="540" w:lineRule="exact"/>
        <w:jc w:val="center"/>
        <w:rPr>
          <w:rFonts w:hint="default" w:ascii="Times New Roman" w:hAnsi="Times New Roman" w:eastAsia="华文中宋" w:cs="Times New Roman"/>
          <w:b/>
          <w:kern w:val="0"/>
          <w:sz w:val="52"/>
          <w:szCs w:val="52"/>
        </w:rPr>
      </w:pPr>
    </w:p>
    <w:p w14:paraId="7A73ACC4">
      <w:pPr>
        <w:spacing w:line="540" w:lineRule="exact"/>
        <w:jc w:val="center"/>
        <w:rPr>
          <w:rFonts w:hint="default" w:ascii="Times New Roman" w:hAnsi="Times New Roman" w:eastAsia="方正小标宋_GBK" w:cs="Times New Roman"/>
          <w:kern w:val="0"/>
          <w:sz w:val="48"/>
          <w:szCs w:val="48"/>
        </w:rPr>
      </w:pPr>
      <w:r>
        <w:rPr>
          <w:rFonts w:hint="eastAsia" w:ascii="Times New Roman" w:hAnsi="Times New Roman" w:eastAsia="方正小标宋_GBK" w:cs="Times New Roman"/>
          <w:kern w:val="0"/>
          <w:sz w:val="48"/>
          <w:szCs w:val="48"/>
        </w:rPr>
        <w:t>离退休干部特需费、管理费、活动费</w:t>
      </w:r>
      <w:r>
        <w:rPr>
          <w:rFonts w:hint="default" w:ascii="Times New Roman" w:hAnsi="Times New Roman" w:eastAsia="方正小标宋_GBK" w:cs="Times New Roman"/>
          <w:kern w:val="0"/>
          <w:sz w:val="48"/>
          <w:szCs w:val="48"/>
        </w:rPr>
        <w:t>项目支出绩效评价报告</w:t>
      </w:r>
    </w:p>
    <w:p w14:paraId="462BB12B">
      <w:pPr>
        <w:spacing w:line="540" w:lineRule="exact"/>
        <w:jc w:val="center"/>
        <w:rPr>
          <w:rFonts w:hint="default" w:ascii="Times New Roman" w:hAnsi="Times New Roman" w:eastAsia="华文中宋" w:cs="Times New Roman"/>
          <w:b/>
          <w:kern w:val="0"/>
          <w:sz w:val="52"/>
          <w:szCs w:val="52"/>
        </w:rPr>
      </w:pPr>
    </w:p>
    <w:p w14:paraId="58B1528E">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w:t>
      </w:r>
      <w:r>
        <w:rPr>
          <w:rFonts w:hint="eastAsia"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年度）</w:t>
      </w:r>
    </w:p>
    <w:p w14:paraId="1D9AD380">
      <w:pPr>
        <w:spacing w:line="540" w:lineRule="exact"/>
        <w:jc w:val="center"/>
        <w:rPr>
          <w:rFonts w:hint="default" w:ascii="Times New Roman" w:hAnsi="Times New Roman" w:eastAsia="仿宋_GB2312" w:cs="Times New Roman"/>
          <w:kern w:val="0"/>
          <w:sz w:val="30"/>
          <w:szCs w:val="30"/>
        </w:rPr>
      </w:pPr>
    </w:p>
    <w:p w14:paraId="08B9759E">
      <w:pPr>
        <w:spacing w:line="540" w:lineRule="exact"/>
        <w:jc w:val="center"/>
        <w:rPr>
          <w:rFonts w:hint="default" w:ascii="Times New Roman" w:hAnsi="Times New Roman" w:eastAsia="仿宋_GB2312" w:cs="Times New Roman"/>
          <w:kern w:val="0"/>
          <w:sz w:val="30"/>
          <w:szCs w:val="30"/>
        </w:rPr>
      </w:pPr>
    </w:p>
    <w:p w14:paraId="484CCCD2">
      <w:pPr>
        <w:spacing w:line="540" w:lineRule="exact"/>
        <w:jc w:val="center"/>
        <w:rPr>
          <w:rFonts w:hint="default" w:ascii="Times New Roman" w:hAnsi="Times New Roman" w:eastAsia="仿宋_GB2312" w:cs="Times New Roman"/>
          <w:kern w:val="0"/>
          <w:sz w:val="30"/>
          <w:szCs w:val="30"/>
        </w:rPr>
      </w:pPr>
    </w:p>
    <w:p w14:paraId="3BB7C533">
      <w:pPr>
        <w:pStyle w:val="10"/>
        <w:rPr>
          <w:rFonts w:hint="default" w:ascii="Times New Roman" w:hAnsi="Times New Roman" w:cs="Times New Roman"/>
        </w:rPr>
      </w:pPr>
    </w:p>
    <w:p w14:paraId="7E8B07E7">
      <w:pPr>
        <w:spacing w:line="540" w:lineRule="exact"/>
        <w:jc w:val="center"/>
        <w:rPr>
          <w:rFonts w:hint="default" w:ascii="Times New Roman" w:hAnsi="Times New Roman" w:eastAsia="仿宋_GB2312" w:cs="Times New Roman"/>
          <w:kern w:val="0"/>
          <w:sz w:val="30"/>
          <w:szCs w:val="30"/>
        </w:rPr>
      </w:pPr>
    </w:p>
    <w:p w14:paraId="6A9D9B6A">
      <w:pPr>
        <w:spacing w:line="540" w:lineRule="exact"/>
        <w:rPr>
          <w:rFonts w:hint="default" w:ascii="Times New Roman" w:hAnsi="Times New Roman" w:eastAsia="仿宋_GB2312" w:cs="Times New Roman"/>
          <w:kern w:val="0"/>
          <w:sz w:val="30"/>
          <w:szCs w:val="30"/>
        </w:rPr>
      </w:pPr>
    </w:p>
    <w:p w14:paraId="0D9F5F9F">
      <w:pPr>
        <w:spacing w:line="700" w:lineRule="exact"/>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w:t>
      </w:r>
      <w:r>
        <w:rPr>
          <w:rFonts w:hint="eastAsia" w:ascii="Times New Roman" w:hAnsi="Times New Roman" w:eastAsia="仿宋_GB2312" w:cs="Times New Roman"/>
          <w:kern w:val="0"/>
          <w:sz w:val="36"/>
          <w:szCs w:val="36"/>
        </w:rPr>
        <w:t>离退休干部特需费、管理费、活动费</w:t>
      </w:r>
      <w:r>
        <w:rPr>
          <w:rFonts w:hint="default" w:ascii="Times New Roman" w:hAnsi="Times New Roman" w:eastAsia="仿宋_GB2312" w:cs="Times New Roman"/>
          <w:kern w:val="0"/>
          <w:sz w:val="36"/>
          <w:szCs w:val="36"/>
        </w:rPr>
        <w:t>项目</w:t>
      </w:r>
    </w:p>
    <w:p w14:paraId="0B365EEF">
      <w:pPr>
        <w:spacing w:line="700" w:lineRule="exact"/>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ascii="Times New Roman" w:hAnsi="Times New Roman" w:eastAsia="仿宋_GB2312" w:cs="Times New Roman"/>
          <w:kern w:val="0"/>
          <w:sz w:val="36"/>
          <w:szCs w:val="36"/>
        </w:rPr>
        <w:t>中共哈密市委员会老干部局</w:t>
      </w:r>
    </w:p>
    <w:p w14:paraId="09E6525B">
      <w:pPr>
        <w:spacing w:line="700" w:lineRule="exact"/>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w:t>
      </w:r>
      <w:r>
        <w:rPr>
          <w:rFonts w:hint="eastAsia" w:ascii="Times New Roman" w:hAnsi="Times New Roman" w:eastAsia="仿宋_GB2312" w:cs="Times New Roman"/>
          <w:kern w:val="0"/>
          <w:sz w:val="36"/>
          <w:szCs w:val="36"/>
        </w:rPr>
        <w:t>中共哈密市委员会老干部局</w:t>
      </w:r>
    </w:p>
    <w:p w14:paraId="6FE3A00C">
      <w:pPr>
        <w:spacing w:line="700" w:lineRule="exact"/>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项目负责人（签章）：李梅</w:t>
      </w:r>
    </w:p>
    <w:p w14:paraId="22895331">
      <w:pPr>
        <w:spacing w:line="700" w:lineRule="exact"/>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2</w:t>
      </w:r>
      <w:r>
        <w:rPr>
          <w:rFonts w:hint="default" w:ascii="Times New Roman" w:hAnsi="Times New Roman" w:eastAsia="仿宋_GB2312" w:cs="Times New Roman"/>
          <w:kern w:val="0"/>
          <w:sz w:val="36"/>
          <w:szCs w:val="36"/>
        </w:rPr>
        <w:t>日</w:t>
      </w:r>
    </w:p>
    <w:p w14:paraId="7A8E3FA2">
      <w:pPr>
        <w:spacing w:line="540" w:lineRule="exact"/>
        <w:jc w:val="center"/>
        <w:rPr>
          <w:rFonts w:hint="default" w:ascii="Times New Roman" w:hAnsi="Times New Roman" w:eastAsia="仿宋_GB2312" w:cs="Times New Roman"/>
          <w:kern w:val="0"/>
          <w:sz w:val="30"/>
          <w:szCs w:val="30"/>
        </w:rPr>
      </w:pPr>
    </w:p>
    <w:p w14:paraId="5EA35139">
      <w:pPr>
        <w:spacing w:line="560" w:lineRule="exact"/>
        <w:rPr>
          <w:rFonts w:hint="default" w:ascii="Times New Roman" w:hAnsi="Times New Roman" w:eastAsia="黑体" w:cs="Times New Roman"/>
          <w:bCs/>
          <w:sz w:val="32"/>
          <w:szCs w:val="32"/>
        </w:rPr>
        <w:sectPr>
          <w:footerReference r:id="rId3" w:type="default"/>
          <w:pgSz w:w="11906" w:h="16838"/>
          <w:pgMar w:top="1440" w:right="1558" w:bottom="1440" w:left="1800" w:header="851" w:footer="992" w:gutter="0"/>
          <w:cols w:space="425" w:num="1"/>
          <w:docGrid w:type="lines" w:linePitch="312" w:charSpace="0"/>
        </w:sectPr>
      </w:pPr>
    </w:p>
    <w:p w14:paraId="3EEF4E55">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7F193681">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方正楷体_GB2312" w:hAnsi="方正楷体_GB2312" w:eastAsia="方正楷体_GB2312" w:cs="方正楷体_GB2312"/>
          <w:b/>
          <w:bCs/>
          <w:sz w:val="32"/>
          <w:szCs w:val="32"/>
        </w:rPr>
      </w:pPr>
      <w:r>
        <w:rPr>
          <w:rFonts w:hint="default" w:ascii="方正楷体_GB2312" w:hAnsi="方正楷体_GB2312" w:eastAsia="方正楷体_GB2312" w:cs="方正楷体_GB2312"/>
          <w:b/>
          <w:bCs/>
          <w:sz w:val="32"/>
          <w:szCs w:val="32"/>
        </w:rPr>
        <w:t>（一）项目概况</w:t>
      </w:r>
    </w:p>
    <w:p w14:paraId="20555D0C">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685112D9">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hint="eastAsia" w:ascii="仿宋_GB2312" w:hAnsi="仿宋_GB2312" w:eastAsia="仿宋_GB2312" w:cs="仿宋_GB2312"/>
        </w:rPr>
      </w:pPr>
      <w:r>
        <w:rPr>
          <w:rStyle w:val="16"/>
          <w:rFonts w:hint="eastAsia" w:ascii="仿宋_GB2312" w:hAnsi="仿宋_GB2312" w:eastAsia="仿宋_GB2312" w:cs="仿宋_GB2312"/>
          <w:b w:val="0"/>
          <w:bCs w:val="0"/>
          <w:spacing w:val="-4"/>
          <w:sz w:val="32"/>
          <w:szCs w:val="32"/>
        </w:rPr>
        <w:t>根据中共中央办公厅、中共中央组织部《关于离休退休干部阅读文件问题的通知》（组通字</w:t>
      </w:r>
      <w:r>
        <w:rPr>
          <w:rStyle w:val="16"/>
          <w:rFonts w:hint="eastAsia" w:ascii="仿宋_GB2312" w:hAnsi="仿宋_GB2312" w:eastAsia="仿宋_GB2312" w:cs="仿宋_GB2312"/>
          <w:b w:val="0"/>
          <w:bCs w:val="0"/>
          <w:spacing w:val="-4"/>
          <w:sz w:val="32"/>
          <w:szCs w:val="32"/>
          <w:lang w:eastAsia="zh-CN"/>
        </w:rPr>
        <w:t>〔</w:t>
      </w:r>
      <w:r>
        <w:rPr>
          <w:rStyle w:val="16"/>
          <w:rFonts w:hint="eastAsia" w:ascii="仿宋_GB2312" w:hAnsi="仿宋_GB2312" w:eastAsia="仿宋_GB2312" w:cs="仿宋_GB2312"/>
          <w:b w:val="0"/>
          <w:bCs w:val="0"/>
          <w:spacing w:val="-4"/>
          <w:sz w:val="32"/>
          <w:szCs w:val="32"/>
        </w:rPr>
        <w:t>1981</w:t>
      </w:r>
      <w:r>
        <w:rPr>
          <w:rStyle w:val="16"/>
          <w:rFonts w:hint="eastAsia" w:ascii="仿宋_GB2312" w:hAnsi="仿宋_GB2312" w:eastAsia="仿宋_GB2312" w:cs="仿宋_GB2312"/>
          <w:b w:val="0"/>
          <w:bCs w:val="0"/>
          <w:spacing w:val="-4"/>
          <w:sz w:val="32"/>
          <w:szCs w:val="32"/>
          <w:lang w:eastAsia="zh-CN"/>
        </w:rPr>
        <w:t>〕</w:t>
      </w:r>
      <w:r>
        <w:rPr>
          <w:rStyle w:val="16"/>
          <w:rFonts w:hint="eastAsia" w:ascii="仿宋_GB2312" w:hAnsi="仿宋_GB2312" w:eastAsia="仿宋_GB2312" w:cs="仿宋_GB2312"/>
          <w:b w:val="0"/>
          <w:bCs w:val="0"/>
          <w:spacing w:val="-4"/>
          <w:sz w:val="32"/>
          <w:szCs w:val="32"/>
        </w:rPr>
        <w:t>40号）文件和中共中央组织部《关于在春节期间开展慰问老干部活动的通知》（中组发</w:t>
      </w:r>
      <w:r>
        <w:rPr>
          <w:rStyle w:val="16"/>
          <w:rFonts w:hint="eastAsia" w:ascii="仿宋_GB2312" w:hAnsi="仿宋_GB2312" w:eastAsia="仿宋_GB2312" w:cs="仿宋_GB2312"/>
          <w:b w:val="0"/>
          <w:bCs w:val="0"/>
          <w:spacing w:val="-4"/>
          <w:sz w:val="32"/>
          <w:szCs w:val="32"/>
          <w:lang w:eastAsia="zh-CN"/>
        </w:rPr>
        <w:t>〔</w:t>
      </w:r>
      <w:r>
        <w:rPr>
          <w:rStyle w:val="16"/>
          <w:rFonts w:hint="eastAsia" w:ascii="仿宋_GB2312" w:hAnsi="仿宋_GB2312" w:eastAsia="仿宋_GB2312" w:cs="仿宋_GB2312"/>
          <w:b w:val="0"/>
          <w:bCs w:val="0"/>
          <w:spacing w:val="-4"/>
          <w:sz w:val="32"/>
          <w:szCs w:val="32"/>
        </w:rPr>
        <w:t>1980</w:t>
      </w:r>
      <w:r>
        <w:rPr>
          <w:rStyle w:val="16"/>
          <w:rFonts w:hint="eastAsia" w:ascii="仿宋_GB2312" w:hAnsi="仿宋_GB2312" w:eastAsia="仿宋_GB2312" w:cs="仿宋_GB2312"/>
          <w:b w:val="0"/>
          <w:bCs w:val="0"/>
          <w:spacing w:val="-4"/>
          <w:sz w:val="32"/>
          <w:szCs w:val="32"/>
          <w:lang w:eastAsia="zh-CN"/>
        </w:rPr>
        <w:t>〕</w:t>
      </w:r>
      <w:r>
        <w:rPr>
          <w:rStyle w:val="16"/>
          <w:rFonts w:hint="eastAsia" w:ascii="仿宋_GB2312" w:hAnsi="仿宋_GB2312" w:eastAsia="仿宋_GB2312" w:cs="仿宋_GB2312"/>
          <w:b w:val="0"/>
          <w:bCs w:val="0"/>
          <w:spacing w:val="-4"/>
          <w:sz w:val="32"/>
          <w:szCs w:val="32"/>
        </w:rPr>
        <w:t>75号）文件设立。在自治区老干部局和市委组织部的大力支持和指导下，以党的政治建设为统领，聚焦社会稳定和长治久安的总目标，以深入开展党史学习教育和庆祝中国共产党成立100周年活动为重点，全面做好离退休干部工作。保证离退休干部能够与同级在职干部一样阅读文件，及时了解党的路线、方针、政策和国家的大事，也有利于老干部继续发挥作用，搞好传帮带，发扬我党关心爱护老干部的光荣传统和中华民族敬老尊贤的美德，有着重要的意义。</w:t>
      </w:r>
    </w:p>
    <w:p w14:paraId="1175BB21">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eastAsia" w:eastAsia="仿宋_GB2312" w:cs="Times New Roman"/>
          <w:b/>
          <w:bCs/>
          <w:sz w:val="32"/>
          <w:szCs w:val="32"/>
          <w:lang w:val="en-US" w:eastAsia="zh-CN"/>
        </w:rPr>
        <w:t>2.</w:t>
      </w:r>
      <w:r>
        <w:rPr>
          <w:rFonts w:hint="default" w:ascii="Times New Roman" w:hAnsi="Times New Roman" w:eastAsia="仿宋_GB2312" w:cs="Times New Roman"/>
          <w:b/>
          <w:bCs/>
          <w:sz w:val="32"/>
          <w:szCs w:val="32"/>
        </w:rPr>
        <w:t>项目主要内容</w:t>
      </w:r>
    </w:p>
    <w:p w14:paraId="5460FC06">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Style w:val="16"/>
          <w:rFonts w:hint="default" w:ascii="仿宋_GB2312" w:hAnsi="仿宋_GB2312" w:eastAsia="仿宋_GB2312" w:cs="仿宋_GB2312"/>
          <w:b w:val="0"/>
          <w:bCs w:val="0"/>
          <w:spacing w:val="-4"/>
          <w:sz w:val="32"/>
          <w:szCs w:val="32"/>
        </w:rPr>
      </w:pPr>
      <w:r>
        <w:rPr>
          <w:rStyle w:val="16"/>
          <w:rFonts w:hint="eastAsia" w:ascii="仿宋_GB2312" w:hAnsi="仿宋_GB2312" w:eastAsia="仿宋_GB2312" w:cs="仿宋_GB2312"/>
          <w:b w:val="0"/>
          <w:bCs w:val="0"/>
          <w:spacing w:val="-4"/>
          <w:sz w:val="32"/>
          <w:szCs w:val="32"/>
        </w:rPr>
        <w:t>离退休干部特需费、管理费、活动费项目资金300万元，项目主要内容有2021年开展春节走访慰问老干部、为老干部征订党报党刊，项目开展改善老干部生活质量，让老干部及时了解掌握党的路线、方针、政策和国家大事，对于发扬我党关心爱护老干部的光荣传统，有着重要意义。</w:t>
      </w:r>
    </w:p>
    <w:p w14:paraId="15DBFE87">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资金投入和使用情况</w:t>
      </w:r>
    </w:p>
    <w:p w14:paraId="3E5B362D">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eastAsia="仿宋_GB2312" w:cs="Times New Roman"/>
          <w:b/>
          <w:bCs/>
          <w:sz w:val="32"/>
          <w:szCs w:val="32"/>
          <w:lang w:val="en-US" w:eastAsia="zh-CN"/>
        </w:rPr>
      </w:pPr>
      <w:r>
        <w:rPr>
          <w:rFonts w:hint="eastAsia" w:eastAsia="仿宋_GB2312" w:cs="Times New Roman"/>
          <w:b/>
          <w:bCs/>
          <w:sz w:val="32"/>
          <w:szCs w:val="32"/>
          <w:lang w:val="en-US" w:eastAsia="zh-CN"/>
        </w:rPr>
        <w:t>（1）资金投入情况</w:t>
      </w:r>
    </w:p>
    <w:p w14:paraId="2C8D6A57">
      <w:pPr>
        <w:pStyle w:val="10"/>
        <w:jc w:val="left"/>
        <w:rPr>
          <w:rStyle w:val="16"/>
          <w:rFonts w:hint="eastAsia" w:ascii="仿宋_GB2312" w:hAnsi="仿宋_GB2312" w:eastAsia="仿宋_GB2312" w:cs="仿宋_GB2312"/>
          <w:b w:val="0"/>
          <w:bCs w:val="0"/>
          <w:spacing w:val="-4"/>
          <w:kern w:val="2"/>
          <w:sz w:val="32"/>
          <w:szCs w:val="32"/>
          <w:lang w:val="en-US" w:eastAsia="zh-CN" w:bidi="ar-SA"/>
        </w:rPr>
      </w:pPr>
      <w:r>
        <w:rPr>
          <w:rFonts w:hint="eastAsia"/>
          <w:lang w:val="en-US" w:eastAsia="zh-CN"/>
        </w:rPr>
        <w:t xml:space="preserve">   </w:t>
      </w:r>
      <w:r>
        <w:rPr>
          <w:rStyle w:val="16"/>
          <w:rFonts w:hint="eastAsia" w:ascii="仿宋_GB2312" w:hAnsi="仿宋_GB2312" w:eastAsia="仿宋_GB2312" w:cs="仿宋_GB2312"/>
          <w:b w:val="0"/>
          <w:bCs w:val="0"/>
          <w:spacing w:val="-4"/>
          <w:kern w:val="2"/>
          <w:sz w:val="32"/>
          <w:szCs w:val="32"/>
          <w:lang w:val="en-US" w:eastAsia="zh-CN" w:bidi="ar-SA"/>
        </w:rPr>
        <w:t xml:space="preserve"> 离退休干部特需费、管理费、活动费项目2023年总预算资金387万元，项目资金为哈密市本级财政资金，项目资金全部到位资金387万元，资金到位率为100%。</w:t>
      </w:r>
    </w:p>
    <w:p w14:paraId="304BA5E8">
      <w:pPr>
        <w:pStyle w:val="10"/>
        <w:numPr>
          <w:ilvl w:val="0"/>
          <w:numId w:val="1"/>
        </w:numPr>
        <w:ind w:left="642" w:leftChars="0" w:firstLine="0" w:firstLineChars="0"/>
        <w:jc w:val="left"/>
        <w:rPr>
          <w:rFonts w:hint="eastAsia" w:eastAsia="仿宋_GB2312" w:cs="Times New Roman"/>
          <w:b/>
          <w:bCs/>
          <w:sz w:val="32"/>
          <w:szCs w:val="32"/>
          <w:lang w:val="en-US" w:eastAsia="zh-CN"/>
        </w:rPr>
      </w:pPr>
      <w:r>
        <w:rPr>
          <w:rFonts w:hint="eastAsia" w:eastAsia="仿宋_GB2312" w:cs="Times New Roman"/>
          <w:b/>
          <w:bCs/>
          <w:sz w:val="32"/>
          <w:szCs w:val="32"/>
          <w:lang w:val="en-US" w:eastAsia="zh-CN"/>
        </w:rPr>
        <w:t>资金使用情况</w:t>
      </w:r>
    </w:p>
    <w:p w14:paraId="255ADE58">
      <w:pPr>
        <w:numPr>
          <w:ilvl w:val="0"/>
          <w:numId w:val="0"/>
        </w:numPr>
        <w:rPr>
          <w:rStyle w:val="16"/>
          <w:rFonts w:hint="default" w:ascii="仿宋_GB2312" w:hAnsi="仿宋_GB2312" w:eastAsia="仿宋_GB2312" w:cs="仿宋_GB2312"/>
          <w:b w:val="0"/>
          <w:bCs w:val="0"/>
          <w:spacing w:val="-4"/>
          <w:kern w:val="2"/>
          <w:sz w:val="32"/>
          <w:szCs w:val="32"/>
          <w:lang w:val="en-US" w:eastAsia="zh-CN" w:bidi="ar-SA"/>
        </w:rPr>
      </w:pPr>
      <w:r>
        <w:rPr>
          <w:rFonts w:hint="eastAsia" w:ascii="仿宋_GB2312" w:hAnsi="仿宋_GB2312" w:eastAsia="仿宋_GB2312" w:cs="仿宋_GB2312"/>
          <w:sz w:val="32"/>
          <w:szCs w:val="32"/>
          <w:lang w:val="en-US" w:eastAsia="zh-CN"/>
        </w:rPr>
        <w:t xml:space="preserve">   </w:t>
      </w:r>
      <w:r>
        <w:rPr>
          <w:rStyle w:val="16"/>
          <w:rFonts w:hint="eastAsia" w:ascii="仿宋_GB2312" w:hAnsi="仿宋_GB2312" w:eastAsia="仿宋_GB2312" w:cs="仿宋_GB2312"/>
          <w:b w:val="0"/>
          <w:bCs w:val="0"/>
          <w:spacing w:val="-4"/>
          <w:kern w:val="2"/>
          <w:sz w:val="32"/>
          <w:szCs w:val="32"/>
          <w:lang w:val="en-US" w:eastAsia="zh-CN" w:bidi="ar-SA"/>
        </w:rPr>
        <w:t xml:space="preserve"> 离退休干部特需费、管理费、活动费项目年初预算数300万元，全年预算数为387万元，截至2023年12月31日全年执行数350.24万元，预算执行率为90.5%，项目资金主要用于支付离休干部重大节日慰问活动，党报党刊征订，离休干部遗孀取暖费医保费发放，干休所离休干部入住福利院等工作，项目实施使得离休干部得到关心关怀，离休老干部基本生活得到保障。偏差原因：因2023年在征订报刊期间960余名老干部自愿放弃征订报刊款，导致报刊征订费用结余36.76万元，未达到预期目标值。改进措施：在今后工作中提高预算编制水平，确保预算的合理、精准和科学编制。加强预算管理，建立有效预算控制机制，把预算编制、审批、执行和评价统一起来，按照规定的时间完成，并且加强对预算执行情况的实时监控。强化对绩效的跟踪，及时发现问题，及时采取补救措施，确保预算执行正确有效。</w:t>
      </w:r>
    </w:p>
    <w:p w14:paraId="46EB06C8">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4.</w:t>
      </w:r>
      <w:r>
        <w:rPr>
          <w:rFonts w:hint="default" w:ascii="Times New Roman" w:hAnsi="Times New Roman" w:eastAsia="仿宋_GB2312" w:cs="Times New Roman"/>
          <w:b/>
          <w:bCs/>
          <w:sz w:val="32"/>
          <w:szCs w:val="32"/>
        </w:rPr>
        <w:t>实施情况</w:t>
      </w:r>
    </w:p>
    <w:p w14:paraId="2CBEE64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2023年离退休干部特需费、管理费、活动费项目按年初计划完成3次对离休干部进行走访慰问送温暖活动，共计慰问离休老干部106人，对63名离休干部遗孀及时发放取暖费医保费，完成2827份党报党刊征订工作，因960名离退休干部自愿放弃征订党报党刊，故实际完成重征订任务比计划少960份。</w:t>
      </w:r>
    </w:p>
    <w:p w14:paraId="38922BD7">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（二）项目绩效目标</w:t>
      </w:r>
    </w:p>
    <w:p w14:paraId="2A568202">
      <w:pPr>
        <w:pStyle w:val="10"/>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1.总体目标</w:t>
      </w:r>
    </w:p>
    <w:p w14:paraId="70257B61">
      <w:p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离退休干部特需费、管理费、活动费387万元，主要用于离休干部重大节日慰问活动，党报党刊征订，离休干部遗孀取暖费医保费发放，干休所离休干部入住福利院等工作，项目实施使得离休干部得到关心关怀，离休老干部基本生活得到保障。</w:t>
      </w:r>
    </w:p>
    <w:p w14:paraId="0C2D79E5">
      <w:pPr>
        <w:pStyle w:val="10"/>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2.阶段性目标</w:t>
      </w:r>
    </w:p>
    <w:p w14:paraId="7BEFA9C3">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hint="eastAsia" w:ascii="仿宋_GB2312" w:hAnsi="仿宋_GB2312" w:eastAsia="仿宋_GB2312" w:cs="仿宋_GB2312"/>
          <w:sz w:val="32"/>
          <w:szCs w:val="32"/>
          <w:lang w:val="en-US" w:eastAsia="zh-CN"/>
        </w:rPr>
      </w:pPr>
      <w:r>
        <w:rPr>
          <w:rStyle w:val="16"/>
          <w:rFonts w:hint="eastAsia" w:ascii="仿宋_GB2312" w:hAnsi="仿宋_GB2312" w:eastAsia="仿宋_GB2312" w:cs="仿宋_GB2312"/>
          <w:b w:val="0"/>
          <w:bCs w:val="0"/>
          <w:spacing w:val="-4"/>
          <w:kern w:val="2"/>
          <w:sz w:val="32"/>
          <w:szCs w:val="32"/>
          <w:lang w:val="en-US" w:eastAsia="zh-CN" w:bidi="ar-SA"/>
        </w:rPr>
        <w:t>离退休干部特需费、管理费、活动费项目2023年1月至2月元旦、春节期间主要开展走访慰问老干部活动，为老干部送温暖，了解老干部生活所需；2023年10至12月主要开展离退休干部征订党报党刊，为老干部订阅党刊报刊，让老干部及时了解掌握党的路线、方针、政策和国家大事。</w:t>
      </w:r>
    </w:p>
    <w:p w14:paraId="05812A1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507AA19E">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07816C8D">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绩效评价的目的</w:t>
      </w:r>
    </w:p>
    <w:p w14:paraId="453F6BB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5538E420">
      <w:pPr>
        <w:keepNext w:val="0"/>
        <w:keepLines w:val="0"/>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14:paraId="73E18A8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（2）项目绩效管</w:t>
      </w:r>
      <w:r>
        <w:rPr>
          <w:rFonts w:hint="eastAsia" w:eastAsia="仿宋_GB2312" w:cs="Times New Roman"/>
          <w:sz w:val="32"/>
          <w:szCs w:val="32"/>
          <w:lang w:eastAsia="zh-CN"/>
        </w:rPr>
        <w:t>理为</w:t>
      </w:r>
      <w:r>
        <w:rPr>
          <w:rFonts w:hint="default" w:ascii="Times New Roman" w:hAnsi="Times New Roman" w:eastAsia="仿宋_GB2312" w:cs="Times New Roman"/>
          <w:sz w:val="32"/>
          <w:szCs w:val="32"/>
        </w:rPr>
        <w:t>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0C0B5137">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绩效评价的对象</w:t>
      </w:r>
    </w:p>
    <w:p w14:paraId="03A4FBC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离退休干部特需费、管理费、活动费</w:t>
      </w:r>
      <w:r>
        <w:rPr>
          <w:rFonts w:hint="default" w:ascii="Times New Roman" w:hAnsi="Times New Roman" w:eastAsia="仿宋_GB2312" w:cs="Times New Roman"/>
          <w:kern w:val="0"/>
          <w:sz w:val="32"/>
          <w:szCs w:val="32"/>
          <w:lang w:val="en-US" w:eastAsia="zh-CN" w:bidi="ar-SA"/>
        </w:rPr>
        <w:t>项目所包含</w:t>
      </w:r>
      <w:r>
        <w:rPr>
          <w:rFonts w:hint="default" w:ascii="Times New Roman" w:hAnsi="Times New Roman" w:eastAsia="仿宋_GB2312" w:cs="Times New Roman"/>
          <w:sz w:val="32"/>
          <w:szCs w:val="32"/>
        </w:rPr>
        <w:t>的全部项目内容。</w:t>
      </w:r>
    </w:p>
    <w:p w14:paraId="23F7F2A5">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绩效评价的范围</w:t>
      </w:r>
    </w:p>
    <w:p w14:paraId="636A38D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w:t>
      </w:r>
      <w:r>
        <w:rPr>
          <w:rFonts w:hint="default" w:ascii="Times New Roman" w:hAnsi="Times New Roman" w:eastAsia="仿宋_GB2312" w:cs="Times New Roman"/>
          <w:sz w:val="32"/>
          <w:szCs w:val="32"/>
          <w:lang w:val="en-US" w:eastAsia="zh-CN"/>
        </w:rPr>
        <w:t>离退休干部特需费、管理费、活动费</w:t>
      </w:r>
      <w:r>
        <w:rPr>
          <w:rFonts w:hint="default" w:ascii="Times New Roman" w:hAnsi="Times New Roman" w:eastAsia="仿宋_GB2312" w:cs="Times New Roman"/>
          <w:sz w:val="32"/>
          <w:szCs w:val="32"/>
          <w:highlight w:val="none"/>
        </w:rPr>
        <w:t>项目进行评</w:t>
      </w:r>
      <w:r>
        <w:rPr>
          <w:rFonts w:hint="default" w:ascii="Times New Roman" w:hAnsi="Times New Roman" w:eastAsia="仿宋_GB2312" w:cs="Times New Roman"/>
          <w:sz w:val="32"/>
          <w:szCs w:val="32"/>
        </w:rPr>
        <w:t>价，评价核心为专项资金的支出完成情况和效果。</w:t>
      </w:r>
    </w:p>
    <w:p w14:paraId="41684065">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32D1474A">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绩效评价原则</w:t>
      </w:r>
    </w:p>
    <w:p w14:paraId="5876346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14:paraId="5EF9D0B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（1）科学公正。绩效评价应当运用科学合理的方法，按照规范的程序，对项目绩效进行客观、公正</w:t>
      </w:r>
      <w:r>
        <w:rPr>
          <w:rFonts w:hint="eastAsia" w:eastAsia="仿宋_GB2312" w:cs="Times New Roman"/>
          <w:sz w:val="32"/>
          <w:szCs w:val="32"/>
          <w:lang w:eastAsia="zh-CN"/>
        </w:rPr>
        <w:t>地</w:t>
      </w:r>
      <w:r>
        <w:rPr>
          <w:rFonts w:hint="default" w:ascii="Times New Roman" w:hAnsi="Times New Roman" w:eastAsia="仿宋_GB2312" w:cs="Times New Roman"/>
          <w:sz w:val="32"/>
          <w:szCs w:val="32"/>
        </w:rPr>
        <w:t>反映。</w:t>
      </w:r>
    </w:p>
    <w:p w14:paraId="2FF0CDF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（2）统筹兼顾。单位自评、部门评价和财政评价应职责明确，各有侧重，相互衔接。单位自评应由项目单位自主实施，即“谁支出、谁自评”。部门评价和财政评价应在单位自评的基础上开展。</w:t>
      </w:r>
    </w:p>
    <w:p w14:paraId="21248A7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（3）激励约束。绩效评价结果应与预算安排、政策调整、改进管理实质性挂钩，体现奖优罚劣和激励相容导向，有效要安排、低效要压减、无效要问责。</w:t>
      </w:r>
    </w:p>
    <w:p w14:paraId="38835FE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（4）公开透明。绩效评价结果应依法依规公开，并自觉接受社会监督。</w:t>
      </w:r>
    </w:p>
    <w:p w14:paraId="4653F3CB">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评价指标体系</w:t>
      </w:r>
    </w:p>
    <w:p w14:paraId="5A0551C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14:paraId="6B7B26C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14:paraId="633B0A4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734C184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14:paraId="5E12168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确定各个指标相对于项目总体绩效的权重分值。在绩效评价指标体系中，项目决策权重为20分，项目过程权重为20分，项目产出权重为</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0分，</w:t>
      </w:r>
      <w:r>
        <w:rPr>
          <w:rFonts w:hint="eastAsia" w:eastAsia="仿宋_GB2312" w:cs="Times New Roman"/>
          <w:sz w:val="32"/>
          <w:szCs w:val="32"/>
          <w:lang w:val="en-US" w:eastAsia="zh-CN"/>
        </w:rPr>
        <w:t>项目成本为10分，</w:t>
      </w:r>
      <w:r>
        <w:rPr>
          <w:rFonts w:hint="default" w:ascii="Times New Roman" w:hAnsi="Times New Roman" w:eastAsia="仿宋_GB2312" w:cs="Times New Roman"/>
          <w:sz w:val="32"/>
          <w:szCs w:val="32"/>
        </w:rPr>
        <w:t>项目效益权重为20分。</w:t>
      </w:r>
    </w:p>
    <w:p w14:paraId="56889E0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14:paraId="5B6F80B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指标标准值是绩效评价指标的尺度，既要反映同类项目的先进水平，又要符合项目的实际绩效水平。具体采用计划标准等确定此次绩效评价指标标准值。</w:t>
      </w:r>
    </w:p>
    <w:p w14:paraId="5453010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100分（含90分）对应的评分结果级别为优，80</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90分（含80分）对应的评分结果级别为良，60</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80分（含60分）对应的评分结果级别为中，60分以下对应的评分结果级别为差。具体评价指标体系详情见附件1</w:t>
      </w:r>
    </w:p>
    <w:p w14:paraId="06B429D1">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绩效评价方法</w:t>
      </w:r>
    </w:p>
    <w:p w14:paraId="672D611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  评价核心为资金的支出完成情况和项目的产出效益。</w:t>
      </w:r>
    </w:p>
    <w:p w14:paraId="679CDB5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本次评价指标中，既有定性指标又有定量指标，各类指标因考核内容不同和客观标准不同存在较大差异，因此核定具体指标时采用了不同方法，具体评价方法如下：</w:t>
      </w:r>
    </w:p>
    <w:p w14:paraId="770C6C1C">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比较法</w:t>
      </w:r>
      <w:r>
        <w:rPr>
          <w:rFonts w:hint="eastAsia" w:eastAsia="仿宋_GB2312" w:cs="Times New Roman"/>
          <w:b/>
          <w:bCs/>
          <w:sz w:val="32"/>
          <w:szCs w:val="32"/>
          <w:lang w:eastAsia="zh-CN"/>
        </w:rPr>
        <w:t>：</w:t>
      </w:r>
      <w:r>
        <w:rPr>
          <w:rFonts w:hint="default" w:ascii="Times New Roman" w:hAnsi="Times New Roman" w:eastAsia="仿宋_GB2312" w:cs="Times New Roman"/>
          <w:sz w:val="32"/>
          <w:szCs w:val="32"/>
        </w:rPr>
        <w:t>通过对</w:t>
      </w:r>
      <w:r>
        <w:rPr>
          <w:rFonts w:hint="eastAsia" w:eastAsia="仿宋_GB2312" w:cs="Times New Roman"/>
          <w:sz w:val="32"/>
          <w:szCs w:val="32"/>
          <w:lang w:val="en-US" w:eastAsia="zh-CN"/>
        </w:rPr>
        <w:t>该项目的</w:t>
      </w:r>
      <w:r>
        <w:rPr>
          <w:rFonts w:hint="default" w:ascii="Times New Roman" w:hAnsi="Times New Roman" w:eastAsia="仿宋_GB2312" w:cs="Times New Roman"/>
          <w:sz w:val="32"/>
          <w:szCs w:val="32"/>
        </w:rPr>
        <w:t>绩效目标与实施效果、历史与当期情况，综合分析绩效目标实现程度。对项目最终验收情况与年度绩效目标对比、预算资金执行情况等相关因素进行比较。</w:t>
      </w:r>
    </w:p>
    <w:p w14:paraId="1CF0BCB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成本效益分析法：</w:t>
      </w:r>
      <w:r>
        <w:rPr>
          <w:rFonts w:hint="eastAsia" w:ascii="仿宋_GB2312" w:hAnsi="仿宋_GB2312" w:eastAsia="仿宋_GB2312" w:cs="仿宋_GB2312"/>
          <w:color w:val="auto"/>
          <w:sz w:val="32"/>
          <w:szCs w:val="32"/>
          <w:lang w:val="en-US" w:eastAsia="zh-CN"/>
        </w:rPr>
        <w:t>将项目的预算支出安排与预期效益进行对比分析，以评价绩效目标的预期实现程度。</w:t>
      </w:r>
    </w:p>
    <w:p w14:paraId="73BB03E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rPr>
          <w:rFonts w:hint="default"/>
          <w:b w:val="0"/>
          <w:bCs w:val="0"/>
          <w:color w:val="auto"/>
        </w:rPr>
      </w:pPr>
      <w:r>
        <w:rPr>
          <w:rFonts w:hint="eastAsia" w:ascii="仿宋_GB2312" w:hAnsi="仿宋_GB2312" w:eastAsia="仿宋_GB2312" w:cs="仿宋_GB2312"/>
          <w:b/>
          <w:bCs/>
          <w:color w:val="auto"/>
          <w:sz w:val="32"/>
          <w:szCs w:val="32"/>
          <w:lang w:val="en-US" w:eastAsia="zh-CN"/>
        </w:rPr>
        <w:t>因素分析法：</w:t>
      </w:r>
      <w:r>
        <w:rPr>
          <w:rFonts w:hint="eastAsia" w:ascii="仿宋_GB2312" w:hAnsi="仿宋_GB2312" w:eastAsia="仿宋_GB2312" w:cs="仿宋_GB2312"/>
          <w:color w:val="auto"/>
          <w:sz w:val="32"/>
          <w:szCs w:val="32"/>
          <w:lang w:val="en-US" w:eastAsia="zh-CN"/>
        </w:rPr>
        <w:t>综合分析影响财政资金绩效目标实现以及实施效果的内部、外部因素，将影响预期投入和产出的各项因素罗列出来进行分析，计算投入产出比进行评价。</w:t>
      </w:r>
    </w:p>
    <w:p w14:paraId="134BFAFA">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w:t>
      </w:r>
      <w:r>
        <w:rPr>
          <w:rFonts w:hint="eastAsia" w:eastAsia="仿宋_GB2312" w:cs="Times New Roman"/>
          <w:b/>
          <w:bCs/>
          <w:sz w:val="32"/>
          <w:szCs w:val="32"/>
          <w:lang w:val="en-US" w:eastAsia="zh-CN"/>
        </w:rPr>
        <w:t>.</w:t>
      </w:r>
      <w:r>
        <w:rPr>
          <w:rFonts w:hint="default" w:ascii="Times New Roman" w:hAnsi="Times New Roman" w:eastAsia="仿宋_GB2312" w:cs="Times New Roman"/>
          <w:b/>
          <w:bCs/>
          <w:sz w:val="32"/>
          <w:szCs w:val="32"/>
        </w:rPr>
        <w:t>评价标准</w:t>
      </w:r>
    </w:p>
    <w:p w14:paraId="25C88B6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绩效评价标准通常包括计划标准、行业标准、历史标准等，用于对绩效指标完成情况进行比较、分析、评价。本次评价主要采用了计划标准。</w:t>
      </w:r>
    </w:p>
    <w:p w14:paraId="29CC355A">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bookmarkStart w:id="0" w:name="_Toc31464"/>
      <w:bookmarkStart w:id="1" w:name="_Toc17882"/>
      <w:r>
        <w:rPr>
          <w:rFonts w:hint="default" w:ascii="Times New Roman" w:hAnsi="Times New Roman" w:eastAsia="仿宋_GB2312" w:cs="Times New Roman"/>
          <w:b/>
          <w:bCs/>
          <w:sz w:val="32"/>
          <w:szCs w:val="32"/>
        </w:rPr>
        <w:t>计划标准：</w:t>
      </w:r>
      <w:r>
        <w:rPr>
          <w:rFonts w:hint="default" w:ascii="Times New Roman" w:hAnsi="Times New Roman" w:eastAsia="仿宋_GB2312" w:cs="Times New Roman"/>
          <w:sz w:val="32"/>
          <w:szCs w:val="32"/>
        </w:rPr>
        <w:t>指以预先制定的目标、计划、预算、定额等作为评价标准。</w:t>
      </w:r>
      <w:bookmarkEnd w:id="0"/>
      <w:bookmarkEnd w:id="1"/>
    </w:p>
    <w:p w14:paraId="0F869DC3">
      <w:pPr>
        <w:pStyle w:val="10"/>
        <w:keepNext w:val="0"/>
        <w:keepLines w:val="0"/>
        <w:pageBreakBefore w:val="0"/>
        <w:numPr>
          <w:ilvl w:val="0"/>
          <w:numId w:val="3"/>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3589B331">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eastAsia" w:eastAsia="仿宋_GB2312" w:cs="Times New Roman"/>
          <w:b/>
          <w:bCs/>
          <w:sz w:val="32"/>
          <w:szCs w:val="32"/>
          <w:lang w:val="en-US" w:eastAsia="zh-CN"/>
        </w:rPr>
        <w:t>1.</w:t>
      </w:r>
      <w:r>
        <w:rPr>
          <w:rFonts w:hint="default" w:ascii="Times New Roman" w:hAnsi="Times New Roman" w:eastAsia="仿宋_GB2312" w:cs="Times New Roman"/>
          <w:b/>
          <w:bCs/>
          <w:sz w:val="32"/>
          <w:szCs w:val="32"/>
        </w:rPr>
        <w:t>前期准备。</w:t>
      </w:r>
      <w:r>
        <w:rPr>
          <w:rFonts w:hint="default" w:ascii="Times New Roman" w:hAnsi="Times New Roman" w:eastAsia="仿宋_GB2312" w:cs="Times New Roman"/>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1234ACD8">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组织实施。</w:t>
      </w:r>
      <w:r>
        <w:rPr>
          <w:rFonts w:hint="default" w:ascii="Times New Roman" w:hAnsi="Times New Roman" w:eastAsia="仿宋_GB2312" w:cs="Times New Roman"/>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24F193F9">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分析评价。</w:t>
      </w:r>
      <w:r>
        <w:rPr>
          <w:rFonts w:hint="default" w:ascii="Times New Roman" w:hAnsi="Times New Roman" w:eastAsia="仿宋_GB2312" w:cs="Times New Roman"/>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6849D34C">
      <w:pPr>
        <w:keepNext w:val="0"/>
        <w:keepLines w:val="0"/>
        <w:pageBreakBefore w:val="0"/>
        <w:numPr>
          <w:ilvl w:val="0"/>
          <w:numId w:val="4"/>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652DB7A3">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7F0FF4A4">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项目总体组织规范，在项目实施过</w:t>
      </w:r>
      <w:r>
        <w:rPr>
          <w:rFonts w:hint="eastAsia" w:eastAsia="仿宋_GB2312" w:cs="Times New Roman"/>
          <w:b w:val="0"/>
          <w:bCs w:val="0"/>
          <w:kern w:val="28"/>
          <w:sz w:val="32"/>
          <w:szCs w:val="32"/>
          <w:lang w:val="en-US" w:eastAsia="zh-CN" w:bidi="ar-SA"/>
        </w:rPr>
        <w:t>程中</w:t>
      </w:r>
      <w:r>
        <w:rPr>
          <w:rFonts w:hint="default" w:ascii="Times New Roman" w:hAnsi="Times New Roman" w:eastAsia="仿宋_GB2312" w:cs="Times New Roman"/>
          <w:b w:val="0"/>
          <w:bCs w:val="0"/>
          <w:kern w:val="28"/>
          <w:sz w:val="32"/>
          <w:szCs w:val="32"/>
          <w:lang w:val="en-US" w:eastAsia="zh-CN" w:bidi="ar-SA"/>
        </w:rPr>
        <w:t>做到认真履职，监督到位。按照相关制度的要求，项目负责人对项目绩效监控执行情况进行跟踪监督，有效完成了本项目的工作目标，确保资金使用安全和最大效益</w:t>
      </w:r>
      <w:r>
        <w:rPr>
          <w:rFonts w:hint="eastAsia" w:eastAsia="仿宋_GB2312" w:cs="Times New Roman"/>
          <w:b w:val="0"/>
          <w:bCs w:val="0"/>
          <w:kern w:val="28"/>
          <w:sz w:val="32"/>
          <w:szCs w:val="32"/>
          <w:lang w:val="en-US" w:eastAsia="zh-CN" w:bidi="ar-SA"/>
        </w:rPr>
        <w:t>地</w:t>
      </w:r>
      <w:r>
        <w:rPr>
          <w:rFonts w:hint="default" w:ascii="Times New Roman" w:hAnsi="Times New Roman" w:eastAsia="仿宋_GB2312" w:cs="Times New Roman"/>
          <w:b w:val="0"/>
          <w:bCs w:val="0"/>
          <w:kern w:val="28"/>
          <w:sz w:val="32"/>
          <w:szCs w:val="32"/>
          <w:lang w:val="en-US" w:eastAsia="zh-CN" w:bidi="ar-SA"/>
        </w:rPr>
        <w:t>发挥，保障项目如期按要求完成。规范项目档案资料的整理。项目的实施达到项目预期效果。</w:t>
      </w:r>
    </w:p>
    <w:p w14:paraId="2C4294C4">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758B2105">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98.36</w:t>
      </w:r>
      <w:r>
        <w:rPr>
          <w:rFonts w:hint="default" w:ascii="Times New Roman" w:hAnsi="Times New Roman" w:eastAsia="仿宋_GB2312" w:cs="Times New Roman"/>
          <w:b w:val="0"/>
          <w:bCs w:val="0"/>
          <w:highlight w:val="none"/>
        </w:rPr>
        <w:t>分，属于“</w:t>
      </w:r>
      <w:r>
        <w:rPr>
          <w:rFonts w:hint="eastAsia" w:ascii="Times New Roman" w:hAnsi="Times New Roman" w:eastAsia="仿宋_GB2312" w:cs="Times New Roman"/>
          <w:b w:val="0"/>
          <w:bCs w:val="0"/>
          <w:highlight w:val="none"/>
          <w:lang w:val="en-US" w:eastAsia="zh-CN"/>
        </w:rPr>
        <w:t>优</w:t>
      </w:r>
      <w:r>
        <w:rPr>
          <w:rFonts w:hint="default" w:ascii="Times New Roman" w:hAnsi="Times New Roman" w:eastAsia="仿宋_GB2312" w:cs="Times New Roman"/>
          <w:b w:val="0"/>
          <w:bCs w:val="0"/>
          <w:highlight w:val="none"/>
        </w:rPr>
        <w:t>”。其中，项目决策类指标权重为20分，得分为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19.62</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98.1</w:t>
      </w:r>
      <w:r>
        <w:rPr>
          <w:rFonts w:hint="default" w:ascii="Times New Roman" w:hAnsi="Times New Roman" w:eastAsia="仿宋_GB2312" w:cs="Times New Roman"/>
          <w:b w:val="0"/>
          <w:bCs w:val="0"/>
          <w:highlight w:val="none"/>
        </w:rPr>
        <w:t>%。项目产出类指标权重为</w:t>
      </w:r>
      <w:r>
        <w:rPr>
          <w:rFonts w:hint="eastAsia"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val="0"/>
          <w:bCs w:val="0"/>
          <w:highlight w:val="none"/>
        </w:rPr>
        <w:t>0分，得分为</w:t>
      </w:r>
      <w:r>
        <w:rPr>
          <w:rFonts w:hint="eastAsia" w:ascii="Times New Roman" w:hAnsi="Times New Roman" w:eastAsia="仿宋_GB2312" w:cs="Times New Roman"/>
          <w:b w:val="0"/>
          <w:bCs w:val="0"/>
          <w:highlight w:val="none"/>
          <w:lang w:val="en-US" w:eastAsia="zh-CN"/>
        </w:rPr>
        <w:t>29.37</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97.9</w:t>
      </w:r>
      <w:r>
        <w:rPr>
          <w:rFonts w:hint="default" w:ascii="Times New Roman" w:hAnsi="Times New Roman" w:eastAsia="仿宋_GB2312" w:cs="Times New Roman"/>
          <w:b w:val="0"/>
          <w:bCs w:val="0"/>
          <w:highlight w:val="none"/>
        </w:rPr>
        <w:t>%。</w:t>
      </w:r>
      <w:r>
        <w:rPr>
          <w:rFonts w:hint="eastAsia" w:ascii="Times New Roman" w:hAnsi="Times New Roman" w:eastAsia="仿宋_GB2312" w:cs="Times New Roman"/>
          <w:b w:val="0"/>
          <w:bCs w:val="0"/>
          <w:highlight w:val="none"/>
          <w:lang w:val="en-US" w:eastAsia="zh-CN"/>
        </w:rPr>
        <w:t>项目成本类指标权重为10分，得分为9.37分，得分率为93.7%，</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5627EBA3">
      <w:pPr>
        <w:pStyle w:val="10"/>
        <w:keepNext w:val="0"/>
        <w:keepLines w:val="0"/>
        <w:pageBreakBefore w:val="0"/>
        <w:widowControl/>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77D65AE9">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7B35EE73">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DFCD98D">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4AFDFAA4">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14:paraId="5F9E6D5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DC6D3EA">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7F95520E">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C532974">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0D2846C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FA40B20">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05C2C2C6">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2004E6F">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19.62</w:t>
            </w:r>
          </w:p>
        </w:tc>
      </w:tr>
      <w:tr w14:paraId="44E0523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551CBFE">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6863E520">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3</w:t>
            </w:r>
            <w:r>
              <w:rPr>
                <w:rFonts w:hint="default" w:ascii="Times New Roman" w:hAnsi="Times New Roman" w:cs="Times New Roman"/>
                <w:color w:val="000000"/>
                <w:sz w:val="22"/>
                <w:lang w:val="en-US" w:eastAsia="zh-CN"/>
              </w:rPr>
              <w:t>0</w:t>
            </w:r>
          </w:p>
        </w:tc>
        <w:tc>
          <w:tcPr>
            <w:tcW w:w="2278" w:type="dxa"/>
            <w:tcBorders>
              <w:top w:val="nil"/>
              <w:left w:val="nil"/>
              <w:bottom w:val="single" w:color="auto" w:sz="4" w:space="0"/>
              <w:right w:val="single" w:color="auto" w:sz="4" w:space="0"/>
            </w:tcBorders>
            <w:shd w:val="clear" w:color="auto" w:fill="auto"/>
            <w:vAlign w:val="center"/>
          </w:tcPr>
          <w:p w14:paraId="74BC058E">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29.37</w:t>
            </w:r>
          </w:p>
        </w:tc>
      </w:tr>
      <w:tr w14:paraId="2D64D28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33C1D74">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项目成本</w:t>
            </w:r>
          </w:p>
        </w:tc>
        <w:tc>
          <w:tcPr>
            <w:tcW w:w="2168" w:type="dxa"/>
            <w:tcBorders>
              <w:top w:val="nil"/>
              <w:left w:val="nil"/>
              <w:bottom w:val="single" w:color="auto" w:sz="4" w:space="0"/>
              <w:right w:val="single" w:color="auto" w:sz="4" w:space="0"/>
            </w:tcBorders>
            <w:shd w:val="clear" w:color="auto" w:fill="auto"/>
            <w:vAlign w:val="center"/>
          </w:tcPr>
          <w:p w14:paraId="1BEB5AD2">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cs="Times New Roman"/>
                <w:color w:val="000000"/>
                <w:sz w:val="22"/>
                <w:lang w:val="en-US" w:eastAsia="zh-CN"/>
              </w:rPr>
            </w:pPr>
            <w:r>
              <w:rPr>
                <w:rFonts w:hint="eastAsia" w:cs="Times New Roman"/>
                <w:color w:val="000000"/>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14:paraId="0DE7C348">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lang w:val="en-US" w:eastAsia="zh-CN"/>
              </w:rPr>
            </w:pPr>
            <w:r>
              <w:rPr>
                <w:rFonts w:hint="eastAsia" w:cs="Times New Roman"/>
                <w:color w:val="000000"/>
                <w:sz w:val="22"/>
                <w:lang w:val="en-US" w:eastAsia="zh-CN"/>
              </w:rPr>
              <w:t>9.37</w:t>
            </w:r>
          </w:p>
        </w:tc>
      </w:tr>
      <w:tr w14:paraId="443C434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BA1FFE3">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0DC96591">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F39FA2A">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51E2A37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431C953">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2866C00F">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1EB5EB4B">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b/>
                <w:bCs/>
                <w:color w:val="000000"/>
                <w:sz w:val="22"/>
                <w:lang w:val="en-US" w:eastAsia="zh-CN"/>
              </w:rPr>
            </w:pPr>
            <w:r>
              <w:rPr>
                <w:rFonts w:hint="eastAsia" w:cs="Times New Roman"/>
                <w:b/>
                <w:bCs/>
                <w:color w:val="000000"/>
                <w:sz w:val="22"/>
                <w:lang w:val="en-US" w:eastAsia="zh-CN"/>
              </w:rPr>
              <w:t>98.36</w:t>
            </w:r>
          </w:p>
        </w:tc>
      </w:tr>
    </w:tbl>
    <w:p w14:paraId="49F66FE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60F8A4E1">
      <w:pPr>
        <w:pStyle w:val="10"/>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58EDAEF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08D1C688">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7979542F">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68DF3A5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该项目</w:t>
      </w:r>
      <w:r>
        <w:rPr>
          <w:rFonts w:hint="eastAsia" w:eastAsia="仿宋_GB2312" w:cs="Times New Roman"/>
          <w:color w:val="auto"/>
          <w:sz w:val="32"/>
          <w:szCs w:val="32"/>
          <w:lang w:val="en-US" w:eastAsia="zh-CN"/>
        </w:rPr>
        <w:t>根据</w:t>
      </w:r>
      <w:r>
        <w:rPr>
          <w:rStyle w:val="16"/>
          <w:rFonts w:hint="eastAsia" w:ascii="仿宋_GB2312" w:hAnsi="仿宋_GB2312" w:eastAsia="仿宋_GB2312" w:cs="仿宋_GB2312"/>
          <w:b w:val="0"/>
          <w:bCs w:val="0"/>
          <w:spacing w:val="-4"/>
          <w:sz w:val="32"/>
          <w:szCs w:val="32"/>
        </w:rPr>
        <w:t>中共中央办公厅、中共中央组织部《关于离休退休干部阅读文件问题的通知》（组通字</w:t>
      </w:r>
      <w:r>
        <w:rPr>
          <w:rStyle w:val="16"/>
          <w:rFonts w:hint="eastAsia" w:ascii="仿宋_GB2312" w:hAnsi="仿宋_GB2312" w:eastAsia="仿宋_GB2312" w:cs="仿宋_GB2312"/>
          <w:b w:val="0"/>
          <w:bCs w:val="0"/>
          <w:spacing w:val="-4"/>
          <w:sz w:val="32"/>
          <w:szCs w:val="32"/>
          <w:lang w:eastAsia="zh-CN"/>
        </w:rPr>
        <w:t>〔</w:t>
      </w:r>
      <w:r>
        <w:rPr>
          <w:rStyle w:val="16"/>
          <w:rFonts w:hint="eastAsia" w:ascii="仿宋_GB2312" w:hAnsi="仿宋_GB2312" w:eastAsia="仿宋_GB2312" w:cs="仿宋_GB2312"/>
          <w:b w:val="0"/>
          <w:bCs w:val="0"/>
          <w:spacing w:val="-4"/>
          <w:sz w:val="32"/>
          <w:szCs w:val="32"/>
        </w:rPr>
        <w:t>1981</w:t>
      </w:r>
      <w:r>
        <w:rPr>
          <w:rStyle w:val="16"/>
          <w:rFonts w:hint="eastAsia" w:ascii="仿宋_GB2312" w:hAnsi="仿宋_GB2312" w:eastAsia="仿宋_GB2312" w:cs="仿宋_GB2312"/>
          <w:b w:val="0"/>
          <w:bCs w:val="0"/>
          <w:spacing w:val="-4"/>
          <w:sz w:val="32"/>
          <w:szCs w:val="32"/>
          <w:lang w:eastAsia="zh-CN"/>
        </w:rPr>
        <w:t>〕</w:t>
      </w:r>
      <w:r>
        <w:rPr>
          <w:rStyle w:val="16"/>
          <w:rFonts w:hint="eastAsia" w:ascii="仿宋_GB2312" w:hAnsi="仿宋_GB2312" w:eastAsia="仿宋_GB2312" w:cs="仿宋_GB2312"/>
          <w:b w:val="0"/>
          <w:bCs w:val="0"/>
          <w:spacing w:val="-4"/>
          <w:sz w:val="32"/>
          <w:szCs w:val="32"/>
        </w:rPr>
        <w:t>40号）文件和中共中央组织部《关于在春节期间开展慰问老干部活动的通知》（中组发</w:t>
      </w:r>
      <w:r>
        <w:rPr>
          <w:rStyle w:val="16"/>
          <w:rFonts w:hint="eastAsia" w:ascii="仿宋_GB2312" w:hAnsi="仿宋_GB2312" w:eastAsia="仿宋_GB2312" w:cs="仿宋_GB2312"/>
          <w:b w:val="0"/>
          <w:bCs w:val="0"/>
          <w:spacing w:val="-4"/>
          <w:sz w:val="32"/>
          <w:szCs w:val="32"/>
          <w:lang w:eastAsia="zh-CN"/>
        </w:rPr>
        <w:t>〔</w:t>
      </w:r>
      <w:r>
        <w:rPr>
          <w:rStyle w:val="16"/>
          <w:rFonts w:hint="eastAsia" w:ascii="仿宋_GB2312" w:hAnsi="仿宋_GB2312" w:eastAsia="仿宋_GB2312" w:cs="仿宋_GB2312"/>
          <w:b w:val="0"/>
          <w:bCs w:val="0"/>
          <w:spacing w:val="-4"/>
          <w:sz w:val="32"/>
          <w:szCs w:val="32"/>
        </w:rPr>
        <w:t>1980</w:t>
      </w:r>
      <w:r>
        <w:rPr>
          <w:rStyle w:val="16"/>
          <w:rFonts w:hint="eastAsia" w:ascii="仿宋_GB2312" w:hAnsi="仿宋_GB2312" w:eastAsia="仿宋_GB2312" w:cs="仿宋_GB2312"/>
          <w:b w:val="0"/>
          <w:bCs w:val="0"/>
          <w:spacing w:val="-4"/>
          <w:sz w:val="32"/>
          <w:szCs w:val="32"/>
          <w:lang w:eastAsia="zh-CN"/>
        </w:rPr>
        <w:t>〕</w:t>
      </w:r>
      <w:r>
        <w:rPr>
          <w:rStyle w:val="16"/>
          <w:rFonts w:hint="eastAsia" w:ascii="仿宋_GB2312" w:hAnsi="仿宋_GB2312" w:eastAsia="仿宋_GB2312" w:cs="仿宋_GB2312"/>
          <w:b w:val="0"/>
          <w:bCs w:val="0"/>
          <w:spacing w:val="-4"/>
          <w:sz w:val="32"/>
          <w:szCs w:val="32"/>
        </w:rPr>
        <w:t>75号）文件</w:t>
      </w:r>
      <w:r>
        <w:rPr>
          <w:rFonts w:hint="eastAsia" w:ascii="仿宋_GB2312" w:hAnsi="仿宋_GB2312" w:eastAsia="仿宋_GB2312" w:cs="仿宋_GB2312"/>
          <w:color w:val="auto"/>
          <w:sz w:val="32"/>
          <w:szCs w:val="32"/>
          <w:lang w:val="en-US" w:eastAsia="zh-CN"/>
        </w:rPr>
        <w:t>进行立项，项</w:t>
      </w:r>
      <w:r>
        <w:rPr>
          <w:rFonts w:hint="eastAsia" w:eastAsia="仿宋_GB2312" w:cs="Times New Roman"/>
          <w:color w:val="auto"/>
          <w:sz w:val="32"/>
          <w:szCs w:val="32"/>
          <w:lang w:val="en-US" w:eastAsia="zh-CN"/>
        </w:rPr>
        <w:t>目依据</w:t>
      </w:r>
      <w:r>
        <w:rPr>
          <w:rFonts w:hint="default" w:ascii="Times New Roman" w:hAnsi="Times New Roman" w:eastAsia="仿宋_GB2312" w:cs="Times New Roman"/>
          <w:color w:val="auto"/>
          <w:sz w:val="32"/>
          <w:szCs w:val="32"/>
          <w:lang w:val="en-US" w:eastAsia="zh-CN"/>
        </w:rPr>
        <w:t>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608159E1">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6BC631A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2708EC2A">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0E1EFF18">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1C8A94B3">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w:t>
      </w:r>
      <w:r>
        <w:rPr>
          <w:rFonts w:hint="eastAsia" w:eastAsia="仿宋_GB2312" w:cs="Times New Roman"/>
          <w:sz w:val="32"/>
          <w:szCs w:val="32"/>
          <w:lang w:val="en-US" w:eastAsia="zh-CN"/>
        </w:rPr>
        <w:t>的</w:t>
      </w:r>
      <w:r>
        <w:rPr>
          <w:rFonts w:hint="default" w:ascii="Times New Roman" w:hAnsi="Times New Roman" w:eastAsia="仿宋_GB2312" w:cs="Times New Roman"/>
          <w:sz w:val="32"/>
          <w:szCs w:val="32"/>
          <w:lang w:val="en-US" w:eastAsia="zh-CN"/>
        </w:rPr>
        <w:t>细化情况。绩效目标表经过审核，绩效目标与实际工作内容具有相关性，预算与确定的项目投资额相匹配，对项目任务进行了详细分解。项目预期产出效益及效果符合正常的业绩水平。</w:t>
      </w:r>
    </w:p>
    <w:p w14:paraId="7C698E2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34B46EA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34F36B00">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3FBE2F5F">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6456C144">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预算编制经过科学论证，提供充分的测算依据佐证资料，预算内容与项目内容相匹配。项目投资额与工作任务相匹配。</w:t>
      </w:r>
    </w:p>
    <w:p w14:paraId="0CFD489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14:paraId="4319EC3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资金分配额度与项目单位实际工作内容相适应，资金分配额度合理，资金分配依据充分。</w:t>
      </w:r>
    </w:p>
    <w:p w14:paraId="778801E6">
      <w:pPr>
        <w:pStyle w:val="10"/>
        <w:keepNext w:val="0"/>
        <w:keepLines w:val="0"/>
        <w:pageBreakBefore w:val="0"/>
        <w:numPr>
          <w:ilvl w:val="0"/>
          <w:numId w:val="5"/>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项目过程情况</w:t>
      </w:r>
    </w:p>
    <w:p w14:paraId="3BB12651">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w:t>
      </w:r>
      <w:r>
        <w:rPr>
          <w:rFonts w:hint="default" w:ascii="Times New Roman" w:hAnsi="Times New Roman" w:eastAsia="仿宋_GB2312" w:cs="Times New Roman"/>
          <w:sz w:val="32"/>
          <w:szCs w:val="32"/>
          <w:highlight w:val="none"/>
          <w:lang w:val="en-US" w:eastAsia="zh-CN"/>
        </w:rPr>
        <w:t>和组织实施两方面的内容，有</w:t>
      </w: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个三级指标构成，权重分值为20分，实际得分</w:t>
      </w:r>
      <w:r>
        <w:rPr>
          <w:rFonts w:hint="eastAsia" w:eastAsia="仿宋_GB2312" w:cs="Times New Roman"/>
          <w:sz w:val="32"/>
          <w:szCs w:val="32"/>
          <w:highlight w:val="none"/>
          <w:lang w:val="en-US" w:eastAsia="zh-CN"/>
        </w:rPr>
        <w:t>19.62</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98.1</w:t>
      </w:r>
      <w:r>
        <w:rPr>
          <w:rFonts w:hint="default" w:ascii="Times New Roman" w:hAnsi="Times New Roman" w:eastAsia="仿宋_GB2312" w:cs="Times New Roman"/>
          <w:sz w:val="32"/>
          <w:szCs w:val="32"/>
          <w:highlight w:val="none"/>
          <w:lang w:val="en-US" w:eastAsia="zh-CN"/>
        </w:rPr>
        <w:t>%。</w:t>
      </w:r>
    </w:p>
    <w:p w14:paraId="5B6CFEA7">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0F568D51">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4D777597">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16231C23">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目总投资</w:t>
      </w:r>
      <w:r>
        <w:rPr>
          <w:rFonts w:hint="eastAsia" w:eastAsia="仿宋_GB2312" w:cs="Times New Roman"/>
          <w:b w:val="0"/>
          <w:bCs w:val="0"/>
          <w:kern w:val="2"/>
          <w:sz w:val="32"/>
          <w:szCs w:val="32"/>
          <w:lang w:val="en-US" w:eastAsia="zh-CN" w:bidi="ar-SA"/>
        </w:rPr>
        <w:t>387</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w:t>
      </w:r>
      <w:r>
        <w:rPr>
          <w:rFonts w:hint="default" w:ascii="Times New Roman" w:hAnsi="Times New Roman" w:eastAsia="仿宋_GB2312" w:cs="Times New Roman"/>
          <w:sz w:val="32"/>
          <w:szCs w:val="32"/>
          <w:lang w:val="en-US" w:eastAsia="zh-CN"/>
        </w:rPr>
        <w:t>计划进度执行。</w:t>
      </w:r>
    </w:p>
    <w:p w14:paraId="5928AC0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3CBADAA7">
      <w:pPr>
        <w:numPr>
          <w:ilvl w:val="0"/>
          <w:numId w:val="0"/>
        </w:numPr>
        <w:rPr>
          <w:rStyle w:val="16"/>
          <w:rFonts w:hint="default" w:ascii="仿宋_GB2312" w:hAnsi="仿宋_GB2312" w:eastAsia="仿宋_GB2312" w:cs="仿宋_GB2312"/>
          <w:b w:val="0"/>
          <w:bCs w:val="0"/>
          <w:spacing w:val="-4"/>
          <w:kern w:val="2"/>
          <w:sz w:val="32"/>
          <w:szCs w:val="32"/>
          <w:lang w:val="en-US" w:eastAsia="zh-CN" w:bidi="ar-SA"/>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b w:val="0"/>
          <w:bCs w:val="0"/>
          <w:kern w:val="2"/>
          <w:sz w:val="32"/>
          <w:szCs w:val="32"/>
          <w:highlight w:val="none"/>
          <w:lang w:val="en-US" w:eastAsia="zh-CN" w:bidi="ar-SA"/>
        </w:rPr>
        <w:t>350.24</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90.5</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 xml:space="preserve">偏差原因： </w:t>
      </w:r>
      <w:r>
        <w:rPr>
          <w:rStyle w:val="16"/>
          <w:rFonts w:hint="eastAsia" w:ascii="仿宋_GB2312" w:hAnsi="仿宋_GB2312" w:eastAsia="仿宋_GB2312" w:cs="仿宋_GB2312"/>
          <w:b w:val="0"/>
          <w:bCs w:val="0"/>
          <w:spacing w:val="-4"/>
          <w:kern w:val="2"/>
          <w:sz w:val="32"/>
          <w:szCs w:val="32"/>
          <w:lang w:val="en-US" w:eastAsia="zh-CN" w:bidi="ar-SA"/>
        </w:rPr>
        <w:t>因2023年在征订报刊期间960余名老干部自愿放弃征订报刊款，导致报刊征订费用结余36.76万元，未达到预期目标值。改进措施：在今后工作中提高预算编制水平，确保预算的合理、精准和科学编制。加强预算管理，建立有效预算控制机制，把预算编制、审批、执行和评价统一起来，按照规定的时间完成，并且加强对预算执行情况的实时监控。强化对绩效的跟踪，及时发现问题，及时采取补救措施，确保预算执行正确有效。</w:t>
      </w:r>
    </w:p>
    <w:p w14:paraId="2F715AA8">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5A7383D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严格按照</w:t>
      </w:r>
      <w:r>
        <w:rPr>
          <w:rFonts w:hint="default" w:ascii="Times New Roman" w:hAnsi="Times New Roman" w:eastAsia="仿宋_GB2312" w:cs="Times New Roman"/>
          <w:b w:val="0"/>
          <w:bCs w:val="0"/>
          <w:kern w:val="2"/>
          <w:sz w:val="32"/>
          <w:szCs w:val="32"/>
          <w:lang w:val="en-US" w:eastAsia="zh-CN" w:bidi="ar-SA"/>
        </w:rPr>
        <w:t>《</w:t>
      </w:r>
      <w:r>
        <w:rPr>
          <w:rFonts w:hint="eastAsia" w:eastAsia="仿宋_GB2312" w:cs="Times New Roman"/>
          <w:b w:val="0"/>
          <w:bCs w:val="0"/>
          <w:kern w:val="2"/>
          <w:sz w:val="32"/>
          <w:szCs w:val="32"/>
          <w:lang w:val="en-US" w:eastAsia="zh-CN" w:bidi="ar-SA"/>
        </w:rPr>
        <w:t>项目资金</w:t>
      </w:r>
      <w:r>
        <w:rPr>
          <w:rFonts w:hint="default" w:ascii="Times New Roman" w:hAnsi="Times New Roman" w:eastAsia="仿宋_GB2312" w:cs="Times New Roman"/>
          <w:b w:val="0"/>
          <w:bCs w:val="0"/>
          <w:kern w:val="2"/>
          <w:sz w:val="32"/>
          <w:szCs w:val="32"/>
          <w:lang w:val="en-US" w:eastAsia="zh-CN" w:bidi="ar-SA"/>
        </w:rPr>
        <w:t>管理制度》支出项目资金</w:t>
      </w:r>
      <w:r>
        <w:rPr>
          <w:rFonts w:hint="default" w:ascii="Times New Roman" w:hAnsi="Times New Roman" w:eastAsia="仿宋_GB2312" w:cs="Times New Roman"/>
          <w:sz w:val="32"/>
          <w:szCs w:val="32"/>
          <w:lang w:val="en-US" w:eastAsia="zh-CN"/>
        </w:rPr>
        <w:t>，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22651C61">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2406881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0184273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565CFD5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4FED2CEE">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14:paraId="05154458">
      <w:pPr>
        <w:pStyle w:val="12"/>
        <w:keepNext w:val="0"/>
        <w:keepLines w:val="0"/>
        <w:pageBreakBefore w:val="0"/>
        <w:numPr>
          <w:ilvl w:val="0"/>
          <w:numId w:val="5"/>
        </w:numPr>
        <w:kinsoku/>
        <w:wordWrap/>
        <w:overflowPunct/>
        <w:topLinePunct w:val="0"/>
        <w:autoSpaceDE/>
        <w:autoSpaceDN/>
        <w:bidi w:val="0"/>
        <w:adjustRightInd/>
        <w:snapToGrid/>
        <w:spacing w:line="560" w:lineRule="exact"/>
        <w:ind w:firstLine="643"/>
        <w:textAlignment w:val="auto"/>
        <w:rPr>
          <w:rFonts w:hint="eastAsia"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项目产出</w:t>
      </w:r>
      <w:r>
        <w:rPr>
          <w:rFonts w:hint="eastAsia" w:ascii="方正楷体_GB2312" w:hAnsi="方正楷体_GB2312" w:eastAsia="方正楷体_GB2312" w:cs="方正楷体_GB2312"/>
          <w:b/>
          <w:bCs/>
          <w:sz w:val="32"/>
          <w:szCs w:val="32"/>
          <w:lang w:val="en-US" w:eastAsia="zh-CN"/>
        </w:rPr>
        <w:t>情况</w:t>
      </w:r>
    </w:p>
    <w:p w14:paraId="49100814">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w:t>
      </w:r>
      <w:r>
        <w:rPr>
          <w:rFonts w:hint="eastAsia" w:eastAsia="仿宋_GB2312" w:cs="Times New Roman"/>
          <w:sz w:val="32"/>
          <w:szCs w:val="32"/>
          <w:lang w:val="en-US" w:eastAsia="zh-CN"/>
        </w:rPr>
        <w:t>三</w:t>
      </w:r>
      <w:r>
        <w:rPr>
          <w:rFonts w:hint="default" w:ascii="Times New Roman" w:hAnsi="Times New Roman" w:eastAsia="仿宋_GB2312" w:cs="Times New Roman"/>
          <w:sz w:val="32"/>
          <w:szCs w:val="32"/>
          <w:lang w:val="en-US" w:eastAsia="zh-CN"/>
        </w:rPr>
        <w:t>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29.37</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97.9</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1139D85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7AAF6CA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走访慰问送温暖活动目标值&gt;=3次，实际完成值3次，完成率100%</w:t>
      </w:r>
    </w:p>
    <w:p w14:paraId="4ADD89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慰问离休老干部人数目标值=106人，实际完成值106人，完成率100%</w:t>
      </w:r>
    </w:p>
    <w:p w14:paraId="65B6AC5B">
      <w:pPr>
        <w:numPr>
          <w:ilvl w:val="0"/>
          <w:numId w:val="0"/>
        </w:numPr>
        <w:rPr>
          <w:rStyle w:val="16"/>
          <w:rFonts w:hint="default" w:ascii="仿宋_GB2312" w:hAnsi="仿宋_GB2312" w:eastAsia="仿宋_GB2312" w:cs="仿宋_GB2312"/>
          <w:b w:val="0"/>
          <w:bCs w:val="0"/>
          <w:spacing w:val="-4"/>
          <w:kern w:val="2"/>
          <w:sz w:val="32"/>
          <w:szCs w:val="32"/>
          <w:lang w:val="en-US" w:eastAsia="zh-CN" w:bidi="ar-SA"/>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征订党报党刊数量目标值&gt;=3787人份，实际完成值2827人份，完成率74.65%；偏差原因：</w:t>
      </w:r>
      <w:r>
        <w:rPr>
          <w:rStyle w:val="16"/>
          <w:rFonts w:hint="eastAsia" w:ascii="仿宋_GB2312" w:hAnsi="仿宋_GB2312" w:eastAsia="仿宋_GB2312" w:cs="仿宋_GB2312"/>
          <w:b w:val="0"/>
          <w:bCs w:val="0"/>
          <w:spacing w:val="-4"/>
          <w:kern w:val="2"/>
          <w:sz w:val="32"/>
          <w:szCs w:val="32"/>
          <w:lang w:val="en-US" w:eastAsia="zh-CN" w:bidi="ar-SA"/>
        </w:rPr>
        <w:t>因2023年在征订报刊期间960余名老干部自愿放弃征订报刊款，导致报刊征订数量低于年初目标值，未达到预期目标。改进措施：在今后工作中强化对绩效的跟踪，及时发现问题，及时采取补救措施，确保项目按计划完成，达到项目预算资金最大效益。</w:t>
      </w:r>
    </w:p>
    <w:p w14:paraId="42D8B57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离休干部遗孀取暖费医保费发放人数目标值&gt;=63人，实际完成值63人，完成率100%</w:t>
      </w:r>
    </w:p>
    <w:p w14:paraId="22C9DD93">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631145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老干部走访慰问覆盖率目标值&gt;=80%，实际完成值80%，完成率100%</w:t>
      </w:r>
    </w:p>
    <w:p w14:paraId="5A08672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资金使用合规率目标值=100%，实际完成值100%，完成率100%</w:t>
      </w:r>
    </w:p>
    <w:p w14:paraId="6DABAC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征订党报党刊合格率目标值&gt;=98%，实际完成值98%，完成率100%</w:t>
      </w:r>
    </w:p>
    <w:p w14:paraId="150293C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离休干部遗孀取暖费医保费发放准确率目标值=100%，实际完成值100%，完成率100%</w:t>
      </w:r>
    </w:p>
    <w:p w14:paraId="6EC00A4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33A0457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走访慰问送温暖活动开展及时率目标值&gt;=90%，实际完成值90%，完成率100%</w:t>
      </w:r>
    </w:p>
    <w:p w14:paraId="5CD0AA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征订党报党刊及时率目标值&gt;=95%，实际完成值95%，完成率100%</w:t>
      </w:r>
    </w:p>
    <w:p w14:paraId="61940F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离休干部遗孀取暖费医保费发放及时率目标值&gt;=95%，实际完成值95%，完成率100%</w:t>
      </w:r>
    </w:p>
    <w:p w14:paraId="0708E055">
      <w:pPr>
        <w:pStyle w:val="12"/>
        <w:keepNext w:val="0"/>
        <w:keepLines w:val="0"/>
        <w:pageBreakBefore w:val="0"/>
        <w:numPr>
          <w:ilvl w:val="0"/>
          <w:numId w:val="5"/>
        </w:numPr>
        <w:kinsoku/>
        <w:wordWrap/>
        <w:overflowPunct/>
        <w:topLinePunct w:val="0"/>
        <w:autoSpaceDE/>
        <w:autoSpaceDN/>
        <w:bidi w:val="0"/>
        <w:adjustRightInd/>
        <w:snapToGrid/>
        <w:spacing w:line="560" w:lineRule="exact"/>
        <w:ind w:firstLine="643"/>
        <w:textAlignment w:val="auto"/>
        <w:rPr>
          <w:rFonts w:hint="eastAsia"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项目</w:t>
      </w:r>
      <w:r>
        <w:rPr>
          <w:rFonts w:hint="eastAsia" w:ascii="方正楷体_GB2312" w:hAnsi="方正楷体_GB2312" w:eastAsia="方正楷体_GB2312" w:cs="方正楷体_GB2312"/>
          <w:b/>
          <w:bCs/>
          <w:sz w:val="32"/>
          <w:szCs w:val="32"/>
          <w:lang w:val="en-US" w:eastAsia="zh-CN"/>
        </w:rPr>
        <w:t>成本情况</w:t>
      </w:r>
    </w:p>
    <w:p w14:paraId="3FF79B1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w:t>
      </w:r>
      <w:r>
        <w:rPr>
          <w:rFonts w:hint="eastAsia" w:eastAsia="仿宋_GB2312" w:cs="Times New Roman"/>
          <w:sz w:val="32"/>
          <w:szCs w:val="32"/>
          <w:lang w:val="en-US" w:eastAsia="zh-CN"/>
        </w:rPr>
        <w:t>成本</w:t>
      </w:r>
      <w:r>
        <w:rPr>
          <w:rFonts w:hint="default" w:ascii="Times New Roman" w:hAnsi="Times New Roman" w:eastAsia="仿宋_GB2312" w:cs="Times New Roman"/>
          <w:sz w:val="32"/>
          <w:szCs w:val="32"/>
          <w:lang w:val="en-US" w:eastAsia="zh-CN"/>
        </w:rPr>
        <w:t>类指标包括产出数量、产出质量、产出时效</w:t>
      </w:r>
      <w:r>
        <w:rPr>
          <w:rFonts w:hint="eastAsia" w:eastAsia="仿宋_GB2312" w:cs="Times New Roman"/>
          <w:sz w:val="32"/>
          <w:szCs w:val="32"/>
          <w:lang w:val="en-US" w:eastAsia="zh-CN"/>
        </w:rPr>
        <w:t>三</w:t>
      </w:r>
      <w:r>
        <w:rPr>
          <w:rFonts w:hint="default" w:ascii="Times New Roman" w:hAnsi="Times New Roman" w:eastAsia="仿宋_GB2312" w:cs="Times New Roman"/>
          <w:sz w:val="32"/>
          <w:szCs w:val="32"/>
          <w:lang w:val="en-US" w:eastAsia="zh-CN"/>
        </w:rPr>
        <w:t>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9.37</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93.7</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6509333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经济</w:t>
      </w:r>
      <w:r>
        <w:rPr>
          <w:rFonts w:hint="default" w:ascii="Times New Roman" w:hAnsi="Times New Roman" w:eastAsia="仿宋_GB2312" w:cs="Times New Roman"/>
          <w:sz w:val="32"/>
          <w:szCs w:val="32"/>
          <w:highlight w:val="none"/>
        </w:rPr>
        <w:t>成本指标：</w:t>
      </w:r>
    </w:p>
    <w:p w14:paraId="3BAD91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重大节日慰问费用目标值〈=230.54万元，实际完成值230.54万元，完成率100%</w:t>
      </w:r>
    </w:p>
    <w:p w14:paraId="0A7E49A4">
      <w:pPr>
        <w:numPr>
          <w:ilvl w:val="0"/>
          <w:numId w:val="0"/>
        </w:numPr>
        <w:rPr>
          <w:rStyle w:val="16"/>
          <w:rFonts w:hint="default" w:ascii="仿宋_GB2312" w:hAnsi="仿宋_GB2312" w:eastAsia="仿宋_GB2312" w:cs="仿宋_GB2312"/>
          <w:b w:val="0"/>
          <w:bCs w:val="0"/>
          <w:spacing w:val="-4"/>
          <w:kern w:val="2"/>
          <w:sz w:val="32"/>
          <w:szCs w:val="32"/>
          <w:lang w:val="en-US" w:eastAsia="zh-CN" w:bidi="ar-SA"/>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党报党刊征订费用目标值〈=145万元，实际完成值108.24万元，完成率74.65%。偏差原因：</w:t>
      </w:r>
      <w:r>
        <w:rPr>
          <w:rStyle w:val="16"/>
          <w:rFonts w:hint="eastAsia" w:ascii="仿宋_GB2312" w:hAnsi="仿宋_GB2312" w:eastAsia="仿宋_GB2312" w:cs="仿宋_GB2312"/>
          <w:b w:val="0"/>
          <w:bCs w:val="0"/>
          <w:spacing w:val="-4"/>
          <w:kern w:val="2"/>
          <w:sz w:val="32"/>
          <w:szCs w:val="32"/>
          <w:lang w:val="en-US" w:eastAsia="zh-CN" w:bidi="ar-SA"/>
        </w:rPr>
        <w:t>因2023年在征订报刊期间960余名老干部自愿放弃征订报刊款，导致报刊征订费用结余36.76万元，未达到预期目标值。改进措施：在今后工作中提高预算编制水平，确保预算的合理、精准和科学编制。加强预算管理，建立有效预算控制机制，把预算编制、审批、执行和评价统一起来，按照规定的时间完成，并且加强对预算执行情况的实时监控。强化对绩效的跟踪，及时发现问题，及时采取补救措施，确保预算执行正确有效。</w:t>
      </w:r>
    </w:p>
    <w:p w14:paraId="0CC5D46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离休干部遗孀取暖费医保费目标值〈=5.22万元，实际完成值5.22万元，完成率100%</w:t>
      </w:r>
    </w:p>
    <w:p w14:paraId="22B45BC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干休所离休干部入住福利院目标值〈=5.58万元，实际完成值5.58万元，完成率100%</w:t>
      </w:r>
    </w:p>
    <w:p w14:paraId="01485E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社会成本</w:t>
      </w:r>
      <w:r>
        <w:rPr>
          <w:rFonts w:hint="default" w:ascii="Times New Roman" w:hAnsi="Times New Roman" w:eastAsia="仿宋_GB2312" w:cs="Times New Roman"/>
          <w:sz w:val="32"/>
          <w:szCs w:val="32"/>
          <w:highlight w:val="none"/>
        </w:rPr>
        <w:t>指标：</w:t>
      </w:r>
    </w:p>
    <w:p w14:paraId="789BD09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生态环境成本</w:t>
      </w:r>
      <w:r>
        <w:rPr>
          <w:rFonts w:hint="default" w:ascii="Times New Roman" w:hAnsi="Times New Roman" w:eastAsia="仿宋_GB2312" w:cs="Times New Roman"/>
          <w:sz w:val="32"/>
          <w:szCs w:val="32"/>
          <w:highlight w:val="none"/>
        </w:rPr>
        <w:t>指标：</w:t>
      </w:r>
    </w:p>
    <w:p w14:paraId="7D2BA092">
      <w:pPr>
        <w:pStyle w:val="12"/>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方正楷体_GB2312" w:hAnsi="方正楷体_GB2312" w:eastAsia="方正楷体_GB2312" w:cs="方正楷体_GB2312"/>
          <w:b/>
          <w:bCs/>
          <w:sz w:val="32"/>
          <w:szCs w:val="32"/>
          <w:lang w:val="en-US" w:eastAsia="zh-CN"/>
        </w:rPr>
      </w:pPr>
      <w:r>
        <w:rPr>
          <w:rFonts w:hint="eastAsia" w:ascii="方正楷体_GB2312" w:hAnsi="方正楷体_GB2312" w:eastAsia="方正楷体_GB2312" w:cs="方正楷体_GB2312"/>
          <w:b/>
          <w:bCs/>
          <w:sz w:val="32"/>
          <w:szCs w:val="32"/>
          <w:lang w:val="en-US" w:eastAsia="zh-CN"/>
        </w:rPr>
        <w:t>（五）项目效益情况</w:t>
      </w:r>
    </w:p>
    <w:p w14:paraId="046C3688">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效益指标及满意度指标完成情况如下：</w:t>
      </w:r>
    </w:p>
    <w:p w14:paraId="5076C184">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6DC11D63">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经济效益指标：</w:t>
      </w:r>
    </w:p>
    <w:p w14:paraId="67F8ADA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p>
    <w:p w14:paraId="0DEB517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离休干部生活得到关怀目标值有效，实际完成值有效，完成率100%</w:t>
      </w:r>
    </w:p>
    <w:p w14:paraId="7393297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③生态效益指标：</w:t>
      </w:r>
    </w:p>
    <w:p w14:paraId="384F138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0B065DE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满意度指标：</w:t>
      </w:r>
    </w:p>
    <w:p w14:paraId="5580E4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yellow"/>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离休干部满意度目标值&gt;=95%，实际完成值92.4%，完成率97.26%；偏差原因：满意度指标值在设置指标值时沿用历年历史数据进行设置，因该指标不确定因素太多无法准确估算，故该指标存在差异率。改进措施：后期在绩效目标编制过程中加强目标编制水平，强化对绩效的跟踪，及时发现问题，及时采取补救措施，确保项目资金发挥最大效益。</w:t>
      </w:r>
    </w:p>
    <w:p w14:paraId="797C190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18"/>
          <w:rFonts w:hint="default" w:ascii="Times New Roman" w:hAnsi="Times New Roman"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14:paraId="6D8F2CAD">
      <w:pPr>
        <w:keepNext w:val="0"/>
        <w:keepLines w:val="0"/>
        <w:pageBreakBefore w:val="0"/>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09705B2A">
      <w:pPr>
        <w:keepNext w:val="0"/>
        <w:keepLines w:val="0"/>
        <w:pageBreakBefore w:val="0"/>
        <w:kinsoku/>
        <w:wordWrap/>
        <w:overflowPunct/>
        <w:topLinePunct w:val="0"/>
        <w:autoSpaceDE/>
        <w:autoSpaceDN/>
        <w:bidi w:val="0"/>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27D2CC7B">
      <w:pPr>
        <w:pStyle w:val="10"/>
        <w:keepNext w:val="0"/>
        <w:keepLines w:val="0"/>
        <w:pageBreakBefore w:val="0"/>
        <w:kinsoku/>
        <w:wordWrap/>
        <w:overflowPunct/>
        <w:topLinePunct w:val="0"/>
        <w:autoSpaceDE/>
        <w:autoSpaceDN/>
        <w:bidi w:val="0"/>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w:t>
      </w:r>
      <w:r>
        <w:rPr>
          <w:rFonts w:hint="eastAsia" w:ascii="Times New Roman" w:hAnsi="Times New Roman" w:eastAsia="仿宋_GB2312"/>
          <w:b w:val="0"/>
          <w:bCs w:val="0"/>
          <w:kern w:val="2"/>
          <w:lang w:eastAsia="zh-CN"/>
        </w:rPr>
        <w:t>杜绝</w:t>
      </w:r>
      <w:r>
        <w:rPr>
          <w:rFonts w:ascii="Times New Roman" w:hAnsi="Times New Roman" w:eastAsia="仿宋_GB2312"/>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63A5892C">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0" w:firstLineChars="0"/>
        <w:jc w:val="both"/>
        <w:textAlignment w:val="baseline"/>
        <w:outlineLvl w:val="9"/>
        <w:rPr>
          <w:rFonts w:hint="eastAsia"/>
          <w:lang w:eastAsia="zh-CN"/>
        </w:rPr>
      </w:pPr>
      <w:r>
        <w:rPr>
          <w:rFonts w:hint="eastAsia" w:ascii="仿宋_GB2312" w:hAnsi="仿宋_GB2312" w:eastAsia="仿宋_GB2312" w:cs="仿宋_GB2312"/>
          <w:b w:val="0"/>
          <w:bCs w:val="0"/>
          <w:color w:val="auto"/>
          <w:sz w:val="32"/>
          <w:szCs w:val="32"/>
          <w:u w:val="none" w:color="auto"/>
          <w:lang w:val="en-US" w:eastAsia="zh-CN"/>
        </w:rPr>
        <w:t>项目资金管理：制定项目资金使用制度；财政安排项目资金到位后，须制定资金使用计划，报学校会议研究，作为今后使用资金的依据；项目资金做到专款专用、专人负责，不占</w:t>
      </w:r>
      <w:r>
        <w:rPr>
          <w:rFonts w:hint="eastAsia" w:ascii="仿宋_GB2312" w:hAnsi="仿宋_GB2312" w:eastAsia="仿宋_GB2312" w:cs="仿宋_GB2312"/>
          <w:sz w:val="32"/>
          <w:szCs w:val="32"/>
          <w:highlight w:val="none"/>
          <w:lang w:val="en-US" w:eastAsia="zh-CN"/>
        </w:rPr>
        <w:t>用、挪用项目资金；项目资金使用落实责任人，压实工作，使用必须按要求和规范进行。</w:t>
      </w:r>
    </w:p>
    <w:p w14:paraId="72D037E7">
      <w:pPr>
        <w:keepNext w:val="0"/>
        <w:keepLines w:val="0"/>
        <w:pageBreakBefore w:val="0"/>
        <w:numPr>
          <w:ilvl w:val="0"/>
          <w:numId w:val="6"/>
        </w:numPr>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存在的问题及原因分析</w:t>
      </w:r>
    </w:p>
    <w:p w14:paraId="7BFEC987">
      <w:pPr>
        <w:numPr>
          <w:ilvl w:val="0"/>
          <w:numId w:val="0"/>
        </w:numPr>
        <w:ind w:firstLine="624" w:firstLineChars="200"/>
        <w:rPr>
          <w:rStyle w:val="16"/>
          <w:rFonts w:hint="eastAsia" w:ascii="仿宋_GB2312" w:hAnsi="仿宋_GB2312" w:eastAsia="仿宋_GB2312" w:cs="仿宋_GB2312"/>
          <w:b w:val="0"/>
          <w:bCs w:val="0"/>
          <w:spacing w:val="-4"/>
          <w:kern w:val="2"/>
          <w:sz w:val="32"/>
          <w:szCs w:val="32"/>
          <w:lang w:val="en-US" w:eastAsia="zh-CN" w:bidi="ar-SA"/>
        </w:rPr>
      </w:pPr>
      <w:r>
        <w:rPr>
          <w:rStyle w:val="16"/>
          <w:rFonts w:hint="eastAsia" w:ascii="仿宋_GB2312" w:hAnsi="仿宋_GB2312" w:eastAsia="仿宋_GB2312" w:cs="仿宋_GB2312"/>
          <w:b w:val="0"/>
          <w:bCs w:val="0"/>
          <w:spacing w:val="-4"/>
          <w:kern w:val="2"/>
          <w:sz w:val="32"/>
          <w:szCs w:val="32"/>
          <w:lang w:val="en-US" w:eastAsia="zh-CN" w:bidi="ar-SA"/>
        </w:rPr>
        <w:t>因征订报刊采取老干部自愿，设置目标时无法预算准确数据，采用数据为离休干部人数统计数据，故在项目实施过程中无法避免有放弃征订情况，导致项目无法按计划完成。</w:t>
      </w:r>
    </w:p>
    <w:p w14:paraId="6F062751">
      <w:pPr>
        <w:numPr>
          <w:ilvl w:val="0"/>
          <w:numId w:val="0"/>
        </w:numPr>
        <w:ind w:firstLine="624" w:firstLineChars="200"/>
        <w:rPr>
          <w:rFonts w:hint="default" w:ascii="Times New Roman" w:hAnsi="Times New Roman" w:eastAsia="仿宋_GB2312"/>
          <w:b w:val="0"/>
          <w:bCs/>
          <w:color w:val="auto"/>
          <w:sz w:val="28"/>
          <w:szCs w:val="28"/>
          <w:lang w:val="en-US" w:eastAsia="zh-CN"/>
        </w:rPr>
      </w:pPr>
      <w:r>
        <w:rPr>
          <w:rStyle w:val="16"/>
          <w:rFonts w:hint="eastAsia" w:ascii="仿宋_GB2312" w:hAnsi="仿宋_GB2312" w:eastAsia="仿宋_GB2312" w:cs="仿宋_GB2312"/>
          <w:b w:val="0"/>
          <w:bCs w:val="0"/>
          <w:spacing w:val="-4"/>
          <w:kern w:val="2"/>
          <w:sz w:val="32"/>
          <w:szCs w:val="32"/>
          <w:lang w:val="en-US" w:eastAsia="zh-CN" w:bidi="ar-SA"/>
        </w:rPr>
        <w:t>在今后工作中提高预算编制水平，确保预算的合理、精准和科学编制。加强预算管理，建立有效预算控制机制，把预算编制、审批、执行和评价统一起来，按照规定的时间完成，并且加强对预算执行情况的实时监控。强化对绩效的跟踪，及时发现问题，及时采取补救措施，确保预算执行正确有效。</w:t>
      </w:r>
    </w:p>
    <w:p w14:paraId="419633A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Times New Roman" w:hAnsi="Times New Roman" w:eastAsia="仿宋_GB2312"/>
          <w:bCs/>
          <w:color w:val="auto"/>
          <w:sz w:val="32"/>
          <w:szCs w:val="32"/>
          <w:lang w:val="en-US" w:eastAsia="zh-CN"/>
        </w:rPr>
      </w:pPr>
      <w:r>
        <w:rPr>
          <w:rFonts w:hint="eastAsia" w:ascii="Times New Roman" w:hAnsi="Times New Roman" w:eastAsia="仿宋_GB2312"/>
          <w:b w:val="0"/>
          <w:bCs/>
          <w:color w:val="auto"/>
          <w:sz w:val="32"/>
          <w:szCs w:val="32"/>
          <w:lang w:val="en-US" w:eastAsia="zh-CN"/>
        </w:rPr>
        <w:t>进一步加强对绩效管理工作的组织领导，提高对预算绩效管理工作重要性的认识，总结经验查找问题，完善的</w:t>
      </w:r>
      <w:r>
        <w:rPr>
          <w:rFonts w:hint="eastAsia" w:ascii="Times New Roman" w:hAnsi="Times New Roman" w:eastAsia="仿宋_GB2312"/>
          <w:bCs/>
          <w:color w:val="auto"/>
          <w:sz w:val="32"/>
          <w:szCs w:val="32"/>
          <w:lang w:val="en-US" w:eastAsia="zh-CN"/>
        </w:rPr>
        <w:t>绩效评价管理办法。对绩效管理工作认识不到位，认为只要资金使用合规合法就可以，对绩效工作认识不够，工作缺乏主动性。</w:t>
      </w:r>
    </w:p>
    <w:p w14:paraId="23D6EFC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Times New Roman" w:hAnsi="Times New Roman" w:eastAsia="楷体" w:cs="Times New Roman"/>
          <w:b/>
          <w:spacing w:val="-4"/>
          <w:sz w:val="32"/>
          <w:szCs w:val="32"/>
          <w:lang w:val="en-US" w:eastAsia="zh-CN"/>
        </w:rPr>
      </w:pPr>
      <w:r>
        <w:rPr>
          <w:rFonts w:hint="eastAsia" w:ascii="Times New Roman" w:hAnsi="Times New Roman" w:eastAsia="仿宋_GB2312"/>
          <w:bCs/>
          <w:color w:val="auto"/>
          <w:sz w:val="32"/>
          <w:szCs w:val="32"/>
          <w:lang w:val="en-US" w:eastAsia="zh-CN"/>
        </w:rPr>
        <w:t>结合实际建立绩效工作考核制度，加大全局对全面实施预算绩效管理</w:t>
      </w:r>
      <w:r>
        <w:rPr>
          <w:rFonts w:hint="eastAsia" w:eastAsia="仿宋_GB2312"/>
          <w:bCs/>
          <w:color w:val="auto"/>
          <w:sz w:val="32"/>
          <w:szCs w:val="32"/>
          <w:lang w:val="en-US" w:eastAsia="zh-CN"/>
        </w:rPr>
        <w:t>和更进一步</w:t>
      </w:r>
      <w:r>
        <w:rPr>
          <w:rFonts w:hint="eastAsia" w:ascii="Times New Roman" w:hAnsi="Times New Roman" w:eastAsia="仿宋_GB2312"/>
          <w:bCs/>
          <w:color w:val="auto"/>
          <w:sz w:val="32"/>
          <w:szCs w:val="32"/>
          <w:lang w:val="en-US" w:eastAsia="zh-CN"/>
        </w:rPr>
        <w:t>加强对绩效管理工作的组织领导，提高对预算绩效管理工作重要性的认识，总结经验查找问题，完善的绩效评价管理办法。对绩效管理工作认识不到位，认为只要资金使用合规合法就可以，对绩效工作认识不够，工作缺乏主动性。</w:t>
      </w:r>
    </w:p>
    <w:p w14:paraId="325470FD">
      <w:pPr>
        <w:keepNext w:val="0"/>
        <w:keepLines w:val="0"/>
        <w:pageBreakBefore w:val="0"/>
        <w:numPr>
          <w:ilvl w:val="0"/>
          <w:numId w:val="7"/>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有关建议</w:t>
      </w:r>
    </w:p>
    <w:p w14:paraId="22713B8E">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eastAsia="黑体" w:cs="Times New Roman"/>
          <w:sz w:val="32"/>
          <w:szCs w:val="32"/>
          <w:highlight w:val="none"/>
          <w:lang w:eastAsia="zh-CN"/>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1.绩效管理工作培训，进一步夯实业务基础，提高我单位绩效人员水多进行有关绩效管理工作方面的培训，积极组织第三方开展</w:t>
      </w:r>
      <w:r>
        <w:rPr>
          <w:rFonts w:hint="eastAsia" w:eastAsia="黑体" w:cs="Times New Roman"/>
          <w:sz w:val="32"/>
          <w:szCs w:val="32"/>
          <w:highlight w:val="none"/>
          <w:lang w:eastAsia="zh-CN"/>
        </w:rPr>
        <w:t>。</w:t>
      </w:r>
    </w:p>
    <w:p w14:paraId="07846332">
      <w:pPr>
        <w:shd w:val="clear"/>
        <w:spacing w:line="600" w:lineRule="exact"/>
        <w:ind w:firstLine="640" w:firstLineChars="200"/>
        <w:outlineLvl w:val="0"/>
        <w:rPr>
          <w:rFonts w:hint="default" w:ascii="Times New Roman" w:hAnsi="Times New Roman" w:eastAsia="黑体" w:cs="Times New Roman"/>
          <w:sz w:val="32"/>
          <w:szCs w:val="32"/>
        </w:rPr>
      </w:pPr>
      <w:r>
        <w:rPr>
          <w:rFonts w:hint="eastAsia" w:ascii="仿宋_GB2312" w:hAnsi="仿宋_GB2312" w:eastAsia="仿宋_GB2312" w:cs="仿宋_GB2312"/>
          <w:sz w:val="32"/>
          <w:szCs w:val="32"/>
          <w:highlight w:val="none"/>
          <w:lang w:val="en-US" w:eastAsia="zh-CN"/>
        </w:rPr>
        <w:t>2.进一步加强对绩效管理工作的组织领导，提高对预算绩效管理工作重要性的认识，总结经验查找问题，完善的绩效评价管理办法。加大全局对全面实施预算绩效管理和绩效管理工作的学习力度，让“花钱必问效，无效必问责”的理念深入工作每个环节。</w:t>
      </w:r>
    </w:p>
    <w:p w14:paraId="709DFFD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default" w:ascii="Times New Roman" w:hAnsi="Times New Roman" w:eastAsia="黑体" w:cs="Times New Roman"/>
          <w:sz w:val="32"/>
          <w:szCs w:val="32"/>
          <w:lang w:val="en-US" w:eastAsia="zh-CN"/>
        </w:rPr>
        <w:t>七</w:t>
      </w:r>
      <w:r>
        <w:rPr>
          <w:rFonts w:hint="default" w:ascii="Times New Roman" w:hAnsi="Times New Roman" w:eastAsia="黑体" w:cs="Times New Roman"/>
          <w:sz w:val="32"/>
          <w:szCs w:val="32"/>
          <w:lang w:eastAsia="zh-Hans"/>
        </w:rPr>
        <w:t>、</w:t>
      </w:r>
      <w:r>
        <w:rPr>
          <w:rFonts w:hint="default" w:ascii="Times New Roman" w:hAnsi="Times New Roman" w:eastAsia="黑体" w:cs="Times New Roman"/>
          <w:sz w:val="32"/>
          <w:szCs w:val="32"/>
        </w:rPr>
        <w:t>其他需</w:t>
      </w:r>
      <w:bookmarkStart w:id="2" w:name="page8"/>
      <w:bookmarkEnd w:id="2"/>
      <w:r>
        <w:rPr>
          <w:rFonts w:hint="default" w:ascii="Times New Roman" w:hAnsi="Times New Roman" w:eastAsia="黑体" w:cs="Times New Roman"/>
          <w:sz w:val="32"/>
          <w:szCs w:val="32"/>
          <w:lang w:val="en-US" w:eastAsia="zh-CN"/>
        </w:rPr>
        <w:t>要说明的问题</w:t>
      </w:r>
    </w:p>
    <w:p w14:paraId="3E962E1C">
      <w:pPr>
        <w:pStyle w:val="10"/>
        <w:keepNext w:val="0"/>
        <w:keepLines w:val="0"/>
        <w:pageBreakBefore w:val="0"/>
        <w:widowControl w:val="0"/>
        <w:kinsoku/>
        <w:wordWrap/>
        <w:overflowPunct/>
        <w:topLinePunct w:val="0"/>
        <w:autoSpaceDE/>
        <w:autoSpaceDN/>
        <w:bidi w:val="0"/>
        <w:adjustRightInd/>
        <w:snapToGrid/>
        <w:spacing w:before="0" w:after="0"/>
        <w:ind w:firstLine="640" w:firstLineChars="200"/>
        <w:jc w:val="left"/>
        <w:textAlignment w:val="auto"/>
        <w:rPr>
          <w:rFonts w:hint="eastAsia" w:ascii="仿宋_GB2312" w:hAnsi="Times New Roman" w:eastAsia="仿宋_GB2312" w:cs="Times New Roman"/>
          <w:b w:val="0"/>
          <w:bCs w:val="0"/>
          <w:kern w:val="2"/>
          <w:sz w:val="32"/>
          <w:szCs w:val="32"/>
          <w:lang w:val="en-US" w:eastAsia="zh-CN" w:bidi="ar-SA"/>
        </w:rPr>
      </w:pPr>
      <w:r>
        <w:rPr>
          <w:rFonts w:hint="eastAsia" w:ascii="仿宋_GB2312" w:hAnsi="Times New Roman" w:eastAsia="仿宋_GB2312" w:cs="Times New Roman"/>
          <w:b w:val="0"/>
          <w:bCs w:val="0"/>
          <w:kern w:val="2"/>
          <w:sz w:val="32"/>
          <w:szCs w:val="32"/>
          <w:lang w:val="en-US" w:eastAsia="zh-CN" w:bidi="ar-SA"/>
        </w:rPr>
        <w:t>1、该项目在财政的指导和帮助下，项目在资金申请前置条件的落实上，发挥了积极的“花钱必问效，无效必问责”的项目绩效管理和实施的理念引导；</w:t>
      </w:r>
    </w:p>
    <w:p w14:paraId="24A6E714">
      <w:pPr>
        <w:pStyle w:val="10"/>
        <w:keepNext w:val="0"/>
        <w:keepLines w:val="0"/>
        <w:pageBreakBefore w:val="0"/>
        <w:widowControl w:val="0"/>
        <w:kinsoku/>
        <w:wordWrap/>
        <w:overflowPunct/>
        <w:topLinePunct w:val="0"/>
        <w:autoSpaceDE/>
        <w:autoSpaceDN/>
        <w:bidi w:val="0"/>
        <w:adjustRightInd/>
        <w:snapToGrid/>
        <w:spacing w:before="0" w:after="0"/>
        <w:ind w:firstLine="640" w:firstLineChars="200"/>
        <w:jc w:val="left"/>
        <w:textAlignment w:val="auto"/>
        <w:rPr>
          <w:rFonts w:hint="eastAsia" w:ascii="仿宋_GB2312" w:hAnsi="Times New Roman" w:eastAsia="仿宋_GB2312" w:cs="Times New Roman"/>
          <w:b w:val="0"/>
          <w:bCs w:val="0"/>
          <w:kern w:val="2"/>
          <w:sz w:val="32"/>
          <w:szCs w:val="32"/>
          <w:lang w:val="en-US" w:eastAsia="zh-CN" w:bidi="ar-SA"/>
        </w:rPr>
      </w:pPr>
      <w:r>
        <w:rPr>
          <w:rFonts w:hint="eastAsia" w:ascii="仿宋_GB2312" w:hAnsi="Times New Roman" w:eastAsia="仿宋_GB2312" w:cs="Times New Roman"/>
          <w:b w:val="0"/>
          <w:bCs w:val="0"/>
          <w:kern w:val="2"/>
          <w:sz w:val="32"/>
          <w:szCs w:val="32"/>
          <w:lang w:val="en-US" w:eastAsia="zh-CN" w:bidi="ar-SA"/>
        </w:rPr>
        <w:t>2、项目在实施的过程中进行了绩效的全过程管理，资金使用流程严谨合规，确保资金用途显效、高效；</w:t>
      </w:r>
    </w:p>
    <w:p w14:paraId="0D3D1F64">
      <w:pPr>
        <w:pStyle w:val="4"/>
        <w:rPr>
          <w:rFonts w:hint="default"/>
          <w:sz w:val="32"/>
          <w:szCs w:val="32"/>
          <w:lang w:val="en-US" w:eastAsia="zh-CN"/>
        </w:rPr>
        <w:sectPr>
          <w:pgSz w:w="11906" w:h="16838"/>
          <w:pgMar w:top="1440" w:right="1558" w:bottom="1440" w:left="1800" w:header="851" w:footer="992" w:gutter="0"/>
          <w:cols w:space="425" w:num="1"/>
          <w:docGrid w:type="lines" w:linePitch="312" w:charSpace="0"/>
        </w:sectPr>
      </w:pPr>
    </w:p>
    <w:p w14:paraId="5E5B9EE8">
      <w:pPr>
        <w:spacing w:line="600" w:lineRule="exact"/>
        <w:rPr>
          <w:rFonts w:hint="default" w:ascii="Times New Roman" w:hAnsi="Times New Roman" w:eastAsia="黑体" w:cs="Times New Roman"/>
          <w:b/>
          <w:bCs w:val="0"/>
          <w:sz w:val="32"/>
          <w:szCs w:val="32"/>
        </w:rPr>
      </w:pPr>
      <w:r>
        <w:rPr>
          <w:rFonts w:hint="default" w:ascii="Times New Roman" w:hAnsi="Times New Roman" w:eastAsia="黑体" w:cs="Times New Roman"/>
          <w:b/>
          <w:bCs w:val="0"/>
          <w:sz w:val="32"/>
          <w:szCs w:val="32"/>
        </w:rPr>
        <w:t>附件1</w:t>
      </w:r>
    </w:p>
    <w:p w14:paraId="5535F51F">
      <w:pPr>
        <w:pStyle w:val="19"/>
        <w:ind w:firstLine="562"/>
        <w:jc w:val="center"/>
        <w:rPr>
          <w:rFonts w:hint="default" w:ascii="Times New Roman" w:hAnsi="Times New Roman" w:eastAsia="仿宋_GB2312" w:cs="Times New Roman"/>
          <w:b w:val="0"/>
          <w:bCs w:val="0"/>
          <w:sz w:val="32"/>
          <w:szCs w:val="32"/>
        </w:rPr>
      </w:pPr>
      <w:bookmarkStart w:id="3" w:name="_Toc30064_WPSOffice_Level1"/>
      <w:bookmarkStart w:id="4" w:name="_Toc26499_WPSOffice_Level2"/>
      <w:r>
        <w:rPr>
          <w:rFonts w:hint="eastAsia" w:ascii="Times New Roman" w:hAnsi="Times New Roman" w:eastAsia="仿宋_GB2312" w:cs="Times New Roman"/>
          <w:b/>
          <w:bCs/>
          <w:color w:val="auto"/>
          <w:sz w:val="32"/>
          <w:szCs w:val="32"/>
        </w:rPr>
        <w:t>离退休干部特需费、管理费、活动费</w:t>
      </w:r>
      <w:r>
        <w:rPr>
          <w:rFonts w:hint="default" w:ascii="Times New Roman" w:hAnsi="Times New Roman" w:eastAsia="仿宋_GB2312" w:cs="Times New Roman"/>
          <w:b/>
          <w:bCs/>
          <w:color w:val="auto"/>
          <w:sz w:val="32"/>
          <w:szCs w:val="32"/>
        </w:rPr>
        <w:t>项目绩效评价指标体系及综合评分表</w:t>
      </w:r>
      <w:bookmarkEnd w:id="3"/>
      <w:bookmarkEnd w:id="4"/>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autofit"/>
        <w:tblCellMar>
          <w:top w:w="0" w:type="dxa"/>
          <w:left w:w="108" w:type="dxa"/>
          <w:bottom w:w="0" w:type="dxa"/>
          <w:right w:w="108" w:type="dxa"/>
        </w:tblCellMar>
      </w:tblPr>
      <w:tblGrid>
        <w:gridCol w:w="832"/>
        <w:gridCol w:w="764"/>
        <w:gridCol w:w="873"/>
        <w:gridCol w:w="2353"/>
        <w:gridCol w:w="5198"/>
        <w:gridCol w:w="1300"/>
        <w:gridCol w:w="1363"/>
      </w:tblGrid>
      <w:tr w14:paraId="5D34EE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328" w:type="pct"/>
            <w:shd w:val="clear" w:color="auto" w:fill="auto"/>
            <w:vAlign w:val="center"/>
          </w:tcPr>
          <w:p w14:paraId="2082A67C">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一级指标</w:t>
            </w:r>
          </w:p>
        </w:tc>
        <w:tc>
          <w:tcPr>
            <w:tcW w:w="301" w:type="pct"/>
            <w:shd w:val="clear" w:color="auto" w:fill="auto"/>
            <w:vAlign w:val="center"/>
          </w:tcPr>
          <w:p w14:paraId="6E7801A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二级指标</w:t>
            </w:r>
          </w:p>
        </w:tc>
        <w:tc>
          <w:tcPr>
            <w:tcW w:w="344" w:type="pct"/>
            <w:shd w:val="clear" w:color="auto" w:fill="auto"/>
            <w:vAlign w:val="center"/>
          </w:tcPr>
          <w:p w14:paraId="1954EB7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三级指标</w:t>
            </w:r>
          </w:p>
        </w:tc>
        <w:tc>
          <w:tcPr>
            <w:tcW w:w="927" w:type="pct"/>
            <w:shd w:val="clear" w:color="auto" w:fill="auto"/>
            <w:vAlign w:val="center"/>
          </w:tcPr>
          <w:p w14:paraId="7FC74B28">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指标解释</w:t>
            </w:r>
          </w:p>
        </w:tc>
        <w:tc>
          <w:tcPr>
            <w:tcW w:w="2048" w:type="pct"/>
            <w:shd w:val="clear" w:color="auto" w:fill="auto"/>
            <w:vAlign w:val="center"/>
          </w:tcPr>
          <w:p w14:paraId="2CC9074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指标说明</w:t>
            </w:r>
          </w:p>
        </w:tc>
        <w:tc>
          <w:tcPr>
            <w:tcW w:w="512" w:type="pct"/>
            <w:shd w:val="clear" w:color="auto" w:fill="auto"/>
            <w:vAlign w:val="center"/>
          </w:tcPr>
          <w:p w14:paraId="7DA335D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权重</w:t>
            </w:r>
          </w:p>
        </w:tc>
        <w:tc>
          <w:tcPr>
            <w:tcW w:w="537" w:type="pct"/>
            <w:shd w:val="clear" w:color="auto" w:fill="auto"/>
            <w:vAlign w:val="center"/>
          </w:tcPr>
          <w:p w14:paraId="797084D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得分</w:t>
            </w:r>
          </w:p>
        </w:tc>
      </w:tr>
      <w:tr w14:paraId="5D6EC1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919" w:hRule="atLeast"/>
          <w:jc w:val="center"/>
        </w:trPr>
        <w:tc>
          <w:tcPr>
            <w:tcW w:w="328" w:type="pct"/>
            <w:vMerge w:val="restart"/>
            <w:shd w:val="clear" w:color="auto" w:fill="auto"/>
            <w:vAlign w:val="center"/>
          </w:tcPr>
          <w:p w14:paraId="01282C93">
            <w:pPr>
              <w:widowControl/>
              <w:spacing w:line="0" w:lineRule="atLeast"/>
              <w:jc w:val="center"/>
              <w:rPr>
                <w:rFonts w:hint="default" w:ascii="Times New Roman" w:hAnsi="Times New Roman" w:eastAsia="仿宋_GB2312" w:cs="Times New Roman"/>
                <w:color w:val="000000"/>
                <w:kern w:val="0"/>
                <w:sz w:val="22"/>
                <w:szCs w:val="22"/>
              </w:rPr>
            </w:pPr>
          </w:p>
          <w:p w14:paraId="5716197D">
            <w:pPr>
              <w:widowControl/>
              <w:spacing w:line="0" w:lineRule="atLeast"/>
              <w:jc w:val="center"/>
              <w:rPr>
                <w:rFonts w:hint="default" w:ascii="Times New Roman" w:hAnsi="Times New Roman" w:eastAsia="仿宋_GB2312" w:cs="Times New Roman"/>
                <w:color w:val="000000"/>
                <w:kern w:val="0"/>
                <w:sz w:val="22"/>
                <w:szCs w:val="22"/>
              </w:rPr>
            </w:pPr>
          </w:p>
          <w:p w14:paraId="3FF03078">
            <w:pPr>
              <w:widowControl/>
              <w:spacing w:line="0" w:lineRule="atLeast"/>
              <w:jc w:val="center"/>
              <w:rPr>
                <w:rFonts w:hint="default" w:ascii="Times New Roman" w:hAnsi="Times New Roman" w:eastAsia="仿宋_GB2312" w:cs="Times New Roman"/>
                <w:color w:val="000000"/>
                <w:kern w:val="0"/>
                <w:sz w:val="22"/>
                <w:szCs w:val="22"/>
              </w:rPr>
            </w:pPr>
          </w:p>
          <w:p w14:paraId="656796AA">
            <w:pPr>
              <w:widowControl/>
              <w:spacing w:line="0" w:lineRule="atLeast"/>
              <w:jc w:val="center"/>
              <w:rPr>
                <w:rFonts w:hint="default" w:ascii="Times New Roman" w:hAnsi="Times New Roman" w:eastAsia="仿宋_GB2312" w:cs="Times New Roman"/>
                <w:color w:val="000000"/>
                <w:kern w:val="0"/>
                <w:sz w:val="22"/>
                <w:szCs w:val="22"/>
              </w:rPr>
            </w:pPr>
          </w:p>
          <w:p w14:paraId="772FEB3A">
            <w:pPr>
              <w:widowControl/>
              <w:spacing w:line="0" w:lineRule="atLeast"/>
              <w:jc w:val="center"/>
              <w:rPr>
                <w:rFonts w:hint="default" w:ascii="Times New Roman" w:hAnsi="Times New Roman" w:eastAsia="仿宋_GB2312" w:cs="Times New Roman"/>
                <w:color w:val="000000"/>
                <w:kern w:val="0"/>
                <w:sz w:val="22"/>
                <w:szCs w:val="22"/>
              </w:rPr>
            </w:pPr>
          </w:p>
          <w:p w14:paraId="20811ABD">
            <w:pPr>
              <w:widowControl/>
              <w:spacing w:line="0" w:lineRule="atLeast"/>
              <w:jc w:val="center"/>
              <w:rPr>
                <w:rFonts w:hint="default" w:ascii="Times New Roman" w:hAnsi="Times New Roman" w:eastAsia="仿宋_GB2312" w:cs="Times New Roman"/>
                <w:color w:val="000000"/>
                <w:kern w:val="0"/>
                <w:sz w:val="22"/>
                <w:szCs w:val="22"/>
              </w:rPr>
            </w:pPr>
          </w:p>
          <w:p w14:paraId="2CA87BA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决策　</w:t>
            </w:r>
          </w:p>
        </w:tc>
        <w:tc>
          <w:tcPr>
            <w:tcW w:w="301" w:type="pct"/>
            <w:vMerge w:val="restart"/>
            <w:shd w:val="clear" w:color="auto" w:fill="auto"/>
            <w:vAlign w:val="center"/>
          </w:tcPr>
          <w:p w14:paraId="7281300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　</w:t>
            </w:r>
          </w:p>
        </w:tc>
        <w:tc>
          <w:tcPr>
            <w:tcW w:w="344" w:type="pct"/>
            <w:shd w:val="clear" w:color="auto" w:fill="auto"/>
            <w:vAlign w:val="center"/>
          </w:tcPr>
          <w:p w14:paraId="65E2C3E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立项依据</w:t>
            </w:r>
          </w:p>
          <w:p w14:paraId="2B5ABA2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充分性</w:t>
            </w:r>
          </w:p>
        </w:tc>
        <w:tc>
          <w:tcPr>
            <w:tcW w:w="927" w:type="pct"/>
            <w:shd w:val="clear" w:color="auto" w:fill="auto"/>
            <w:vAlign w:val="center"/>
          </w:tcPr>
          <w:p w14:paraId="1F5471D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项目立项是否符合法律法规、相关政策、发展规划以及部门职责，用以反映和考核项目立项依据情况。</w:t>
            </w:r>
          </w:p>
        </w:tc>
        <w:tc>
          <w:tcPr>
            <w:tcW w:w="2048" w:type="pct"/>
            <w:shd w:val="clear" w:color="auto" w:fill="auto"/>
            <w:vAlign w:val="center"/>
          </w:tcPr>
          <w:p w14:paraId="798A472B">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①项目立项是否符合国家法律法规、国民经济发展规划和相关政策；</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②项目立项是否符合行业发展规划和政策要求；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③项目立项是否与部门职责范围相符，属于部门履职所需；</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④项目是否属于公共财政支持范围，是否符合中央、地方事权支出责任划分原则；</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⑤项目是否与相关部门同类项目或部门内部相关项目重复。</w:t>
            </w:r>
          </w:p>
        </w:tc>
        <w:tc>
          <w:tcPr>
            <w:tcW w:w="512" w:type="pct"/>
            <w:shd w:val="clear" w:color="auto" w:fill="auto"/>
            <w:vAlign w:val="center"/>
          </w:tcPr>
          <w:p w14:paraId="407AC4FA">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537" w:type="pct"/>
            <w:shd w:val="clear" w:color="auto" w:fill="auto"/>
            <w:vAlign w:val="center"/>
          </w:tcPr>
          <w:p w14:paraId="186EF0CD">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42CF51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0" w:hRule="atLeast"/>
          <w:jc w:val="center"/>
        </w:trPr>
        <w:tc>
          <w:tcPr>
            <w:tcW w:w="328" w:type="pct"/>
            <w:vMerge w:val="continue"/>
            <w:shd w:val="clear" w:color="auto" w:fill="auto"/>
            <w:vAlign w:val="center"/>
          </w:tcPr>
          <w:p w14:paraId="37CA11B4">
            <w:pPr>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auto"/>
            <w:vAlign w:val="center"/>
          </w:tcPr>
          <w:p w14:paraId="7332880F">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2E1354B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立项程序</w:t>
            </w:r>
          </w:p>
          <w:p w14:paraId="1BEBD69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规范性</w:t>
            </w:r>
          </w:p>
        </w:tc>
        <w:tc>
          <w:tcPr>
            <w:tcW w:w="927" w:type="pct"/>
            <w:shd w:val="clear" w:color="auto" w:fill="auto"/>
            <w:vAlign w:val="center"/>
          </w:tcPr>
          <w:p w14:paraId="7E69C8A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项目申请、设立过程是否符合相关要求，用以反映和考核项目立项的规范情况。</w:t>
            </w:r>
          </w:p>
        </w:tc>
        <w:tc>
          <w:tcPr>
            <w:tcW w:w="2048" w:type="pct"/>
            <w:shd w:val="clear" w:color="auto" w:fill="auto"/>
            <w:vAlign w:val="center"/>
          </w:tcPr>
          <w:p w14:paraId="160E454A">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①项目是否按照规定的程序申请设立；</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②审批文件、材料是否符合相关要求；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③事前是否已经过必要的可行性研究、专家论证、风险评估、绩效评估、集体决策。</w:t>
            </w:r>
          </w:p>
        </w:tc>
        <w:tc>
          <w:tcPr>
            <w:tcW w:w="512" w:type="pct"/>
            <w:shd w:val="clear" w:color="auto" w:fill="auto"/>
            <w:vAlign w:val="center"/>
          </w:tcPr>
          <w:p w14:paraId="57CB5F1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537" w:type="pct"/>
            <w:shd w:val="clear" w:color="auto" w:fill="auto"/>
            <w:vAlign w:val="center"/>
          </w:tcPr>
          <w:p w14:paraId="55152908">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5236A8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0" w:hRule="atLeast"/>
          <w:jc w:val="center"/>
        </w:trPr>
        <w:tc>
          <w:tcPr>
            <w:tcW w:w="328" w:type="pct"/>
            <w:vMerge w:val="continue"/>
            <w:shd w:val="clear" w:color="auto" w:fill="auto"/>
            <w:vAlign w:val="center"/>
          </w:tcPr>
          <w:p w14:paraId="09B3A687">
            <w:pPr>
              <w:spacing w:line="0" w:lineRule="atLeast"/>
              <w:jc w:val="center"/>
              <w:rPr>
                <w:rFonts w:hint="default" w:ascii="Times New Roman" w:hAnsi="Times New Roman" w:eastAsia="仿宋_GB2312" w:cs="Times New Roman"/>
                <w:color w:val="000000"/>
                <w:kern w:val="0"/>
                <w:sz w:val="22"/>
                <w:szCs w:val="22"/>
              </w:rPr>
            </w:pPr>
          </w:p>
        </w:tc>
        <w:tc>
          <w:tcPr>
            <w:tcW w:w="301" w:type="pct"/>
            <w:vMerge w:val="restart"/>
            <w:shd w:val="clear" w:color="auto" w:fill="auto"/>
            <w:vAlign w:val="center"/>
          </w:tcPr>
          <w:p w14:paraId="5C3ACBD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　</w:t>
            </w:r>
          </w:p>
        </w:tc>
        <w:tc>
          <w:tcPr>
            <w:tcW w:w="344" w:type="pct"/>
            <w:shd w:val="clear" w:color="auto" w:fill="auto"/>
            <w:vAlign w:val="center"/>
          </w:tcPr>
          <w:p w14:paraId="5265FFB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w:t>
            </w:r>
          </w:p>
          <w:p w14:paraId="00114DB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927" w:type="pct"/>
            <w:shd w:val="clear" w:color="auto" w:fill="auto"/>
            <w:vAlign w:val="center"/>
          </w:tcPr>
          <w:p w14:paraId="546A017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项目所设定的绩效目标是否依据充分，是否符合客观实际，用以反映和考核项目绩效目标与项目实施的相符情况。</w:t>
            </w:r>
          </w:p>
        </w:tc>
        <w:tc>
          <w:tcPr>
            <w:tcW w:w="2048" w:type="pct"/>
            <w:shd w:val="clear" w:color="auto" w:fill="auto"/>
            <w:vAlign w:val="center"/>
          </w:tcPr>
          <w:p w14:paraId="31B44E55">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（如未设定预算绩效目标，也可考核其他工作任务目标）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①项目是否有绩效目标；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②项目绩效目标与实际工作内容是否具有相关性；</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③项目预期产出效益和效果是否符合正常的业绩水平；</w:t>
            </w:r>
          </w:p>
          <w:p w14:paraId="0FC5A68A">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④是否与预算确定的项目投资额或资金量相匹配。</w:t>
            </w:r>
          </w:p>
        </w:tc>
        <w:tc>
          <w:tcPr>
            <w:tcW w:w="512" w:type="pct"/>
            <w:shd w:val="clear" w:color="auto" w:fill="auto"/>
            <w:vAlign w:val="center"/>
          </w:tcPr>
          <w:p w14:paraId="291DBC3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537" w:type="pct"/>
            <w:shd w:val="clear" w:color="auto" w:fill="auto"/>
            <w:vAlign w:val="center"/>
          </w:tcPr>
          <w:p w14:paraId="1EA75F50">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57CC0B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328" w:type="pct"/>
            <w:vMerge w:val="continue"/>
            <w:shd w:val="clear" w:color="auto" w:fill="auto"/>
            <w:vAlign w:val="center"/>
          </w:tcPr>
          <w:p w14:paraId="53DDE6BA">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auto"/>
            <w:vAlign w:val="center"/>
          </w:tcPr>
          <w:p w14:paraId="2D18429A">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3523403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绩效指标</w:t>
            </w:r>
          </w:p>
          <w:p w14:paraId="79ED0CD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明确性</w:t>
            </w:r>
          </w:p>
        </w:tc>
        <w:tc>
          <w:tcPr>
            <w:tcW w:w="927" w:type="pct"/>
            <w:shd w:val="clear" w:color="auto" w:fill="auto"/>
            <w:vAlign w:val="center"/>
          </w:tcPr>
          <w:p w14:paraId="4CD845D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依据绩效目标设定的绩效指标是否清晰、细化、可衡量等，用以反映和考核项目绩效目标的明细化情况。</w:t>
            </w:r>
          </w:p>
        </w:tc>
        <w:tc>
          <w:tcPr>
            <w:tcW w:w="2048" w:type="pct"/>
            <w:shd w:val="clear" w:color="auto" w:fill="auto"/>
            <w:vAlign w:val="center"/>
          </w:tcPr>
          <w:p w14:paraId="7DD3AC8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①是否将项目绩效目标细化分解为具体的绩效指标；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②是否通过清晰、可衡量的指标值予以体现；</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③是否与项目目标任务数或计划数相对应。</w:t>
            </w:r>
            <w:r>
              <w:rPr>
                <w:rFonts w:hint="default" w:ascii="Times New Roman" w:hAnsi="Times New Roman" w:eastAsia="仿宋_GB2312" w:cs="Times New Roman"/>
                <w:color w:val="000000"/>
                <w:kern w:val="0"/>
                <w:sz w:val="22"/>
                <w:szCs w:val="22"/>
              </w:rPr>
              <w:br w:type="textWrapping"/>
            </w:r>
          </w:p>
        </w:tc>
        <w:tc>
          <w:tcPr>
            <w:tcW w:w="512" w:type="pct"/>
            <w:shd w:val="clear" w:color="auto" w:fill="auto"/>
            <w:vAlign w:val="center"/>
          </w:tcPr>
          <w:p w14:paraId="5669E59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537" w:type="pct"/>
            <w:shd w:val="clear" w:color="auto" w:fill="auto"/>
            <w:vAlign w:val="center"/>
          </w:tcPr>
          <w:p w14:paraId="24F2F48A">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314522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328" w:type="pct"/>
            <w:vMerge w:val="continue"/>
            <w:shd w:val="clear" w:color="auto" w:fill="auto"/>
            <w:vAlign w:val="center"/>
          </w:tcPr>
          <w:p w14:paraId="5BC7EE6F">
            <w:pPr>
              <w:spacing w:line="0" w:lineRule="atLeast"/>
              <w:jc w:val="center"/>
              <w:rPr>
                <w:rFonts w:hint="default" w:ascii="Times New Roman" w:hAnsi="Times New Roman" w:eastAsia="仿宋_GB2312" w:cs="Times New Roman"/>
                <w:color w:val="000000"/>
                <w:kern w:val="0"/>
                <w:sz w:val="22"/>
                <w:szCs w:val="22"/>
              </w:rPr>
            </w:pPr>
          </w:p>
        </w:tc>
        <w:tc>
          <w:tcPr>
            <w:tcW w:w="301" w:type="pct"/>
            <w:vMerge w:val="restart"/>
            <w:shd w:val="clear" w:color="auto" w:fill="auto"/>
            <w:vAlign w:val="center"/>
          </w:tcPr>
          <w:p w14:paraId="6A00131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资金投入</w:t>
            </w:r>
          </w:p>
          <w:p w14:paraId="4280FA34">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344" w:type="pct"/>
            <w:shd w:val="clear" w:color="auto" w:fill="auto"/>
            <w:vAlign w:val="center"/>
          </w:tcPr>
          <w:p w14:paraId="67804E9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预算编制</w:t>
            </w:r>
          </w:p>
          <w:p w14:paraId="4965FE4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科学性</w:t>
            </w:r>
          </w:p>
        </w:tc>
        <w:tc>
          <w:tcPr>
            <w:tcW w:w="927" w:type="pct"/>
            <w:shd w:val="clear" w:color="auto" w:fill="auto"/>
            <w:vAlign w:val="center"/>
          </w:tcPr>
          <w:p w14:paraId="328CF1B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auto"/>
            <w:vAlign w:val="center"/>
          </w:tcPr>
          <w:p w14:paraId="1501335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①预算编制是否经过科学论证；</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②预算内容与项目内容是否匹配；</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③预算额度测算依据是否充分，是否按照标准编制；</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④预算确定的项目投资额或资金量是否与工作任务相匹配。</w:t>
            </w:r>
          </w:p>
        </w:tc>
        <w:tc>
          <w:tcPr>
            <w:tcW w:w="512" w:type="pct"/>
            <w:shd w:val="clear" w:color="auto" w:fill="auto"/>
            <w:vAlign w:val="center"/>
          </w:tcPr>
          <w:p w14:paraId="503020BC">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1E308DD3">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2DC657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328" w:type="pct"/>
            <w:vMerge w:val="continue"/>
            <w:shd w:val="clear" w:color="auto" w:fill="auto"/>
            <w:vAlign w:val="center"/>
          </w:tcPr>
          <w:p w14:paraId="09B599C9">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auto"/>
            <w:vAlign w:val="center"/>
          </w:tcPr>
          <w:p w14:paraId="6C65311B">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6C5BE31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资金分配</w:t>
            </w:r>
          </w:p>
          <w:p w14:paraId="68EC631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927" w:type="pct"/>
            <w:shd w:val="clear" w:color="auto" w:fill="auto"/>
            <w:vAlign w:val="center"/>
          </w:tcPr>
          <w:p w14:paraId="2E04B39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auto"/>
            <w:vAlign w:val="center"/>
          </w:tcPr>
          <w:p w14:paraId="7675A09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①预算资金分配依据是否充分；</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②资金分配额度是否合理，与项目单位或地方实际是否相适应。</w:t>
            </w:r>
          </w:p>
        </w:tc>
        <w:tc>
          <w:tcPr>
            <w:tcW w:w="512" w:type="pct"/>
            <w:shd w:val="clear" w:color="auto" w:fill="auto"/>
            <w:vAlign w:val="center"/>
          </w:tcPr>
          <w:p w14:paraId="6CC5B25A">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19F166F6">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6B596C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328" w:type="pct"/>
            <w:vMerge w:val="restart"/>
            <w:shd w:val="clear" w:color="auto" w:fill="auto"/>
            <w:vAlign w:val="center"/>
          </w:tcPr>
          <w:p w14:paraId="579998A5">
            <w:pPr>
              <w:spacing w:line="0" w:lineRule="atLeast"/>
              <w:jc w:val="center"/>
              <w:rPr>
                <w:rFonts w:hint="default" w:ascii="Times New Roman" w:hAnsi="Times New Roman" w:eastAsia="仿宋_GB2312" w:cs="Times New Roman"/>
                <w:color w:val="000000"/>
                <w:kern w:val="0"/>
                <w:sz w:val="22"/>
                <w:szCs w:val="22"/>
              </w:rPr>
            </w:pPr>
          </w:p>
          <w:p w14:paraId="42861EE6">
            <w:pPr>
              <w:spacing w:line="0" w:lineRule="atLeast"/>
              <w:jc w:val="center"/>
              <w:rPr>
                <w:rFonts w:hint="default" w:ascii="Times New Roman" w:hAnsi="Times New Roman" w:eastAsia="仿宋_GB2312" w:cs="Times New Roman"/>
                <w:color w:val="000000"/>
                <w:kern w:val="0"/>
                <w:sz w:val="22"/>
                <w:szCs w:val="22"/>
              </w:rPr>
            </w:pPr>
          </w:p>
          <w:p w14:paraId="27F7D7B1">
            <w:pPr>
              <w:spacing w:line="0" w:lineRule="atLeast"/>
              <w:jc w:val="center"/>
              <w:rPr>
                <w:rFonts w:hint="default" w:ascii="Times New Roman" w:hAnsi="Times New Roman" w:eastAsia="仿宋_GB2312" w:cs="Times New Roman"/>
                <w:color w:val="000000"/>
                <w:kern w:val="0"/>
                <w:sz w:val="22"/>
                <w:szCs w:val="22"/>
              </w:rPr>
            </w:pPr>
          </w:p>
          <w:p w14:paraId="3BF75822">
            <w:pPr>
              <w:spacing w:line="0" w:lineRule="atLeast"/>
              <w:jc w:val="center"/>
              <w:rPr>
                <w:rFonts w:hint="default" w:ascii="Times New Roman" w:hAnsi="Times New Roman" w:eastAsia="仿宋_GB2312" w:cs="Times New Roman"/>
                <w:color w:val="000000"/>
                <w:kern w:val="0"/>
                <w:sz w:val="22"/>
                <w:szCs w:val="22"/>
              </w:rPr>
            </w:pPr>
          </w:p>
          <w:p w14:paraId="7D566EA8">
            <w:pPr>
              <w:spacing w:line="0" w:lineRule="atLeast"/>
              <w:jc w:val="center"/>
              <w:rPr>
                <w:rFonts w:hint="default" w:ascii="Times New Roman" w:hAnsi="Times New Roman" w:eastAsia="仿宋_GB2312" w:cs="Times New Roman"/>
                <w:color w:val="000000"/>
                <w:kern w:val="0"/>
                <w:sz w:val="22"/>
                <w:szCs w:val="22"/>
              </w:rPr>
            </w:pPr>
          </w:p>
          <w:p w14:paraId="61E572A4">
            <w:pPr>
              <w:spacing w:line="0" w:lineRule="atLeast"/>
              <w:jc w:val="center"/>
              <w:rPr>
                <w:rFonts w:hint="default" w:ascii="Times New Roman" w:hAnsi="Times New Roman" w:eastAsia="仿宋_GB2312" w:cs="Times New Roman"/>
                <w:color w:val="000000"/>
                <w:kern w:val="0"/>
                <w:sz w:val="22"/>
                <w:szCs w:val="22"/>
              </w:rPr>
            </w:pPr>
          </w:p>
          <w:p w14:paraId="090B91BA">
            <w:pPr>
              <w:spacing w:line="0" w:lineRule="atLeast"/>
              <w:jc w:val="center"/>
              <w:rPr>
                <w:rFonts w:hint="default" w:ascii="Times New Roman" w:hAnsi="Times New Roman" w:eastAsia="仿宋_GB2312" w:cs="Times New Roman"/>
                <w:color w:val="000000"/>
                <w:kern w:val="0"/>
                <w:sz w:val="22"/>
                <w:szCs w:val="22"/>
              </w:rPr>
            </w:pPr>
          </w:p>
          <w:p w14:paraId="0557A75C">
            <w:pPr>
              <w:spacing w:line="0" w:lineRule="atLeast"/>
              <w:jc w:val="center"/>
              <w:rPr>
                <w:rFonts w:hint="default" w:ascii="Times New Roman" w:hAnsi="Times New Roman" w:eastAsia="仿宋_GB2312" w:cs="Times New Roman"/>
                <w:color w:val="000000"/>
                <w:kern w:val="0"/>
                <w:sz w:val="22"/>
                <w:szCs w:val="22"/>
              </w:rPr>
            </w:pPr>
          </w:p>
          <w:p w14:paraId="25644F4D">
            <w:pPr>
              <w:spacing w:line="0" w:lineRule="atLeast"/>
              <w:jc w:val="center"/>
              <w:rPr>
                <w:rFonts w:hint="default" w:ascii="Times New Roman" w:hAnsi="Times New Roman" w:eastAsia="仿宋_GB2312" w:cs="Times New Roman"/>
                <w:color w:val="000000"/>
                <w:kern w:val="0"/>
                <w:sz w:val="22"/>
                <w:szCs w:val="22"/>
              </w:rPr>
            </w:pPr>
          </w:p>
          <w:p w14:paraId="5113D11F">
            <w:pPr>
              <w:spacing w:line="0" w:lineRule="atLeast"/>
              <w:jc w:val="center"/>
              <w:rPr>
                <w:rFonts w:hint="default" w:ascii="Times New Roman" w:hAnsi="Times New Roman" w:eastAsia="仿宋_GB2312" w:cs="Times New Roman"/>
                <w:color w:val="000000"/>
                <w:kern w:val="0"/>
                <w:sz w:val="22"/>
                <w:szCs w:val="22"/>
              </w:rPr>
            </w:pPr>
          </w:p>
          <w:p w14:paraId="1CF1E136">
            <w:pPr>
              <w:spacing w:line="0" w:lineRule="atLeast"/>
              <w:jc w:val="center"/>
              <w:rPr>
                <w:rFonts w:hint="default" w:ascii="Times New Roman" w:hAnsi="Times New Roman" w:eastAsia="仿宋_GB2312" w:cs="Times New Roman"/>
                <w:color w:val="000000"/>
                <w:kern w:val="0"/>
                <w:sz w:val="22"/>
                <w:szCs w:val="22"/>
              </w:rPr>
            </w:pPr>
          </w:p>
          <w:p w14:paraId="23FE4470">
            <w:pPr>
              <w:spacing w:line="0" w:lineRule="atLeast"/>
              <w:jc w:val="center"/>
              <w:rPr>
                <w:rFonts w:hint="default" w:ascii="Times New Roman" w:hAnsi="Times New Roman" w:eastAsia="仿宋_GB2312" w:cs="Times New Roman"/>
                <w:color w:val="000000"/>
                <w:kern w:val="0"/>
                <w:sz w:val="22"/>
                <w:szCs w:val="22"/>
              </w:rPr>
            </w:pPr>
          </w:p>
          <w:p w14:paraId="7216276A">
            <w:pPr>
              <w:spacing w:line="0" w:lineRule="atLeast"/>
              <w:jc w:val="center"/>
              <w:rPr>
                <w:rFonts w:hint="default" w:ascii="Times New Roman" w:hAnsi="Times New Roman" w:eastAsia="仿宋_GB2312" w:cs="Times New Roman"/>
                <w:color w:val="000000"/>
                <w:kern w:val="0"/>
                <w:sz w:val="22"/>
                <w:szCs w:val="22"/>
              </w:rPr>
            </w:pPr>
          </w:p>
          <w:p w14:paraId="407F1BB7">
            <w:pPr>
              <w:spacing w:line="0" w:lineRule="atLeast"/>
              <w:jc w:val="center"/>
              <w:rPr>
                <w:rFonts w:hint="default" w:ascii="Times New Roman" w:hAnsi="Times New Roman" w:eastAsia="仿宋_GB2312" w:cs="Times New Roman"/>
                <w:color w:val="000000"/>
                <w:kern w:val="0"/>
                <w:sz w:val="22"/>
                <w:szCs w:val="22"/>
              </w:rPr>
            </w:pPr>
          </w:p>
          <w:p w14:paraId="21BB5F4A">
            <w:pPr>
              <w:spacing w:line="0" w:lineRule="atLeast"/>
              <w:jc w:val="center"/>
              <w:rPr>
                <w:rFonts w:hint="default" w:ascii="Times New Roman" w:hAnsi="Times New Roman" w:eastAsia="仿宋_GB2312" w:cs="Times New Roman"/>
                <w:color w:val="000000"/>
                <w:kern w:val="0"/>
                <w:sz w:val="22"/>
                <w:szCs w:val="22"/>
              </w:rPr>
            </w:pPr>
          </w:p>
          <w:p w14:paraId="7B480783">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过程</w:t>
            </w:r>
          </w:p>
          <w:p w14:paraId="149A1DE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301" w:type="pct"/>
            <w:vMerge w:val="restart"/>
            <w:shd w:val="clear" w:color="auto" w:fill="auto"/>
            <w:vAlign w:val="center"/>
          </w:tcPr>
          <w:p w14:paraId="05C5C20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344" w:type="pct"/>
            <w:shd w:val="clear" w:color="auto" w:fill="auto"/>
            <w:vAlign w:val="center"/>
          </w:tcPr>
          <w:p w14:paraId="11293CF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w:t>
            </w:r>
          </w:p>
        </w:tc>
        <w:tc>
          <w:tcPr>
            <w:tcW w:w="927" w:type="pct"/>
            <w:shd w:val="clear" w:color="auto" w:fill="auto"/>
            <w:vAlign w:val="center"/>
          </w:tcPr>
          <w:p w14:paraId="58A41C1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实际到位资金与预算资金的比率，用以反映和考核资金落实情况对项目实施的总体保障程度。</w:t>
            </w:r>
          </w:p>
        </w:tc>
        <w:tc>
          <w:tcPr>
            <w:tcW w:w="2048" w:type="pct"/>
            <w:shd w:val="clear" w:color="auto" w:fill="auto"/>
            <w:vAlign w:val="center"/>
          </w:tcPr>
          <w:p w14:paraId="0389CE6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资金到位率=（实际到位资金/预算资金）×100%。</w:t>
            </w:r>
          </w:p>
          <w:p w14:paraId="6C3F0B5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实际到位资金：一定时期（本年度或项目期）内落实到具体项目的资金。</w:t>
            </w:r>
          </w:p>
          <w:p w14:paraId="76A63FF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预算资金：一定时期（本年度或项目期）内预算安排到具体项目的资金。</w:t>
            </w:r>
          </w:p>
        </w:tc>
        <w:tc>
          <w:tcPr>
            <w:tcW w:w="512" w:type="pct"/>
            <w:shd w:val="clear" w:color="auto" w:fill="auto"/>
            <w:vAlign w:val="center"/>
          </w:tcPr>
          <w:p w14:paraId="3708A218">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7E925348">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1B6F4D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328" w:type="pct"/>
            <w:vMerge w:val="continue"/>
            <w:shd w:val="clear" w:color="auto" w:fill="auto"/>
            <w:vAlign w:val="center"/>
          </w:tcPr>
          <w:p w14:paraId="76F978A8">
            <w:pPr>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auto"/>
            <w:vAlign w:val="center"/>
          </w:tcPr>
          <w:p w14:paraId="47EB1DD7">
            <w:pPr>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6E7DF03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w:t>
            </w:r>
          </w:p>
        </w:tc>
        <w:tc>
          <w:tcPr>
            <w:tcW w:w="927" w:type="pct"/>
            <w:shd w:val="clear" w:color="auto" w:fill="auto"/>
            <w:vAlign w:val="center"/>
          </w:tcPr>
          <w:p w14:paraId="1D63FB9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项目预算资金是否按照计划执行，用以反映或考核项目预算执行情况。</w:t>
            </w:r>
          </w:p>
        </w:tc>
        <w:tc>
          <w:tcPr>
            <w:tcW w:w="2048" w:type="pct"/>
            <w:shd w:val="clear" w:color="auto" w:fill="auto"/>
            <w:vAlign w:val="center"/>
          </w:tcPr>
          <w:p w14:paraId="20F903A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预算执行率=（实际支出资金/实际到位资金）×100%。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实际支出资金：一定时期（本年度或项目期）内项目实际拨付的资金。</w:t>
            </w:r>
          </w:p>
        </w:tc>
        <w:tc>
          <w:tcPr>
            <w:tcW w:w="512" w:type="pct"/>
            <w:shd w:val="clear" w:color="auto" w:fill="auto"/>
            <w:vAlign w:val="center"/>
          </w:tcPr>
          <w:p w14:paraId="5EF849A3">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4</w:t>
            </w:r>
          </w:p>
        </w:tc>
        <w:tc>
          <w:tcPr>
            <w:tcW w:w="537" w:type="pct"/>
            <w:shd w:val="clear" w:color="auto" w:fill="auto"/>
            <w:vAlign w:val="center"/>
          </w:tcPr>
          <w:p w14:paraId="14857AF7">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eastAsia" w:eastAsia="仿宋_GB2312" w:cs="Times New Roman"/>
                <w:b/>
                <w:bCs/>
                <w:color w:val="000000"/>
                <w:kern w:val="0"/>
                <w:sz w:val="22"/>
                <w:szCs w:val="22"/>
                <w:lang w:val="en-US" w:eastAsia="zh-CN"/>
              </w:rPr>
              <w:t>3.62</w:t>
            </w:r>
          </w:p>
        </w:tc>
      </w:tr>
      <w:tr w14:paraId="2FDC49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328" w:type="pct"/>
            <w:vMerge w:val="continue"/>
            <w:shd w:val="clear" w:color="auto" w:fill="auto"/>
            <w:vAlign w:val="center"/>
          </w:tcPr>
          <w:p w14:paraId="1C16BE79">
            <w:pPr>
              <w:spacing w:line="0" w:lineRule="atLeast"/>
              <w:jc w:val="center"/>
              <w:rPr>
                <w:rFonts w:hint="default" w:ascii="Times New Roman" w:hAnsi="Times New Roman" w:eastAsia="仿宋_GB2312" w:cs="Times New Roman"/>
                <w:color w:val="000000"/>
                <w:kern w:val="0"/>
                <w:sz w:val="22"/>
                <w:szCs w:val="22"/>
              </w:rPr>
            </w:pPr>
          </w:p>
        </w:tc>
        <w:tc>
          <w:tcPr>
            <w:tcW w:w="301" w:type="pct"/>
            <w:shd w:val="clear" w:color="auto" w:fill="auto"/>
            <w:vAlign w:val="center"/>
          </w:tcPr>
          <w:p w14:paraId="4322531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344" w:type="pct"/>
            <w:shd w:val="clear" w:color="auto" w:fill="auto"/>
            <w:vAlign w:val="center"/>
          </w:tcPr>
          <w:p w14:paraId="7588296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资金使用</w:t>
            </w:r>
          </w:p>
          <w:p w14:paraId="3321108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合规性</w:t>
            </w:r>
          </w:p>
        </w:tc>
        <w:tc>
          <w:tcPr>
            <w:tcW w:w="927" w:type="pct"/>
            <w:shd w:val="clear" w:color="auto" w:fill="auto"/>
            <w:vAlign w:val="center"/>
          </w:tcPr>
          <w:p w14:paraId="08289E1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项目资金使用是否符合相关的财务管理制度规定，用以反映和考核项目资金的规范运行情况。</w:t>
            </w:r>
          </w:p>
        </w:tc>
        <w:tc>
          <w:tcPr>
            <w:tcW w:w="2048" w:type="pct"/>
            <w:shd w:val="clear" w:color="auto" w:fill="auto"/>
            <w:vAlign w:val="center"/>
          </w:tcPr>
          <w:p w14:paraId="7EF68E4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①是否符合国家财经法规和财务管理制度以及有关专项资金管理办法的规定；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②资金的拨付是否有完整的审批程序和手续；</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③是否符合项目预算批复或合同规定的用途；</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④是否存在截留、挤占、挪用、虚列支出等情况。</w:t>
            </w:r>
          </w:p>
        </w:tc>
        <w:tc>
          <w:tcPr>
            <w:tcW w:w="512" w:type="pct"/>
            <w:shd w:val="clear" w:color="auto" w:fill="auto"/>
            <w:vAlign w:val="center"/>
          </w:tcPr>
          <w:p w14:paraId="7C0A5BD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3CAB6678">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1DE5D4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328" w:type="pct"/>
            <w:vMerge w:val="continue"/>
            <w:shd w:val="clear" w:color="auto" w:fill="auto"/>
            <w:vAlign w:val="center"/>
          </w:tcPr>
          <w:p w14:paraId="572CA1E1">
            <w:pPr>
              <w:spacing w:line="0" w:lineRule="atLeast"/>
              <w:jc w:val="center"/>
              <w:rPr>
                <w:rFonts w:hint="default" w:ascii="Times New Roman" w:hAnsi="Times New Roman" w:eastAsia="仿宋_GB2312" w:cs="Times New Roman"/>
                <w:color w:val="000000"/>
                <w:kern w:val="0"/>
                <w:sz w:val="22"/>
                <w:szCs w:val="22"/>
              </w:rPr>
            </w:pPr>
          </w:p>
        </w:tc>
        <w:tc>
          <w:tcPr>
            <w:tcW w:w="301" w:type="pct"/>
            <w:vMerge w:val="restart"/>
            <w:shd w:val="clear" w:color="auto" w:fill="auto"/>
            <w:vAlign w:val="center"/>
          </w:tcPr>
          <w:p w14:paraId="18B0F02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组织实施</w:t>
            </w:r>
          </w:p>
          <w:p w14:paraId="66C92692">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344" w:type="pct"/>
            <w:shd w:val="clear" w:color="auto" w:fill="auto"/>
            <w:vAlign w:val="center"/>
          </w:tcPr>
          <w:p w14:paraId="075EAAB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管理制度</w:t>
            </w:r>
          </w:p>
          <w:p w14:paraId="5A0524E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健全性</w:t>
            </w:r>
          </w:p>
        </w:tc>
        <w:tc>
          <w:tcPr>
            <w:tcW w:w="927" w:type="pct"/>
            <w:shd w:val="clear" w:color="auto" w:fill="auto"/>
            <w:vAlign w:val="center"/>
          </w:tcPr>
          <w:p w14:paraId="40E72A0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项目实施单位的财务和业务管理制度是否健全，用以反映和考核财务和业务管理制度对项目顺利实施的保障情况。</w:t>
            </w:r>
          </w:p>
        </w:tc>
        <w:tc>
          <w:tcPr>
            <w:tcW w:w="2048" w:type="pct"/>
            <w:shd w:val="clear" w:color="auto" w:fill="auto"/>
            <w:vAlign w:val="center"/>
          </w:tcPr>
          <w:p w14:paraId="6F3C77A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①是否已制定或具有相应的财务和业务管理制度；</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②财务和业务管理制度是否合法、合规、完整。</w:t>
            </w:r>
          </w:p>
        </w:tc>
        <w:tc>
          <w:tcPr>
            <w:tcW w:w="512" w:type="pct"/>
            <w:shd w:val="clear" w:color="auto" w:fill="auto"/>
            <w:vAlign w:val="center"/>
          </w:tcPr>
          <w:p w14:paraId="7B1D1FF3">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21122115">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27DA1C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328" w:type="pct"/>
            <w:vMerge w:val="continue"/>
            <w:shd w:val="clear" w:color="auto" w:fill="auto"/>
            <w:vAlign w:val="center"/>
          </w:tcPr>
          <w:p w14:paraId="01EA7FC9">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auto"/>
            <w:vAlign w:val="center"/>
          </w:tcPr>
          <w:p w14:paraId="7E3A4B44">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3B54EFE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制度执行</w:t>
            </w:r>
          </w:p>
          <w:p w14:paraId="07F0FB9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有效性</w:t>
            </w:r>
          </w:p>
        </w:tc>
        <w:tc>
          <w:tcPr>
            <w:tcW w:w="927" w:type="pct"/>
            <w:shd w:val="clear" w:color="auto" w:fill="auto"/>
            <w:vAlign w:val="center"/>
          </w:tcPr>
          <w:p w14:paraId="07B7624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项目实施是否符合相关管理规定，用以反映和考核相关管理制度的有效执行情况。</w:t>
            </w:r>
          </w:p>
        </w:tc>
        <w:tc>
          <w:tcPr>
            <w:tcW w:w="2048" w:type="pct"/>
            <w:shd w:val="clear" w:color="auto" w:fill="auto"/>
            <w:vAlign w:val="center"/>
          </w:tcPr>
          <w:p w14:paraId="205984C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①是否遵守相关法律法规和相关管理规定；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②项目调整及支出调整手续是否完备；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③项目合同书、验收报告、技术鉴定等资料是否齐全并及时归档；</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④项目实施的人员条件、场地设备、信息支撑等是否落实到位。</w:t>
            </w:r>
          </w:p>
        </w:tc>
        <w:tc>
          <w:tcPr>
            <w:tcW w:w="512" w:type="pct"/>
            <w:shd w:val="clear" w:color="auto" w:fill="auto"/>
            <w:vAlign w:val="center"/>
          </w:tcPr>
          <w:p w14:paraId="45F004B9">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7DC3F9A8">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565D43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328" w:type="pct"/>
            <w:vMerge w:val="restart"/>
            <w:shd w:val="clear" w:color="auto" w:fill="auto"/>
            <w:vAlign w:val="center"/>
          </w:tcPr>
          <w:p w14:paraId="7A0633F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w:t>
            </w:r>
          </w:p>
        </w:tc>
        <w:tc>
          <w:tcPr>
            <w:tcW w:w="301" w:type="pct"/>
            <w:shd w:val="clear" w:color="auto" w:fill="auto"/>
            <w:vAlign w:val="center"/>
          </w:tcPr>
          <w:p w14:paraId="5837B56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产出数量</w:t>
            </w:r>
          </w:p>
        </w:tc>
        <w:tc>
          <w:tcPr>
            <w:tcW w:w="344" w:type="pct"/>
            <w:shd w:val="clear" w:color="auto" w:fill="auto"/>
            <w:vAlign w:val="center"/>
          </w:tcPr>
          <w:p w14:paraId="42B2362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w:t>
            </w:r>
          </w:p>
        </w:tc>
        <w:tc>
          <w:tcPr>
            <w:tcW w:w="927" w:type="pct"/>
            <w:shd w:val="clear" w:color="auto" w:fill="auto"/>
            <w:vAlign w:val="center"/>
          </w:tcPr>
          <w:p w14:paraId="5A33482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项目实施的实际产出数与计划产出数的比率，用以反映和考核项目产出数量目标的实现程度。</w:t>
            </w:r>
          </w:p>
        </w:tc>
        <w:tc>
          <w:tcPr>
            <w:tcW w:w="2048" w:type="pct"/>
            <w:shd w:val="clear" w:color="auto" w:fill="auto"/>
            <w:vAlign w:val="center"/>
          </w:tcPr>
          <w:p w14:paraId="0886607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实际完成率=（实际产出数/计划产出数）×100%。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实际产出数：一定时期（本年度或项目期）内项目实际产出的产品或提供的服务数量。</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计划产出</w:t>
            </w:r>
            <w:r>
              <w:rPr>
                <w:rFonts w:hint="eastAsia" w:eastAsia="仿宋_GB2312" w:cs="Times New Roman"/>
                <w:color w:val="000000"/>
                <w:kern w:val="0"/>
                <w:sz w:val="22"/>
                <w:szCs w:val="22"/>
                <w:lang w:eastAsia="zh-CN"/>
              </w:rPr>
              <w:t>数量</w:t>
            </w:r>
            <w:r>
              <w:rPr>
                <w:rFonts w:hint="default" w:ascii="Times New Roman" w:hAnsi="Times New Roman" w:eastAsia="仿宋_GB2312" w:cs="Times New Roman"/>
                <w:color w:val="000000"/>
                <w:kern w:val="0"/>
                <w:sz w:val="22"/>
                <w:szCs w:val="22"/>
              </w:rPr>
              <w:t>：项目绩效目标确定的在一定时期（本年度或项目期）内计划产出的产品或提供的服务数量。</w:t>
            </w:r>
          </w:p>
        </w:tc>
        <w:tc>
          <w:tcPr>
            <w:tcW w:w="512" w:type="pct"/>
            <w:shd w:val="clear" w:color="auto" w:fill="auto"/>
            <w:vAlign w:val="center"/>
          </w:tcPr>
          <w:p w14:paraId="38EF661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3390E51D">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9.37</w:t>
            </w:r>
          </w:p>
        </w:tc>
      </w:tr>
      <w:tr w14:paraId="7431C0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328" w:type="pct"/>
            <w:vMerge w:val="continue"/>
            <w:shd w:val="clear" w:color="auto" w:fill="auto"/>
            <w:vAlign w:val="center"/>
          </w:tcPr>
          <w:p w14:paraId="29EBADC7">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shd w:val="clear" w:color="auto" w:fill="auto"/>
            <w:vAlign w:val="center"/>
          </w:tcPr>
          <w:p w14:paraId="726665C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产出质量</w:t>
            </w:r>
          </w:p>
        </w:tc>
        <w:tc>
          <w:tcPr>
            <w:tcW w:w="344" w:type="pct"/>
            <w:shd w:val="clear" w:color="auto" w:fill="auto"/>
            <w:vAlign w:val="center"/>
          </w:tcPr>
          <w:p w14:paraId="615C609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w:t>
            </w:r>
          </w:p>
        </w:tc>
        <w:tc>
          <w:tcPr>
            <w:tcW w:w="927" w:type="pct"/>
            <w:shd w:val="clear" w:color="auto" w:fill="auto"/>
            <w:vAlign w:val="center"/>
          </w:tcPr>
          <w:p w14:paraId="60EED3A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项目完成的质量达标产出数与实际产出数的比率，用以反映和考核项目产出质量目标的实现程度。</w:t>
            </w:r>
          </w:p>
        </w:tc>
        <w:tc>
          <w:tcPr>
            <w:tcW w:w="2048" w:type="pct"/>
            <w:shd w:val="clear" w:color="auto" w:fill="auto"/>
            <w:vAlign w:val="center"/>
          </w:tcPr>
          <w:p w14:paraId="4244095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质量达标率=（质量达标产出数/实际产出数）×100%。</w:t>
            </w:r>
          </w:p>
          <w:p w14:paraId="6A6E3C8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auto" w:fill="auto"/>
            <w:vAlign w:val="center"/>
          </w:tcPr>
          <w:p w14:paraId="35CDB7BC">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369B9D71">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696578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328" w:type="pct"/>
            <w:vMerge w:val="continue"/>
            <w:shd w:val="clear" w:color="auto" w:fill="auto"/>
            <w:vAlign w:val="center"/>
          </w:tcPr>
          <w:p w14:paraId="76F338CC">
            <w:pPr>
              <w:spacing w:line="0" w:lineRule="atLeast"/>
              <w:jc w:val="center"/>
              <w:rPr>
                <w:rFonts w:hint="default" w:ascii="Times New Roman" w:hAnsi="Times New Roman" w:eastAsia="仿宋_GB2312" w:cs="Times New Roman"/>
                <w:color w:val="000000"/>
                <w:kern w:val="0"/>
                <w:sz w:val="22"/>
                <w:szCs w:val="22"/>
              </w:rPr>
            </w:pPr>
          </w:p>
        </w:tc>
        <w:tc>
          <w:tcPr>
            <w:tcW w:w="301" w:type="pct"/>
            <w:shd w:val="clear" w:color="auto" w:fill="auto"/>
            <w:vAlign w:val="center"/>
          </w:tcPr>
          <w:p w14:paraId="4B6E9A23">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产出时效</w:t>
            </w:r>
          </w:p>
        </w:tc>
        <w:tc>
          <w:tcPr>
            <w:tcW w:w="344" w:type="pct"/>
            <w:shd w:val="clear" w:color="auto" w:fill="auto"/>
            <w:vAlign w:val="center"/>
          </w:tcPr>
          <w:p w14:paraId="5F74361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完成及时性</w:t>
            </w:r>
          </w:p>
        </w:tc>
        <w:tc>
          <w:tcPr>
            <w:tcW w:w="927" w:type="pct"/>
            <w:shd w:val="clear" w:color="auto" w:fill="auto"/>
            <w:vAlign w:val="center"/>
          </w:tcPr>
          <w:p w14:paraId="641D11B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项目实际完成时间与计划完成时间的比较，用以反映和考核项目产出时效目标的实现程度。</w:t>
            </w:r>
          </w:p>
        </w:tc>
        <w:tc>
          <w:tcPr>
            <w:tcW w:w="2048" w:type="pct"/>
            <w:shd w:val="clear" w:color="auto" w:fill="auto"/>
            <w:vAlign w:val="center"/>
          </w:tcPr>
          <w:p w14:paraId="145BA5D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实际完成时间：项目实施单位完成该项目实际所耗用的时间。</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计划完成时间：按照项目实施计划或相关规定完成该项目所需的时间。</w:t>
            </w:r>
          </w:p>
        </w:tc>
        <w:tc>
          <w:tcPr>
            <w:tcW w:w="512" w:type="pct"/>
            <w:shd w:val="clear" w:color="auto" w:fill="auto"/>
            <w:vAlign w:val="center"/>
          </w:tcPr>
          <w:p w14:paraId="7111136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7139A04D">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55A963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328" w:type="pct"/>
            <w:vMerge w:val="continue"/>
            <w:shd w:val="clear" w:color="auto" w:fill="auto"/>
            <w:vAlign w:val="center"/>
          </w:tcPr>
          <w:p w14:paraId="2BCDA5F0">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shd w:val="clear" w:color="auto" w:fill="auto"/>
            <w:vAlign w:val="center"/>
          </w:tcPr>
          <w:p w14:paraId="2E6ED0B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产出成本</w:t>
            </w:r>
          </w:p>
        </w:tc>
        <w:tc>
          <w:tcPr>
            <w:tcW w:w="344" w:type="pct"/>
            <w:shd w:val="clear" w:color="auto" w:fill="auto"/>
            <w:vAlign w:val="center"/>
          </w:tcPr>
          <w:p w14:paraId="3C1E5BE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成本节约率</w:t>
            </w:r>
          </w:p>
        </w:tc>
        <w:tc>
          <w:tcPr>
            <w:tcW w:w="927" w:type="pct"/>
            <w:shd w:val="clear" w:color="auto" w:fill="auto"/>
            <w:vAlign w:val="center"/>
          </w:tcPr>
          <w:p w14:paraId="2EAA840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完成项目计划工作目标的实际节约成本与计划成本的比率，用以反映和考核项目的成本节约程度。</w:t>
            </w:r>
          </w:p>
        </w:tc>
        <w:tc>
          <w:tcPr>
            <w:tcW w:w="2048" w:type="pct"/>
            <w:shd w:val="clear" w:color="auto" w:fill="auto"/>
            <w:vAlign w:val="center"/>
          </w:tcPr>
          <w:p w14:paraId="770B3B6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成本节约率=[（计划成本-实际成本）/计划成本]×100%。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实际成本：项目实施单位如期、保质、保量完成既定工作目标实际所耗费的支出。</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计划成本：项目实施单位为完成工作目标计划安排的支出，一般以项目预算为参考。</w:t>
            </w:r>
          </w:p>
        </w:tc>
        <w:tc>
          <w:tcPr>
            <w:tcW w:w="512" w:type="pct"/>
            <w:shd w:val="clear" w:color="auto" w:fill="auto"/>
            <w:vAlign w:val="center"/>
          </w:tcPr>
          <w:p w14:paraId="725871E8">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0AFACF37">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default" w:ascii="Times New Roman" w:hAnsi="Times New Roman" w:eastAsia="仿宋_GB2312" w:cs="Times New Roman"/>
                <w:b/>
                <w:bCs/>
                <w:color w:val="000000"/>
                <w:kern w:val="0"/>
                <w:sz w:val="22"/>
                <w:szCs w:val="22"/>
                <w:highlight w:val="none"/>
                <w:lang w:val="en-US" w:eastAsia="zh-CN"/>
              </w:rPr>
              <w:t>*</w:t>
            </w:r>
          </w:p>
        </w:tc>
      </w:tr>
      <w:tr w14:paraId="573714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328" w:type="pct"/>
            <w:vMerge w:val="restart"/>
            <w:shd w:val="clear" w:color="auto" w:fill="auto"/>
            <w:vAlign w:val="center"/>
          </w:tcPr>
          <w:p w14:paraId="05AC58A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效益　</w:t>
            </w:r>
          </w:p>
        </w:tc>
        <w:tc>
          <w:tcPr>
            <w:tcW w:w="301" w:type="pct"/>
            <w:vMerge w:val="restart"/>
            <w:shd w:val="clear" w:color="auto" w:fill="auto"/>
            <w:vAlign w:val="center"/>
          </w:tcPr>
          <w:p w14:paraId="07644E8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项目效益　</w:t>
            </w:r>
          </w:p>
        </w:tc>
        <w:tc>
          <w:tcPr>
            <w:tcW w:w="344" w:type="pct"/>
            <w:shd w:val="clear" w:color="auto" w:fill="auto"/>
            <w:vAlign w:val="center"/>
          </w:tcPr>
          <w:p w14:paraId="205B7A2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实施效益</w:t>
            </w:r>
          </w:p>
        </w:tc>
        <w:tc>
          <w:tcPr>
            <w:tcW w:w="927" w:type="pct"/>
            <w:shd w:val="clear" w:color="auto" w:fill="auto"/>
            <w:vAlign w:val="center"/>
          </w:tcPr>
          <w:p w14:paraId="7E402973">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项目实施所产生的效益。</w:t>
            </w:r>
          </w:p>
        </w:tc>
        <w:tc>
          <w:tcPr>
            <w:tcW w:w="2048" w:type="pct"/>
            <w:shd w:val="clear" w:color="auto" w:fill="auto"/>
            <w:vAlign w:val="center"/>
          </w:tcPr>
          <w:p w14:paraId="3E05B18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项目实施所产生的社会效益、经济效益、生态效益、可持续影响等。可根据项目实际情况有选择地设置和细化。</w:t>
            </w:r>
          </w:p>
        </w:tc>
        <w:tc>
          <w:tcPr>
            <w:tcW w:w="512" w:type="pct"/>
            <w:shd w:val="clear" w:color="auto" w:fill="auto"/>
            <w:vAlign w:val="center"/>
          </w:tcPr>
          <w:p w14:paraId="5D8B2159">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472D3866">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default" w:ascii="Times New Roman" w:hAnsi="Times New Roman" w:eastAsia="仿宋_GB2312" w:cs="Times New Roman"/>
                <w:b/>
                <w:bCs/>
                <w:color w:val="000000"/>
                <w:kern w:val="0"/>
                <w:sz w:val="22"/>
                <w:szCs w:val="22"/>
                <w:highlight w:val="none"/>
                <w:lang w:val="en-US" w:eastAsia="zh-CN"/>
              </w:rPr>
              <w:t>*</w:t>
            </w:r>
          </w:p>
        </w:tc>
      </w:tr>
      <w:tr w14:paraId="61BE6C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37" w:hRule="atLeast"/>
          <w:jc w:val="center"/>
        </w:trPr>
        <w:tc>
          <w:tcPr>
            <w:tcW w:w="328" w:type="pct"/>
            <w:vMerge w:val="continue"/>
            <w:shd w:val="clear" w:color="auto" w:fill="auto"/>
            <w:vAlign w:val="center"/>
          </w:tcPr>
          <w:p w14:paraId="42BF1224">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auto"/>
            <w:vAlign w:val="center"/>
          </w:tcPr>
          <w:p w14:paraId="726AE283">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0D2DDA2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满意度</w:t>
            </w:r>
          </w:p>
        </w:tc>
        <w:tc>
          <w:tcPr>
            <w:tcW w:w="927" w:type="pct"/>
            <w:shd w:val="clear" w:color="auto" w:fill="auto"/>
            <w:vAlign w:val="center"/>
          </w:tcPr>
          <w:p w14:paraId="6254F7B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社会公众或服务对象对项目实施效果的满意程度。</w:t>
            </w:r>
          </w:p>
        </w:tc>
        <w:tc>
          <w:tcPr>
            <w:tcW w:w="2048" w:type="pct"/>
            <w:shd w:val="clear" w:color="auto" w:fill="auto"/>
            <w:vAlign w:val="center"/>
          </w:tcPr>
          <w:p w14:paraId="50F47B9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社会公众或服务对象是指因该项目实施而受到影响的部门（单位）、群体或个人。一般采取社会调查的方式。</w:t>
            </w:r>
          </w:p>
        </w:tc>
        <w:tc>
          <w:tcPr>
            <w:tcW w:w="512" w:type="pct"/>
            <w:shd w:val="clear" w:color="auto" w:fill="auto"/>
            <w:vAlign w:val="center"/>
          </w:tcPr>
          <w:p w14:paraId="49C7228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62DECA51">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default" w:ascii="Times New Roman" w:hAnsi="Times New Roman" w:eastAsia="仿宋_GB2312" w:cs="Times New Roman"/>
                <w:b/>
                <w:bCs/>
                <w:color w:val="000000"/>
                <w:kern w:val="0"/>
                <w:sz w:val="22"/>
                <w:szCs w:val="22"/>
                <w:highlight w:val="none"/>
                <w:lang w:val="en-US" w:eastAsia="zh-CN"/>
              </w:rPr>
              <w:t>*</w:t>
            </w:r>
          </w:p>
        </w:tc>
      </w:tr>
    </w:tbl>
    <w:p w14:paraId="14AD155B">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57F5F91-5BA8-495C-BFAB-CD392F41D31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FF89D593-97C9-4114-AF4A-37C808FFAFBA}"/>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29362274-963C-4B25-90CA-405FB285391E}"/>
  </w:font>
  <w:font w:name="华文中宋">
    <w:panose1 w:val="02010600040101010101"/>
    <w:charset w:val="86"/>
    <w:family w:val="auto"/>
    <w:pitch w:val="default"/>
    <w:sig w:usb0="00000287" w:usb1="080F0000" w:usb2="00000000" w:usb3="00000000" w:csb0="0004009F" w:csb1="DFD70000"/>
    <w:embedRegular r:id="rId4" w:fontKey="{89F946BE-11B8-42AD-BF02-D34273B1204E}"/>
  </w:font>
  <w:font w:name="方正小标宋_GBK">
    <w:altName w:val="微软雅黑"/>
    <w:panose1 w:val="03000509000000000000"/>
    <w:charset w:val="86"/>
    <w:family w:val="script"/>
    <w:pitch w:val="default"/>
    <w:sig w:usb0="00000000" w:usb1="00000000" w:usb2="00000000" w:usb3="00000000" w:csb0="00040000" w:csb1="00000000"/>
    <w:embedRegular r:id="rId5" w:fontKey="{064623BB-CA53-4B87-9EF3-9E68A18ABCD4}"/>
  </w:font>
  <w:font w:name="方正楷体_GB2312">
    <w:panose1 w:val="02000000000000000000"/>
    <w:charset w:val="86"/>
    <w:family w:val="auto"/>
    <w:pitch w:val="default"/>
    <w:sig w:usb0="A00002BF" w:usb1="184F6CFA" w:usb2="00000012" w:usb3="00000000" w:csb0="00040001" w:csb1="00000000"/>
    <w:embedRegular r:id="rId6" w:fontKey="{0728F391-C8D3-4677-992D-DC833DFEA3BE}"/>
  </w:font>
  <w:font w:name="楷体_GB2312">
    <w:panose1 w:val="02010609030101010101"/>
    <w:charset w:val="86"/>
    <w:family w:val="auto"/>
    <w:pitch w:val="default"/>
    <w:sig w:usb0="00000001" w:usb1="080E0000" w:usb2="00000000" w:usb3="00000000" w:csb0="00040000" w:csb1="00000000"/>
    <w:embedRegular r:id="rId7" w:fontKey="{5689BB16-CF03-42C2-AFB0-523F2AD03C6A}"/>
  </w:font>
  <w:font w:name="方正仿宋_GBK">
    <w:altName w:val="微软雅黑"/>
    <w:panose1 w:val="03000509000000000000"/>
    <w:charset w:val="86"/>
    <w:family w:val="auto"/>
    <w:pitch w:val="default"/>
    <w:sig w:usb0="00000000" w:usb1="00000000" w:usb2="00000000" w:usb3="00000000" w:csb0="00040000" w:csb1="00000000"/>
    <w:embedRegular r:id="rId8" w:fontKey="{F555A59E-16C1-4565-9A48-5D03F6C66083}"/>
  </w:font>
  <w:font w:name="楷体">
    <w:panose1 w:val="02010609060101010101"/>
    <w:charset w:val="86"/>
    <w:family w:val="modern"/>
    <w:pitch w:val="default"/>
    <w:sig w:usb0="800002BF" w:usb1="38CF7CFA" w:usb2="00000016" w:usb3="00000000" w:csb0="00040001" w:csb1="00000000"/>
    <w:embedRegular r:id="rId9" w:fontKey="{F4D0FE48-74C5-4DAC-8EFD-AD686479F17F}"/>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8764FC3">
        <w:pPr>
          <w:pStyle w:val="7"/>
          <w:jc w:val="center"/>
        </w:pPr>
        <w:r>
          <w:fldChar w:fldCharType="begin"/>
        </w:r>
        <w:r>
          <w:instrText xml:space="preserve">PAGE   \* MERGEFORMAT</w:instrText>
        </w:r>
        <w:r>
          <w:fldChar w:fldCharType="separate"/>
        </w:r>
        <w:r>
          <w:rPr>
            <w:lang w:val="zh-CN"/>
          </w:rPr>
          <w:t>13</w:t>
        </w:r>
        <w:r>
          <w:fldChar w:fldCharType="end"/>
        </w:r>
      </w:p>
    </w:sdtContent>
  </w:sdt>
  <w:p w14:paraId="24B19A36">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08B698"/>
    <w:multiLevelType w:val="singleLevel"/>
    <w:tmpl w:val="A308B698"/>
    <w:lvl w:ilvl="0" w:tentative="0">
      <w:start w:val="2"/>
      <w:numFmt w:val="decimal"/>
      <w:suff w:val="nothing"/>
      <w:lvlText w:val="（%1）"/>
      <w:lvlJc w:val="left"/>
      <w:pPr>
        <w:ind w:left="642" w:leftChars="0" w:firstLine="0" w:firstLineChars="0"/>
      </w:p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4A35B86"/>
    <w:multiLevelType w:val="singleLevel"/>
    <w:tmpl w:val="24A35B86"/>
    <w:lvl w:ilvl="0" w:tentative="0">
      <w:start w:val="6"/>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53C532CA"/>
    <w:multiLevelType w:val="singleLevel"/>
    <w:tmpl w:val="53C532CA"/>
    <w:lvl w:ilvl="0" w:tentative="0">
      <w:start w:val="2"/>
      <w:numFmt w:val="chineseCounting"/>
      <w:suff w:val="nothing"/>
      <w:lvlText w:val="（%1）"/>
      <w:lvlJc w:val="left"/>
      <w:rPr>
        <w:rFonts w:hint="eastAsia"/>
      </w:rPr>
    </w:lvl>
  </w:abstractNum>
  <w:abstractNum w:abstractNumId="6">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1"/>
  </w:num>
  <w:num w:numId="3">
    <w:abstractNumId w:val="4"/>
  </w:num>
  <w:num w:numId="4">
    <w:abstractNumId w:val="2"/>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FF6C4049"/>
    <w:rsid w:val="006F7242"/>
    <w:rsid w:val="007B168A"/>
    <w:rsid w:val="008B2CFE"/>
    <w:rsid w:val="00F26FF6"/>
    <w:rsid w:val="0176587A"/>
    <w:rsid w:val="048C0C43"/>
    <w:rsid w:val="05FD01E5"/>
    <w:rsid w:val="07397B77"/>
    <w:rsid w:val="13471461"/>
    <w:rsid w:val="13B90F01"/>
    <w:rsid w:val="181066D2"/>
    <w:rsid w:val="18214C0B"/>
    <w:rsid w:val="1BF56E9E"/>
    <w:rsid w:val="1C671E73"/>
    <w:rsid w:val="274554FD"/>
    <w:rsid w:val="274F0D9D"/>
    <w:rsid w:val="3210328B"/>
    <w:rsid w:val="334B719E"/>
    <w:rsid w:val="36132C3E"/>
    <w:rsid w:val="38CA40DD"/>
    <w:rsid w:val="395F2B56"/>
    <w:rsid w:val="3BECE841"/>
    <w:rsid w:val="3DE77067"/>
    <w:rsid w:val="3FF7797D"/>
    <w:rsid w:val="43622373"/>
    <w:rsid w:val="442E5667"/>
    <w:rsid w:val="447B120C"/>
    <w:rsid w:val="4A185268"/>
    <w:rsid w:val="4E806449"/>
    <w:rsid w:val="501F49A0"/>
    <w:rsid w:val="56713779"/>
    <w:rsid w:val="595E6FBB"/>
    <w:rsid w:val="5BFF6039"/>
    <w:rsid w:val="5CEC7901"/>
    <w:rsid w:val="5D435C2E"/>
    <w:rsid w:val="5D76A616"/>
    <w:rsid w:val="5D7F20B9"/>
    <w:rsid w:val="5DAC7D0E"/>
    <w:rsid w:val="5DD0786A"/>
    <w:rsid w:val="5F98B5AF"/>
    <w:rsid w:val="5FFE8511"/>
    <w:rsid w:val="5FFEACE2"/>
    <w:rsid w:val="643EE26D"/>
    <w:rsid w:val="651B5F9F"/>
    <w:rsid w:val="654F1AD9"/>
    <w:rsid w:val="6727446C"/>
    <w:rsid w:val="6F5C41AC"/>
    <w:rsid w:val="6FAF6C78"/>
    <w:rsid w:val="7317C656"/>
    <w:rsid w:val="734ED73F"/>
    <w:rsid w:val="772B5869"/>
    <w:rsid w:val="77FD8BE9"/>
    <w:rsid w:val="79A9BD3F"/>
    <w:rsid w:val="7BFFFDD0"/>
    <w:rsid w:val="7C336E5F"/>
    <w:rsid w:val="7C4229B5"/>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22"/>
    <w:autoRedefine/>
    <w:qFormat/>
    <w:uiPriority w:val="0"/>
    <w:pPr>
      <w:jc w:val="left"/>
    </w:pPr>
  </w:style>
  <w:style w:type="paragraph" w:styleId="4">
    <w:name w:val="Body Text"/>
    <w:basedOn w:val="1"/>
    <w:autoRedefine/>
    <w:qFormat/>
    <w:uiPriority w:val="0"/>
    <w:pPr>
      <w:spacing w:after="120"/>
    </w:pPr>
  </w:style>
  <w:style w:type="paragraph" w:styleId="5">
    <w:name w:val="Body Text Indent"/>
    <w:basedOn w:val="1"/>
    <w:autoRedefine/>
    <w:qFormat/>
    <w:uiPriority w:val="0"/>
    <w:pPr>
      <w:spacing w:after="120"/>
      <w:ind w:left="420" w:leftChars="200"/>
    </w:pPr>
    <w:rPr>
      <w:rFonts w:ascii="Calibri" w:hAnsi="Calibri"/>
    </w:rPr>
  </w:style>
  <w:style w:type="paragraph" w:styleId="6">
    <w:name w:val="Balloon Text"/>
    <w:basedOn w:val="1"/>
    <w:link w:val="20"/>
    <w:autoRedefine/>
    <w:qFormat/>
    <w:uiPriority w:val="0"/>
    <w:rPr>
      <w:sz w:val="18"/>
      <w:szCs w:val="18"/>
    </w:rPr>
  </w:style>
  <w:style w:type="paragraph" w:styleId="7">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autoRedefine/>
    <w:qFormat/>
    <w:uiPriority w:val="11"/>
    <w:pPr>
      <w:spacing w:before="240" w:after="60" w:line="312" w:lineRule="auto"/>
      <w:jc w:val="center"/>
      <w:outlineLvl w:val="1"/>
    </w:pPr>
    <w:rPr>
      <w:b/>
      <w:bCs/>
      <w:kern w:val="28"/>
      <w:sz w:val="32"/>
      <w:szCs w:val="32"/>
    </w:rPr>
  </w:style>
  <w:style w:type="paragraph" w:styleId="10">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autoRedefine/>
    <w:qFormat/>
    <w:uiPriority w:val="0"/>
    <w:rPr>
      <w:b/>
      <w:bCs/>
    </w:rPr>
  </w:style>
  <w:style w:type="paragraph" w:styleId="12">
    <w:name w:val="Body Text First Indent"/>
    <w:basedOn w:val="4"/>
    <w:autoRedefine/>
    <w:qFormat/>
    <w:uiPriority w:val="0"/>
    <w:pPr>
      <w:spacing w:after="0"/>
      <w:ind w:firstLine="200" w:firstLineChars="200"/>
    </w:pPr>
  </w:style>
  <w:style w:type="paragraph" w:styleId="13">
    <w:name w:val="Body Text First Indent 2"/>
    <w:basedOn w:val="5"/>
    <w:autoRedefine/>
    <w:qFormat/>
    <w:uiPriority w:val="0"/>
    <w:pPr>
      <w:ind w:firstLine="420" w:firstLineChars="200"/>
    </w:pPr>
  </w:style>
  <w:style w:type="character" w:styleId="16">
    <w:name w:val="Strong"/>
    <w:basedOn w:val="15"/>
    <w:autoRedefine/>
    <w:qFormat/>
    <w:uiPriority w:val="0"/>
    <w:rPr>
      <w:b/>
      <w:bCs/>
    </w:rPr>
  </w:style>
  <w:style w:type="character" w:styleId="17">
    <w:name w:val="annotation reference"/>
    <w:basedOn w:val="15"/>
    <w:autoRedefine/>
    <w:qFormat/>
    <w:uiPriority w:val="0"/>
    <w:rPr>
      <w:sz w:val="21"/>
      <w:szCs w:val="21"/>
    </w:rPr>
  </w:style>
  <w:style w:type="character" w:customStyle="1" w:styleId="18">
    <w:name w:val="fontstyle01"/>
    <w:autoRedefine/>
    <w:qFormat/>
    <w:uiPriority w:val="0"/>
    <w:rPr>
      <w:rFonts w:ascii="仿宋_GB2312" w:hAnsi="仿宋_GB2312" w:eastAsia="仿宋_GB2312" w:cs="仿宋_GB2312"/>
      <w:color w:val="000000"/>
      <w:sz w:val="32"/>
      <w:szCs w:val="32"/>
    </w:rPr>
  </w:style>
  <w:style w:type="paragraph" w:customStyle="1" w:styleId="19">
    <w:name w:val="闻政-正文段落文字"/>
    <w:basedOn w:val="1"/>
    <w:autoRedefine/>
    <w:qFormat/>
    <w:uiPriority w:val="3"/>
    <w:pPr>
      <w:spacing w:line="500" w:lineRule="exact"/>
      <w:ind w:firstLine="200"/>
    </w:pPr>
    <w:rPr>
      <w:kern w:val="0"/>
      <w:szCs w:val="28"/>
    </w:rPr>
  </w:style>
  <w:style w:type="character" w:customStyle="1" w:styleId="20">
    <w:name w:val="批注框文本 字符"/>
    <w:basedOn w:val="15"/>
    <w:link w:val="6"/>
    <w:autoRedefine/>
    <w:qFormat/>
    <w:uiPriority w:val="0"/>
    <w:rPr>
      <w:rFonts w:ascii="Times New Roman" w:hAnsi="Times New Roman" w:eastAsia="宋体" w:cs="Times New Roman"/>
      <w:kern w:val="2"/>
      <w:sz w:val="18"/>
      <w:szCs w:val="18"/>
    </w:rPr>
  </w:style>
  <w:style w:type="character" w:customStyle="1" w:styleId="21">
    <w:name w:val="页眉 字符"/>
    <w:basedOn w:val="15"/>
    <w:link w:val="8"/>
    <w:autoRedefine/>
    <w:qFormat/>
    <w:uiPriority w:val="0"/>
    <w:rPr>
      <w:rFonts w:ascii="Times New Roman" w:hAnsi="Times New Roman" w:eastAsia="宋体" w:cs="Times New Roman"/>
      <w:kern w:val="2"/>
      <w:sz w:val="18"/>
      <w:szCs w:val="18"/>
    </w:rPr>
  </w:style>
  <w:style w:type="character" w:customStyle="1" w:styleId="22">
    <w:name w:val="批注文字 字符"/>
    <w:basedOn w:val="15"/>
    <w:link w:val="3"/>
    <w:autoRedefine/>
    <w:qFormat/>
    <w:uiPriority w:val="0"/>
    <w:rPr>
      <w:rFonts w:ascii="Times New Roman" w:hAnsi="Times New Roman" w:eastAsia="宋体" w:cs="Times New Roman"/>
      <w:kern w:val="2"/>
      <w:sz w:val="21"/>
      <w:szCs w:val="24"/>
    </w:rPr>
  </w:style>
  <w:style w:type="character" w:customStyle="1" w:styleId="23">
    <w:name w:val="批注主题 字符"/>
    <w:basedOn w:val="22"/>
    <w:link w:val="11"/>
    <w:autoRedefine/>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8356</Words>
  <Characters>8790</Characters>
  <Lines>58</Lines>
  <Paragraphs>16</Paragraphs>
  <TotalTime>15</TotalTime>
  <ScaleCrop>false</ScaleCrop>
  <LinksUpToDate>false</LinksUpToDate>
  <CharactersWithSpaces>8805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想不到的瑞</cp:lastModifiedBy>
  <dcterms:modified xsi:type="dcterms:W3CDTF">2024-10-18T03:37:59Z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1F79DA1A350E44D48038ABFD9616C49E_13</vt:lpwstr>
  </property>
</Properties>
</file>