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01284D">
      <w:pPr>
        <w:spacing w:line="540" w:lineRule="exact"/>
        <w:jc w:val="center"/>
        <w:rPr>
          <w:rFonts w:hint="default" w:ascii="Times New Roman" w:hAnsi="Times New Roman" w:eastAsia="华文中宋" w:cs="Times New Roman"/>
          <w:b/>
          <w:kern w:val="0"/>
          <w:sz w:val="52"/>
          <w:szCs w:val="52"/>
        </w:rPr>
      </w:pPr>
    </w:p>
    <w:p w14:paraId="12AF3FF2">
      <w:pPr>
        <w:spacing w:line="540" w:lineRule="exact"/>
        <w:rPr>
          <w:rFonts w:hint="default" w:ascii="Times New Roman" w:hAnsi="Times New Roman" w:eastAsia="华文中宋" w:cs="Times New Roman"/>
          <w:b/>
          <w:kern w:val="0"/>
          <w:sz w:val="52"/>
          <w:szCs w:val="52"/>
        </w:rPr>
      </w:pPr>
    </w:p>
    <w:p w14:paraId="7B469113">
      <w:pPr>
        <w:spacing w:line="540" w:lineRule="exact"/>
        <w:jc w:val="center"/>
        <w:rPr>
          <w:rFonts w:hint="default" w:ascii="Times New Roman" w:hAnsi="Times New Roman" w:eastAsia="华文中宋" w:cs="Times New Roman"/>
          <w:b/>
          <w:kern w:val="0"/>
          <w:sz w:val="52"/>
          <w:szCs w:val="52"/>
        </w:rPr>
      </w:pPr>
    </w:p>
    <w:p w14:paraId="13A03DF8">
      <w:pPr>
        <w:spacing w:line="540" w:lineRule="exact"/>
        <w:jc w:val="center"/>
        <w:rPr>
          <w:rFonts w:hint="default" w:ascii="Times New Roman" w:hAnsi="Times New Roman" w:eastAsia="华文中宋" w:cs="Times New Roman"/>
          <w:b/>
          <w:kern w:val="0"/>
          <w:sz w:val="52"/>
          <w:szCs w:val="52"/>
        </w:rPr>
      </w:pPr>
    </w:p>
    <w:p w14:paraId="095965D8">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黑体" w:cs="Times New Roman"/>
          <w:kern w:val="0"/>
          <w:sz w:val="48"/>
          <w:szCs w:val="48"/>
          <w:lang w:val="en-US" w:eastAsia="zh-CN"/>
        </w:rPr>
        <w:t>建设大厦消防维修完善工程</w:t>
      </w:r>
      <w:r>
        <w:rPr>
          <w:rFonts w:hint="eastAsia" w:eastAsia="黑体" w:cs="Times New Roman"/>
          <w:kern w:val="0"/>
          <w:sz w:val="48"/>
          <w:szCs w:val="48"/>
          <w:lang w:val="en-US" w:eastAsia="zh-CN"/>
        </w:rPr>
        <w:t>项目</w:t>
      </w:r>
      <w:r>
        <w:rPr>
          <w:rFonts w:hint="default" w:ascii="Times New Roman" w:hAnsi="Times New Roman" w:eastAsia="黑体" w:cs="Times New Roman"/>
          <w:kern w:val="0"/>
          <w:sz w:val="48"/>
          <w:szCs w:val="48"/>
        </w:rPr>
        <w:t>支出绩效评价报告</w:t>
      </w:r>
    </w:p>
    <w:p w14:paraId="6C5551A5">
      <w:pPr>
        <w:spacing w:line="540" w:lineRule="exact"/>
        <w:jc w:val="center"/>
        <w:rPr>
          <w:rFonts w:hint="default" w:ascii="Times New Roman" w:hAnsi="Times New Roman" w:eastAsia="华文中宋" w:cs="Times New Roman"/>
          <w:b/>
          <w:kern w:val="0"/>
          <w:sz w:val="52"/>
          <w:szCs w:val="52"/>
        </w:rPr>
      </w:pPr>
    </w:p>
    <w:p w14:paraId="4E2E3225">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 202</w:t>
      </w:r>
      <w:r>
        <w:rPr>
          <w:rFonts w:hint="default" w:ascii="Times New Roman" w:hAnsi="Times New Roman"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年度）</w:t>
      </w:r>
    </w:p>
    <w:p w14:paraId="49CD9B86">
      <w:pPr>
        <w:spacing w:line="540" w:lineRule="exact"/>
        <w:jc w:val="center"/>
        <w:rPr>
          <w:rFonts w:hint="default" w:ascii="Times New Roman" w:hAnsi="Times New Roman" w:eastAsia="仿宋_GB2312" w:cs="Times New Roman"/>
          <w:kern w:val="0"/>
          <w:sz w:val="30"/>
          <w:szCs w:val="30"/>
        </w:rPr>
      </w:pPr>
    </w:p>
    <w:p w14:paraId="410625A3">
      <w:pPr>
        <w:spacing w:line="540" w:lineRule="exact"/>
        <w:jc w:val="center"/>
        <w:rPr>
          <w:rFonts w:hint="default" w:ascii="Times New Roman" w:hAnsi="Times New Roman" w:eastAsia="仿宋_GB2312" w:cs="Times New Roman"/>
          <w:kern w:val="0"/>
          <w:sz w:val="30"/>
          <w:szCs w:val="30"/>
        </w:rPr>
      </w:pPr>
    </w:p>
    <w:p w14:paraId="30554B84">
      <w:pPr>
        <w:spacing w:line="540" w:lineRule="exact"/>
        <w:jc w:val="center"/>
        <w:rPr>
          <w:rFonts w:hint="default" w:ascii="Times New Roman" w:hAnsi="Times New Roman" w:eastAsia="仿宋_GB2312" w:cs="Times New Roman"/>
          <w:kern w:val="0"/>
          <w:sz w:val="30"/>
          <w:szCs w:val="30"/>
        </w:rPr>
      </w:pPr>
    </w:p>
    <w:p w14:paraId="5AB0D166">
      <w:pPr>
        <w:pStyle w:val="10"/>
        <w:rPr>
          <w:rFonts w:hint="default" w:ascii="Times New Roman" w:hAnsi="Times New Roman" w:cs="Times New Roman"/>
        </w:rPr>
      </w:pPr>
    </w:p>
    <w:p w14:paraId="1C64A490">
      <w:pPr>
        <w:spacing w:line="540" w:lineRule="exact"/>
        <w:jc w:val="center"/>
        <w:rPr>
          <w:rFonts w:hint="default" w:ascii="Times New Roman" w:hAnsi="Times New Roman" w:eastAsia="仿宋_GB2312" w:cs="Times New Roman"/>
          <w:kern w:val="0"/>
          <w:sz w:val="30"/>
          <w:szCs w:val="30"/>
        </w:rPr>
      </w:pPr>
    </w:p>
    <w:p w14:paraId="3E902C08">
      <w:pPr>
        <w:spacing w:line="540" w:lineRule="exact"/>
        <w:rPr>
          <w:rFonts w:hint="default" w:ascii="Times New Roman" w:hAnsi="Times New Roman" w:eastAsia="仿宋_GB2312" w:cs="Times New Roman"/>
          <w:kern w:val="0"/>
          <w:sz w:val="30"/>
          <w:szCs w:val="30"/>
        </w:rPr>
      </w:pPr>
    </w:p>
    <w:p w14:paraId="68B66695">
      <w:pPr>
        <w:spacing w:line="700" w:lineRule="exact"/>
        <w:ind w:firstLine="1440" w:firstLineChars="400"/>
        <w:jc w:val="left"/>
        <w:rPr>
          <w:rFonts w:hint="eastAsia"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项目名称：</w:t>
      </w:r>
      <w:r>
        <w:rPr>
          <w:rFonts w:hint="eastAsia" w:eastAsia="仿宋_GB2312" w:cs="Times New Roman"/>
          <w:kern w:val="0"/>
          <w:sz w:val="36"/>
          <w:szCs w:val="36"/>
          <w:lang w:val="en-US" w:eastAsia="zh-CN"/>
        </w:rPr>
        <w:t>建设大厦消防维修完善工程</w:t>
      </w:r>
    </w:p>
    <w:p w14:paraId="5667FFF3">
      <w:pPr>
        <w:spacing w:line="700" w:lineRule="exact"/>
        <w:ind w:left="1436" w:leftChars="684" w:firstLine="0" w:firstLineChars="0"/>
        <w:jc w:val="left"/>
        <w:rPr>
          <w:rFonts w:hint="eastAsia"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实施单位（公章）：</w:t>
      </w:r>
      <w:r>
        <w:rPr>
          <w:rFonts w:hint="eastAsia" w:eastAsia="仿宋_GB2312" w:cs="Times New Roman"/>
          <w:kern w:val="0"/>
          <w:sz w:val="36"/>
          <w:szCs w:val="36"/>
          <w:lang w:val="en-US" w:eastAsia="zh-CN"/>
        </w:rPr>
        <w:t>哈密市住房和城乡建设局</w:t>
      </w:r>
      <w:r>
        <w:rPr>
          <w:rFonts w:hint="default" w:ascii="Times New Roman" w:hAnsi="Times New Roman" w:eastAsia="仿宋_GB2312" w:cs="Times New Roman"/>
          <w:kern w:val="0"/>
          <w:sz w:val="36"/>
          <w:szCs w:val="36"/>
        </w:rPr>
        <w:t>主管部门（公章）：</w:t>
      </w:r>
      <w:r>
        <w:rPr>
          <w:rFonts w:hint="eastAsia" w:eastAsia="仿宋_GB2312" w:cs="Times New Roman"/>
          <w:kern w:val="0"/>
          <w:sz w:val="36"/>
          <w:szCs w:val="36"/>
          <w:lang w:val="en-US" w:eastAsia="zh-CN"/>
        </w:rPr>
        <w:t>哈密市住房和城乡建设局</w:t>
      </w:r>
    </w:p>
    <w:p w14:paraId="7CC9C558">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项目负责人（签章）：</w:t>
      </w:r>
      <w:r>
        <w:rPr>
          <w:rFonts w:hint="eastAsia" w:eastAsia="仿宋_GB2312" w:cs="Times New Roman"/>
          <w:kern w:val="0"/>
          <w:sz w:val="36"/>
          <w:szCs w:val="36"/>
          <w:lang w:val="en-US" w:eastAsia="zh-CN"/>
        </w:rPr>
        <w:t>朱世忠</w:t>
      </w:r>
    </w:p>
    <w:p w14:paraId="2EF75068">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default" w:ascii="Times New Roman" w:hAnsi="Times New Roman" w:eastAsia="仿宋_GB2312" w:cs="Times New Roman"/>
          <w:kern w:val="0"/>
          <w:sz w:val="36"/>
          <w:szCs w:val="36"/>
          <w:lang w:val="en-US" w:eastAsia="zh-CN"/>
        </w:rPr>
        <w:t>2024</w:t>
      </w:r>
      <w:r>
        <w:rPr>
          <w:rFonts w:hint="default" w:ascii="Times New Roman" w:hAnsi="Times New Roman" w:eastAsia="仿宋_GB2312" w:cs="Times New Roman"/>
          <w:kern w:val="0"/>
          <w:sz w:val="36"/>
          <w:szCs w:val="36"/>
        </w:rPr>
        <w:t>年</w:t>
      </w:r>
      <w:r>
        <w:rPr>
          <w:rFonts w:hint="eastAsia"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月</w:t>
      </w:r>
      <w:r>
        <w:rPr>
          <w:rFonts w:hint="eastAsia" w:eastAsia="仿宋_GB2312" w:cs="Times New Roman"/>
          <w:kern w:val="0"/>
          <w:sz w:val="36"/>
          <w:szCs w:val="36"/>
          <w:lang w:val="en-US" w:eastAsia="zh-CN"/>
        </w:rPr>
        <w:t>7</w:t>
      </w:r>
      <w:r>
        <w:rPr>
          <w:rFonts w:hint="default" w:ascii="Times New Roman" w:hAnsi="Times New Roman" w:eastAsia="仿宋_GB2312" w:cs="Times New Roman"/>
          <w:kern w:val="0"/>
          <w:sz w:val="36"/>
          <w:szCs w:val="36"/>
        </w:rPr>
        <w:t>日</w:t>
      </w:r>
    </w:p>
    <w:p w14:paraId="113404EE">
      <w:pPr>
        <w:spacing w:line="540" w:lineRule="exact"/>
        <w:jc w:val="center"/>
        <w:rPr>
          <w:rFonts w:hint="default" w:ascii="Times New Roman" w:hAnsi="Times New Roman" w:eastAsia="仿宋_GB2312" w:cs="Times New Roman"/>
          <w:kern w:val="0"/>
          <w:sz w:val="30"/>
          <w:szCs w:val="30"/>
        </w:rPr>
      </w:pPr>
    </w:p>
    <w:p w14:paraId="26943A36">
      <w:pPr>
        <w:spacing w:line="560" w:lineRule="exact"/>
        <w:rPr>
          <w:rFonts w:hint="default" w:ascii="Times New Roman" w:hAnsi="Times New Roman" w:eastAsia="黑体" w:cs="Times New Roman"/>
          <w:bCs/>
          <w:sz w:val="32"/>
          <w:szCs w:val="32"/>
        </w:rPr>
        <w:sectPr>
          <w:footerReference r:id="rId3" w:type="default"/>
          <w:pgSz w:w="11906" w:h="16838"/>
          <w:pgMar w:top="1440" w:right="1558" w:bottom="1440" w:left="1800" w:header="851" w:footer="992" w:gutter="0"/>
          <w:cols w:space="425" w:num="1"/>
          <w:docGrid w:type="lines" w:linePitch="312" w:charSpace="0"/>
        </w:sectPr>
      </w:pPr>
    </w:p>
    <w:p w14:paraId="2480F177">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67EA52C1">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（一）项目概况</w:t>
      </w:r>
    </w:p>
    <w:p w14:paraId="44ADBF37">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7AA2AF86">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市建设大厦目前的大部分消防安全设施已经多年老化，使用过程中故障频出，已不适应当前哈密市消防安全应急标准和工作要求，目前此整改事项消防救援支队已上报市纪委监委，要求限期整改。根据国家、自治区相关消防安全管理规范要求，为进一步加强市建设大厦消防安全措施和管理工作，杜绝市建设大厦出现消防安全事故</w:t>
      </w:r>
      <w:r>
        <w:rPr>
          <w:rFonts w:hint="eastAsia" w:eastAsia="仿宋_GB2312" w:cs="Times New Roman"/>
          <w:sz w:val="32"/>
          <w:szCs w:val="32"/>
          <w:lang w:eastAsia="zh-CN"/>
        </w:rPr>
        <w:t>。</w:t>
      </w:r>
    </w:p>
    <w:p w14:paraId="53C44EF9">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项目主要内容</w:t>
      </w:r>
    </w:p>
    <w:p w14:paraId="632EB7F4">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建设大厦消防</w:t>
      </w:r>
      <w:r>
        <w:rPr>
          <w:rFonts w:hint="eastAsia" w:eastAsia="仿宋_GB2312" w:cs="Times New Roman"/>
          <w:sz w:val="32"/>
          <w:szCs w:val="32"/>
          <w:lang w:eastAsia="zh-CN"/>
        </w:rPr>
        <w:t>维</w:t>
      </w:r>
      <w:r>
        <w:rPr>
          <w:rFonts w:hint="default" w:ascii="Times New Roman" w:hAnsi="Times New Roman" w:eastAsia="仿宋_GB2312" w:cs="Times New Roman"/>
          <w:sz w:val="32"/>
          <w:szCs w:val="32"/>
        </w:rPr>
        <w:t>修完善工程项目对建筑面积约13000平方米哈密建设大厦的消防设施进行改造，包括</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火灾报警系统、消防电话系统、消防联动系统、应急疏散灯系统、高位水箱间、水泵房、室内消火栓系统、自动喷淋灭火系统，防排烟系统、气体灭火系统、消防管网系统、防火门、管道井、电气线路、三化标识等维修、更换及增设。</w:t>
      </w:r>
    </w:p>
    <w:p w14:paraId="496049C2">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3.资金投入和使用情况</w:t>
      </w:r>
    </w:p>
    <w:p w14:paraId="5DCC22F3">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（1）资金投入情况</w:t>
      </w:r>
    </w:p>
    <w:p w14:paraId="655B066F">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 建设大厦消防维修完善工程项目2023年总预算资金</w:t>
      </w:r>
      <w:r>
        <w:rPr>
          <w:rFonts w:hint="eastAsia" w:eastAsia="仿宋_GB2312" w:cs="Times New Roman"/>
          <w:sz w:val="32"/>
          <w:szCs w:val="32"/>
          <w:lang w:val="en-US" w:eastAsia="zh-CN"/>
        </w:rPr>
        <w:t>350</w:t>
      </w:r>
      <w:r>
        <w:rPr>
          <w:rFonts w:hint="default" w:ascii="Times New Roman" w:hAnsi="Times New Roman" w:eastAsia="仿宋_GB2312" w:cs="Times New Roman"/>
          <w:sz w:val="32"/>
          <w:szCs w:val="32"/>
          <w:lang w:val="en-US" w:eastAsia="zh-CN"/>
        </w:rPr>
        <w:t>万元，项目资金为</w:t>
      </w:r>
      <w:r>
        <w:rPr>
          <w:rFonts w:hint="eastAsia" w:eastAsia="仿宋_GB2312" w:cs="Times New Roman"/>
          <w:sz w:val="32"/>
          <w:szCs w:val="32"/>
          <w:lang w:val="en-US" w:eastAsia="zh-CN"/>
        </w:rPr>
        <w:t>市本级</w:t>
      </w:r>
      <w:r>
        <w:rPr>
          <w:rFonts w:hint="default" w:ascii="Times New Roman" w:hAnsi="Times New Roman" w:eastAsia="仿宋_GB2312" w:cs="Times New Roman"/>
          <w:sz w:val="32"/>
          <w:szCs w:val="32"/>
          <w:lang w:val="en-US" w:eastAsia="zh-CN"/>
        </w:rPr>
        <w:t>财政资金，项目资金到位数</w:t>
      </w:r>
      <w:r>
        <w:rPr>
          <w:rFonts w:hint="eastAsia" w:eastAsia="仿宋_GB2312" w:cs="Times New Roman"/>
          <w:sz w:val="32"/>
          <w:szCs w:val="32"/>
          <w:lang w:val="en-US" w:eastAsia="zh-CN"/>
        </w:rPr>
        <w:t>350</w:t>
      </w:r>
      <w:r>
        <w:rPr>
          <w:rFonts w:hint="default" w:ascii="Times New Roman" w:hAnsi="Times New Roman" w:eastAsia="仿宋_GB2312" w:cs="Times New Roman"/>
          <w:sz w:val="32"/>
          <w:szCs w:val="32"/>
          <w:lang w:val="en-US" w:eastAsia="zh-CN"/>
        </w:rPr>
        <w:t>万元，资金到位率</w:t>
      </w:r>
      <w:r>
        <w:rPr>
          <w:rFonts w:hint="eastAsia"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p>
    <w:p w14:paraId="582C692B">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（2）资金使用情况</w:t>
      </w:r>
    </w:p>
    <w:p w14:paraId="1B8DC503">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建设大厦消防维修完善工程</w:t>
      </w:r>
      <w:r>
        <w:rPr>
          <w:rFonts w:hint="eastAsia" w:eastAsia="仿宋_GB2312" w:cs="Times New Roman"/>
          <w:sz w:val="32"/>
          <w:szCs w:val="32"/>
          <w:lang w:val="en-US" w:eastAsia="zh-CN"/>
        </w:rPr>
        <w:t>项目</w:t>
      </w:r>
      <w:r>
        <w:rPr>
          <w:rFonts w:hint="default" w:ascii="Times New Roman" w:hAnsi="Times New Roman" w:eastAsia="仿宋_GB2312" w:cs="Times New Roman"/>
          <w:sz w:val="32"/>
          <w:szCs w:val="32"/>
          <w:lang w:val="en-US" w:eastAsia="zh-CN"/>
        </w:rPr>
        <w:t>年初预算数</w:t>
      </w:r>
      <w:r>
        <w:rPr>
          <w:rFonts w:hint="eastAsia" w:eastAsia="仿宋_GB2312" w:cs="Times New Roman"/>
          <w:sz w:val="32"/>
          <w:szCs w:val="32"/>
          <w:lang w:val="en-US" w:eastAsia="zh-CN"/>
        </w:rPr>
        <w:t>350</w:t>
      </w:r>
      <w:r>
        <w:rPr>
          <w:rFonts w:hint="default" w:ascii="Times New Roman" w:hAnsi="Times New Roman" w:eastAsia="仿宋_GB2312" w:cs="Times New Roman"/>
          <w:sz w:val="32"/>
          <w:szCs w:val="32"/>
          <w:lang w:val="en-US" w:eastAsia="zh-CN"/>
        </w:rPr>
        <w:t>万元，全年预算数为</w:t>
      </w:r>
      <w:r>
        <w:rPr>
          <w:rFonts w:hint="eastAsia" w:eastAsia="仿宋_GB2312" w:cs="Times New Roman"/>
          <w:sz w:val="32"/>
          <w:szCs w:val="32"/>
          <w:lang w:val="en-US" w:eastAsia="zh-CN"/>
        </w:rPr>
        <w:t>350</w:t>
      </w:r>
      <w:r>
        <w:rPr>
          <w:rFonts w:hint="default" w:ascii="Times New Roman" w:hAnsi="Times New Roman" w:eastAsia="仿宋_GB2312" w:cs="Times New Roman"/>
          <w:sz w:val="32"/>
          <w:szCs w:val="32"/>
          <w:lang w:val="en-US" w:eastAsia="zh-CN"/>
        </w:rPr>
        <w:t>万元，</w:t>
      </w:r>
      <w:r>
        <w:rPr>
          <w:rFonts w:hint="eastAsia" w:ascii="Times New Roman" w:hAnsi="Times New Roman" w:eastAsia="仿宋_GB2312" w:cs="Times New Roman"/>
          <w:sz w:val="32"/>
          <w:szCs w:val="32"/>
          <w:lang w:val="en-US" w:eastAsia="zh-CN"/>
        </w:rPr>
        <w:t>截至2023年</w:t>
      </w:r>
      <w:r>
        <w:rPr>
          <w:rFonts w:hint="default" w:ascii="Times New Roman" w:hAnsi="Times New Roman" w:eastAsia="仿宋_GB2312" w:cs="Times New Roman"/>
          <w:sz w:val="32"/>
          <w:szCs w:val="32"/>
          <w:lang w:val="en-US" w:eastAsia="zh-CN"/>
        </w:rPr>
        <w:t>12月31日全年执行数240.75万元，预算执行率为</w:t>
      </w:r>
      <w:r>
        <w:rPr>
          <w:rFonts w:hint="eastAsia" w:eastAsia="仿宋_GB2312" w:cs="Times New Roman"/>
          <w:sz w:val="32"/>
          <w:szCs w:val="32"/>
          <w:lang w:val="en-US" w:eastAsia="zh-CN"/>
        </w:rPr>
        <w:t>68.79</w:t>
      </w:r>
      <w:r>
        <w:rPr>
          <w:rFonts w:hint="default" w:ascii="Times New Roman" w:hAnsi="Times New Roman" w:eastAsia="仿宋_GB2312" w:cs="Times New Roman"/>
          <w:sz w:val="32"/>
          <w:szCs w:val="32"/>
          <w:lang w:val="en-US" w:eastAsia="zh-CN"/>
        </w:rPr>
        <w:t>%，项目资金主要用于支付哈密建设大厦的消防设施</w:t>
      </w:r>
      <w:r>
        <w:rPr>
          <w:rFonts w:hint="eastAsia" w:eastAsia="仿宋_GB2312" w:cs="Times New Roman"/>
          <w:sz w:val="32"/>
          <w:szCs w:val="32"/>
          <w:lang w:val="en-US" w:eastAsia="zh-CN"/>
        </w:rPr>
        <w:t>改造相关费用</w:t>
      </w:r>
      <w:r>
        <w:rPr>
          <w:rFonts w:hint="default" w:ascii="Times New Roman" w:hAnsi="Times New Roman" w:eastAsia="仿宋_GB2312" w:cs="Times New Roman"/>
          <w:sz w:val="32"/>
          <w:szCs w:val="32"/>
          <w:lang w:val="en-US" w:eastAsia="zh-CN"/>
        </w:rPr>
        <w:t>。</w:t>
      </w:r>
    </w:p>
    <w:p w14:paraId="00115B48">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4.</w:t>
      </w:r>
      <w:r>
        <w:rPr>
          <w:rFonts w:hint="default" w:ascii="Times New Roman" w:hAnsi="Times New Roman" w:eastAsia="仿宋_GB2312" w:cs="Times New Roman"/>
          <w:b/>
          <w:bCs/>
          <w:sz w:val="32"/>
          <w:szCs w:val="32"/>
        </w:rPr>
        <w:t>实施情况</w:t>
      </w:r>
    </w:p>
    <w:p w14:paraId="17BE67A5">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建设大厦消防</w:t>
      </w:r>
      <w:r>
        <w:rPr>
          <w:rFonts w:hint="eastAsia" w:eastAsia="仿宋_GB2312" w:cs="Times New Roman"/>
          <w:sz w:val="32"/>
          <w:szCs w:val="32"/>
          <w:lang w:eastAsia="zh-CN"/>
        </w:rPr>
        <w:t>维</w:t>
      </w:r>
      <w:r>
        <w:rPr>
          <w:rFonts w:hint="default" w:ascii="Times New Roman" w:hAnsi="Times New Roman" w:eastAsia="仿宋_GB2312" w:cs="Times New Roman"/>
          <w:sz w:val="32"/>
          <w:szCs w:val="32"/>
        </w:rPr>
        <w:t>修完善工程项目2023年完成改造面积13000平方米，</w:t>
      </w:r>
      <w:r>
        <w:rPr>
          <w:rFonts w:hint="eastAsia" w:eastAsia="仿宋_GB2312" w:cs="Times New Roman"/>
          <w:sz w:val="32"/>
          <w:szCs w:val="32"/>
          <w:lang w:val="en-US" w:eastAsia="zh-CN"/>
        </w:rPr>
        <w:t>目前已完成93%的改造工程，二楼因前期手续不全，导致无法施工。</w:t>
      </w:r>
      <w:r>
        <w:rPr>
          <w:rFonts w:hint="default" w:ascii="Times New Roman" w:hAnsi="Times New Roman" w:eastAsia="仿宋_GB2312" w:cs="Times New Roman"/>
          <w:sz w:val="32"/>
          <w:szCs w:val="32"/>
        </w:rPr>
        <w:t>改造内容包括</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火灾报警系统、自动喷淋灭火系统</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防排烟系统、三化标识。消防电话系统、消防联动系统、应急疏散灯系统、高位水箱间、水泵房、室内消火栓系统、气体灭火系统、消防管网系统、防火门、管道井、电气线路等已完成维修、更换及增设。</w:t>
      </w:r>
    </w:p>
    <w:p w14:paraId="0898E87D">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楷体" w:hAnsi="楷体" w:eastAsia="楷体" w:cs="楷体"/>
          <w:b/>
          <w:bCs/>
          <w:sz w:val="32"/>
          <w:szCs w:val="32"/>
        </w:rPr>
      </w:pPr>
      <w:r>
        <w:rPr>
          <w:rFonts w:hint="eastAsia" w:ascii="楷体" w:hAnsi="楷体" w:eastAsia="楷体" w:cs="楷体"/>
          <w:b/>
          <w:bCs/>
          <w:sz w:val="32"/>
          <w:szCs w:val="32"/>
        </w:rPr>
        <w:t>（二）项目绩效目标</w:t>
      </w:r>
    </w:p>
    <w:p w14:paraId="2B571495">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1.总体目标</w:t>
      </w:r>
    </w:p>
    <w:p w14:paraId="45A82B8A">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建设大厦消防</w:t>
      </w:r>
      <w:r>
        <w:rPr>
          <w:rFonts w:hint="eastAsia" w:eastAsia="仿宋_GB2312" w:cs="Times New Roman"/>
          <w:sz w:val="32"/>
          <w:szCs w:val="32"/>
          <w:lang w:val="en-US" w:eastAsia="zh-CN"/>
        </w:rPr>
        <w:t>维</w:t>
      </w:r>
      <w:r>
        <w:rPr>
          <w:rFonts w:hint="default" w:ascii="Times New Roman" w:hAnsi="Times New Roman" w:eastAsia="仿宋_GB2312" w:cs="Times New Roman"/>
          <w:sz w:val="32"/>
          <w:szCs w:val="32"/>
          <w:lang w:val="en-US" w:eastAsia="zh-CN"/>
        </w:rPr>
        <w:t>修完善工程项目350万元，项目用于对建筑面积约13000平方米哈密建设大厦的消防设施进行改造，改造内容包括</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火灾报警系统、消防电话系统、消防联动系统、应急疏散灯系统、高位水箱间、水泵房、室内消火栓系统、自动喷淋灭火系统，防排烟系统、气体灭火系统、消防管网系统、防火门、管道井、电气线路、三化标识等维修、更换及增设。项目完成后有效降低火灾发生隐患，提升火灾防控能力。</w:t>
      </w:r>
    </w:p>
    <w:p w14:paraId="5BE00CF7">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2.阶段性目标</w:t>
      </w:r>
    </w:p>
    <w:p w14:paraId="6590081E">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eastAsia="仿宋_GB2312" w:cs="Times New Roman"/>
          <w:sz w:val="32"/>
          <w:szCs w:val="32"/>
          <w:lang w:val="en-US" w:eastAsia="zh-CN"/>
        </w:rPr>
      </w:pPr>
      <w:r>
        <w:rPr>
          <w:rFonts w:hint="eastAsia" w:eastAsia="仿宋_GB2312" w:cs="Times New Roman"/>
          <w:sz w:val="32"/>
          <w:szCs w:val="32"/>
          <w:lang w:val="en-US" w:eastAsia="zh-CN"/>
        </w:rPr>
        <w:t>准备阶段（1-2月）</w:t>
      </w:r>
    </w:p>
    <w:p w14:paraId="25E03551">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eastAsia="仿宋_GB2312" w:cs="Times New Roman"/>
          <w:sz w:val="32"/>
          <w:szCs w:val="32"/>
          <w:lang w:val="en-US" w:eastAsia="zh-CN"/>
        </w:rPr>
      </w:pPr>
      <w:r>
        <w:rPr>
          <w:rFonts w:hint="eastAsia" w:eastAsia="仿宋_GB2312" w:cs="Times New Roman"/>
          <w:sz w:val="32"/>
          <w:szCs w:val="32"/>
          <w:lang w:val="en-US" w:eastAsia="zh-CN"/>
        </w:rPr>
        <w:t>制定项目实施方案，落实项目实施地点，确定项目负责，分解项目任务。</w:t>
      </w:r>
    </w:p>
    <w:p w14:paraId="57953617">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eastAsia="仿宋_GB2312" w:cs="Times New Roman"/>
          <w:sz w:val="32"/>
          <w:szCs w:val="32"/>
          <w:lang w:val="en-US" w:eastAsia="zh-CN"/>
        </w:rPr>
      </w:pPr>
      <w:r>
        <w:rPr>
          <w:rFonts w:hint="eastAsia" w:eastAsia="仿宋_GB2312" w:cs="Times New Roman"/>
          <w:sz w:val="32"/>
          <w:szCs w:val="32"/>
          <w:lang w:val="en-US" w:eastAsia="zh-CN"/>
        </w:rPr>
        <w:t>项目实施阶段（3-11月）</w:t>
      </w:r>
    </w:p>
    <w:p w14:paraId="089F3A58">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eastAsia="仿宋_GB2312" w:cs="Times New Roman"/>
          <w:sz w:val="32"/>
          <w:szCs w:val="32"/>
          <w:lang w:val="en-US" w:eastAsia="zh-CN"/>
        </w:rPr>
      </w:pPr>
      <w:r>
        <w:rPr>
          <w:rFonts w:hint="eastAsia" w:eastAsia="仿宋_GB2312" w:cs="Times New Roman"/>
          <w:sz w:val="32"/>
          <w:szCs w:val="32"/>
          <w:lang w:val="en-US" w:eastAsia="zh-CN"/>
        </w:rPr>
        <w:t>组织开展</w:t>
      </w:r>
      <w:r>
        <w:rPr>
          <w:rFonts w:hint="default" w:ascii="Times New Roman" w:hAnsi="Times New Roman" w:eastAsia="仿宋_GB2312" w:cs="Times New Roman"/>
          <w:sz w:val="32"/>
          <w:szCs w:val="32"/>
          <w:lang w:val="en-US" w:eastAsia="zh-CN"/>
        </w:rPr>
        <w:t>哈密建设大厦的消防设施进行改造</w:t>
      </w:r>
      <w:r>
        <w:rPr>
          <w:rFonts w:hint="eastAsia" w:ascii="Times New Roman" w:hAnsi="Times New Roman" w:eastAsia="仿宋_GB2312" w:cs="Times New Roman"/>
          <w:sz w:val="32"/>
          <w:szCs w:val="32"/>
          <w:lang w:val="en-US" w:eastAsia="zh-CN"/>
        </w:rPr>
        <w:t>工程，做好项目工程质量监督工作，做好资料存档留档。</w:t>
      </w:r>
    </w:p>
    <w:p w14:paraId="19E5523B">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项目总结阶段（12月）</w:t>
      </w:r>
    </w:p>
    <w:p w14:paraId="70577BA0">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eastAsia="仿宋_GB2312" w:cs="Times New Roman"/>
          <w:sz w:val="32"/>
          <w:szCs w:val="32"/>
          <w:lang w:val="en-US" w:eastAsia="zh-CN"/>
        </w:rPr>
      </w:pPr>
      <w:r>
        <w:rPr>
          <w:rFonts w:hint="eastAsia" w:ascii="仿宋_GB2312" w:hAnsi="仿宋_GB2312" w:eastAsia="仿宋_GB2312" w:cs="仿宋_GB2312"/>
          <w:b w:val="0"/>
          <w:bCs w:val="0"/>
          <w:sz w:val="32"/>
          <w:szCs w:val="32"/>
          <w:lang w:val="en-US" w:eastAsia="zh-CN"/>
        </w:rPr>
        <w:t>项目均已完成相关工作，统计项目建设完成的具体工程量效果，做好工作经验总结，汇总项目存在的问题，落实工程建设质量整改。</w:t>
      </w:r>
    </w:p>
    <w:p w14:paraId="1222A5D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70D0655D">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（一）绩效评价目的、对象和范围</w:t>
      </w:r>
    </w:p>
    <w:p w14:paraId="78BAFBEE">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绩效评价的目的</w:t>
      </w:r>
    </w:p>
    <w:p w14:paraId="0FE10A62">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54A75904">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项目在实施前向项目负责人提供财政支出绩效方面的资金管理信息，促进项目支出严格按照资金管理规定进行。</w:t>
      </w:r>
    </w:p>
    <w:p w14:paraId="69BC9BF4">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2"/>
        </w:rPr>
        <w:t>（2）项目绩效管</w:t>
      </w:r>
      <w:r>
        <w:rPr>
          <w:rFonts w:hint="eastAsia" w:ascii="Times New Roman" w:hAnsi="Times New Roman" w:eastAsia="仿宋_GB2312" w:cs="Times New Roman"/>
          <w:sz w:val="32"/>
          <w:szCs w:val="32"/>
          <w:lang w:eastAsia="zh-CN"/>
        </w:rPr>
        <w:t>理为</w:t>
      </w:r>
      <w:r>
        <w:rPr>
          <w:rFonts w:hint="default" w:ascii="Times New Roman" w:hAnsi="Times New Roman" w:eastAsia="仿宋_GB2312" w:cs="Times New Roman"/>
          <w:sz w:val="32"/>
          <w:szCs w:val="32"/>
        </w:rPr>
        <w:t>财政支出运行提供及时、有效的信息。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04DCE6ED">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绩效评价的对象</w:t>
      </w:r>
    </w:p>
    <w:p w14:paraId="317FF964">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建设大厦消防维修完善工程</w:t>
      </w:r>
      <w:r>
        <w:rPr>
          <w:rFonts w:hint="default" w:ascii="Times New Roman" w:hAnsi="Times New Roman" w:eastAsia="仿宋_GB2312" w:cs="Times New Roman"/>
          <w:kern w:val="0"/>
          <w:sz w:val="32"/>
          <w:szCs w:val="32"/>
          <w:lang w:val="en-US" w:eastAsia="zh-CN" w:bidi="ar-SA"/>
        </w:rPr>
        <w:t>项目所包含</w:t>
      </w:r>
      <w:r>
        <w:rPr>
          <w:rFonts w:hint="default" w:ascii="Times New Roman" w:hAnsi="Times New Roman" w:eastAsia="仿宋_GB2312" w:cs="Times New Roman"/>
          <w:sz w:val="32"/>
          <w:szCs w:val="32"/>
        </w:rPr>
        <w:t>的全部项目内容。</w:t>
      </w:r>
    </w:p>
    <w:p w14:paraId="57E791F6">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绩效评价的范围</w:t>
      </w:r>
    </w:p>
    <w:p w14:paraId="7F3DD48E">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本次评价从项目决策（包括绩效目标、决策过程）、项目管理（包括项目资金、项目实施）、项目产出（包括项目产出数量、产出质量、产出时效和产出成本）项目效益四个维度对</w:t>
      </w:r>
      <w:r>
        <w:rPr>
          <w:rFonts w:hint="default" w:ascii="Times New Roman" w:hAnsi="Times New Roman" w:eastAsia="仿宋_GB2312" w:cs="Times New Roman"/>
          <w:sz w:val="32"/>
          <w:szCs w:val="32"/>
          <w:lang w:val="en-US" w:eastAsia="zh-CN"/>
        </w:rPr>
        <w:t>建设大厦消防维修完善工程</w:t>
      </w:r>
      <w:r>
        <w:rPr>
          <w:rFonts w:hint="default" w:ascii="Times New Roman" w:hAnsi="Times New Roman" w:eastAsia="仿宋_GB2312" w:cs="Times New Roman"/>
          <w:sz w:val="32"/>
          <w:szCs w:val="32"/>
          <w:highlight w:val="none"/>
        </w:rPr>
        <w:t>项目进行评</w:t>
      </w:r>
      <w:r>
        <w:rPr>
          <w:rFonts w:hint="default" w:ascii="Times New Roman" w:hAnsi="Times New Roman" w:eastAsia="仿宋_GB2312" w:cs="Times New Roman"/>
          <w:sz w:val="32"/>
          <w:szCs w:val="32"/>
        </w:rPr>
        <w:t>价，评价核心为专项资金的支出完成情况和效果。</w:t>
      </w:r>
    </w:p>
    <w:p w14:paraId="05746EDF">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b/>
          <w:bCs/>
          <w:sz w:val="32"/>
          <w:szCs w:val="32"/>
        </w:rPr>
        <w:t>（二）绩效评价原则、评价指标体系（详情见表1）、评价方法、评价标准。</w:t>
      </w:r>
    </w:p>
    <w:p w14:paraId="6F632B17">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绩效评价原则</w:t>
      </w:r>
    </w:p>
    <w:p w14:paraId="0C6A68BB">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本次项目绩效评价遵循以下基本原则：</w:t>
      </w:r>
    </w:p>
    <w:p w14:paraId="4337D13C">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（1）科学公正。绩效评价应当运用科学合理的方法，按照规范的程序，对项目绩效进行客观、公正</w:t>
      </w:r>
      <w:r>
        <w:rPr>
          <w:rFonts w:hint="eastAsia" w:eastAsia="仿宋_GB2312" w:cs="Times New Roman"/>
          <w:sz w:val="32"/>
          <w:szCs w:val="32"/>
          <w:lang w:eastAsia="zh-CN"/>
        </w:rPr>
        <w:t>的</w:t>
      </w:r>
      <w:r>
        <w:rPr>
          <w:rFonts w:hint="default" w:ascii="Times New Roman" w:hAnsi="Times New Roman" w:eastAsia="仿宋_GB2312" w:cs="Times New Roman"/>
          <w:sz w:val="32"/>
          <w:szCs w:val="32"/>
        </w:rPr>
        <w:t>反映。</w:t>
      </w:r>
    </w:p>
    <w:p w14:paraId="512F0AF7">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（2）统筹兼顾。单位自评、部门评价和财政评价应职责明确，各有侧重，相互衔接。单位自评应由项目单位自主实施，即“谁支出、谁自评”。部门评价和财政评价应在单位自评的基础上开展。</w:t>
      </w:r>
    </w:p>
    <w:p w14:paraId="4ECCD277">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（3）激励约束。绩效评价结果应与预算安排、政策调整、改进管理实质性挂钩，体现奖优罚劣和激励相容导向，有效要安排、低效要压减、无效要问责。</w:t>
      </w:r>
    </w:p>
    <w:p w14:paraId="106FB705">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（4）公开透明。绩效评价结果应依法依规公开，并自觉接受社会监督。</w:t>
      </w:r>
    </w:p>
    <w:p w14:paraId="5D7A32A2">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评价指标体系</w:t>
      </w:r>
    </w:p>
    <w:p w14:paraId="0E8B7906">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绩效评价框架是开展绩效评价的核心。绩效评价框架包括评价准则、关键评价问题、评价指标、数据来源、数据收集方法等。指标体系建立过程如下：</w:t>
      </w:r>
    </w:p>
    <w:p w14:paraId="5D092680">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（1）确定评价指标</w:t>
      </w:r>
    </w:p>
    <w:p w14:paraId="5148C19B">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63ED3CC4">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（2）确定权重</w:t>
      </w:r>
    </w:p>
    <w:p w14:paraId="5DDEFCDE">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确定各个指标相对于项目总体绩效的权重分值。在绩效评价指标体系中，项目决策权重为20分，项目过程权重为20分，项目产出权重为</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0分，</w:t>
      </w:r>
      <w:r>
        <w:rPr>
          <w:rFonts w:hint="default" w:ascii="Times New Roman" w:hAnsi="Times New Roman" w:eastAsia="仿宋_GB2312" w:cs="Times New Roman"/>
          <w:sz w:val="32"/>
          <w:szCs w:val="32"/>
          <w:lang w:val="en-US" w:eastAsia="zh-CN"/>
        </w:rPr>
        <w:t>项目成本权重10分，</w:t>
      </w:r>
      <w:r>
        <w:rPr>
          <w:rFonts w:hint="default" w:ascii="Times New Roman" w:hAnsi="Times New Roman" w:eastAsia="仿宋_GB2312" w:cs="Times New Roman"/>
          <w:sz w:val="32"/>
          <w:szCs w:val="32"/>
        </w:rPr>
        <w:t>项目效益权重为20分。</w:t>
      </w:r>
    </w:p>
    <w:p w14:paraId="1D630F05">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（3）确定指标标准值</w:t>
      </w:r>
    </w:p>
    <w:p w14:paraId="520AD9C2">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指标标准值是绩效评价指标的尺度，既要反映同类项目的先进水平，又要符合项目的实际绩效水平。具体采用计划标准等确定此次绩效评价指标标准值。</w:t>
      </w:r>
    </w:p>
    <w:p w14:paraId="3DE12D99">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具体评价指标体系详情见附件1</w:t>
      </w:r>
    </w:p>
    <w:p w14:paraId="2E20AB60">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绩效评价方法</w:t>
      </w:r>
    </w:p>
    <w:p w14:paraId="305EE43D">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绩效评价从项目决策、项目过程、项目产出、项目效益四个维度进行评价。评价对象为项目目标实施情况，  评价核心为资金的支出完成情况和项目的产出效益。</w:t>
      </w:r>
    </w:p>
    <w:p w14:paraId="62ED13A5">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本次评价指标中，既有定性指标又有定量指标，各类指标因考核内容不同和客观标准不同存在较大差异，因此核定具体指标时采用了不同方法，具体评价方法如下：</w:t>
      </w:r>
    </w:p>
    <w:p w14:paraId="079EE748">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比较法</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sz w:val="32"/>
          <w:szCs w:val="32"/>
        </w:rPr>
        <w:t>通过对绩效目标与实施效果、历史与当期情况，综合分析绩效目标实现程度。对项目最终验收情况与年度绩效目标对比、预算资金执行情况等相关因素进行比较。</w:t>
      </w:r>
    </w:p>
    <w:p w14:paraId="3D80F7D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color w:val="auto"/>
          <w:sz w:val="32"/>
          <w:szCs w:val="32"/>
          <w:lang w:val="en-US" w:eastAsia="zh-CN"/>
        </w:rPr>
        <w:t>成本效益分析法：</w:t>
      </w:r>
      <w:r>
        <w:rPr>
          <w:rFonts w:hint="default" w:ascii="Times New Roman" w:hAnsi="Times New Roman" w:eastAsia="仿宋_GB2312" w:cs="Times New Roman"/>
          <w:color w:val="auto"/>
          <w:sz w:val="32"/>
          <w:szCs w:val="32"/>
          <w:lang w:val="en-US" w:eastAsia="zh-CN"/>
        </w:rPr>
        <w:t>将项目的预算支出安排与预期效益进行对比分析，以评价绩效目标的预期实现程度。</w:t>
      </w:r>
    </w:p>
    <w:p w14:paraId="4A28F9C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cs="Times New Roman"/>
          <w:b w:val="0"/>
          <w:bCs w:val="0"/>
          <w:color w:val="auto"/>
        </w:rPr>
      </w:pPr>
      <w:r>
        <w:rPr>
          <w:rFonts w:hint="default" w:ascii="Times New Roman" w:hAnsi="Times New Roman" w:eastAsia="仿宋_GB2312" w:cs="Times New Roman"/>
          <w:b/>
          <w:bCs/>
          <w:color w:val="auto"/>
          <w:sz w:val="32"/>
          <w:szCs w:val="32"/>
          <w:lang w:val="en-US" w:eastAsia="zh-CN"/>
        </w:rPr>
        <w:t>因素分析法：</w:t>
      </w:r>
      <w:r>
        <w:rPr>
          <w:rFonts w:hint="default" w:ascii="Times New Roman" w:hAnsi="Times New Roman" w:eastAsia="仿宋_GB2312" w:cs="Times New Roman"/>
          <w:color w:val="auto"/>
          <w:sz w:val="32"/>
          <w:szCs w:val="32"/>
          <w:lang w:val="en-US" w:eastAsia="zh-CN"/>
        </w:rPr>
        <w:t>综合分析影响财政资金绩效目标实现以及实施效果的内部、外部因素，将影响预期投入和产出的各项因素罗列出来进行分析，计算投入产出比进行评价。</w:t>
      </w:r>
    </w:p>
    <w:p w14:paraId="11BFAA52">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评价标准</w:t>
      </w:r>
    </w:p>
    <w:p w14:paraId="67919E57">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绩效评价标准通常包括计划标准、行业标准、历史标准等，用于对绩效指标完成情况进行比较、分析、评价。本次评价主要采用了计划标准。</w:t>
      </w:r>
    </w:p>
    <w:p w14:paraId="3904D1BD">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bookmarkStart w:id="0" w:name="_Toc17882"/>
      <w:bookmarkStart w:id="1" w:name="_Toc31464"/>
      <w:r>
        <w:rPr>
          <w:rFonts w:hint="default" w:ascii="Times New Roman" w:hAnsi="Times New Roman" w:eastAsia="仿宋_GB2312" w:cs="Times New Roman"/>
          <w:b/>
          <w:bCs/>
          <w:sz w:val="32"/>
          <w:szCs w:val="32"/>
        </w:rPr>
        <w:t>计划标准：</w:t>
      </w:r>
      <w:r>
        <w:rPr>
          <w:rFonts w:hint="default" w:ascii="Times New Roman" w:hAnsi="Times New Roman" w:eastAsia="仿宋_GB2312" w:cs="Times New Roman"/>
          <w:sz w:val="32"/>
          <w:szCs w:val="32"/>
        </w:rPr>
        <w:t>指以预先制定的目标、计划、预算、定额等作为评价标准。</w:t>
      </w:r>
      <w:bookmarkEnd w:id="0"/>
      <w:bookmarkEnd w:id="1"/>
    </w:p>
    <w:p w14:paraId="0B374CDE">
      <w:pPr>
        <w:pStyle w:val="10"/>
        <w:keepNext w:val="0"/>
        <w:keepLines w:val="0"/>
        <w:pageBreakBefore w:val="0"/>
        <w:numPr>
          <w:ilvl w:val="0"/>
          <w:numId w:val="2"/>
        </w:numPr>
        <w:kinsoku/>
        <w:wordWrap/>
        <w:overflowPunct/>
        <w:topLinePunct w:val="0"/>
        <w:autoSpaceDE/>
        <w:autoSpaceDN/>
        <w:bidi w:val="0"/>
        <w:adjustRightInd/>
        <w:snapToGrid/>
        <w:spacing w:before="0" w:after="0" w:line="560" w:lineRule="exact"/>
        <w:ind w:firstLine="711" w:firstLineChars="200"/>
        <w:jc w:val="both"/>
        <w:textAlignment w:val="auto"/>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1D11BEA9">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1.</w:t>
      </w:r>
      <w:r>
        <w:rPr>
          <w:rFonts w:hint="default" w:ascii="Times New Roman" w:hAnsi="Times New Roman" w:eastAsia="仿宋_GB2312" w:cs="Times New Roman"/>
          <w:b/>
          <w:bCs/>
          <w:sz w:val="32"/>
          <w:szCs w:val="32"/>
        </w:rPr>
        <w:t>前期准备。</w:t>
      </w:r>
      <w:r>
        <w:rPr>
          <w:rFonts w:hint="default" w:ascii="Times New Roman" w:hAnsi="Times New Roman" w:eastAsia="仿宋_GB2312" w:cs="Times New Roman"/>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14:paraId="2B87DDC3">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组织实施。</w:t>
      </w:r>
      <w:r>
        <w:rPr>
          <w:rFonts w:hint="default" w:ascii="Times New Roman" w:hAnsi="Times New Roman" w:eastAsia="仿宋_GB2312" w:cs="Times New Roman"/>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14:paraId="1AD27426">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3.</w:t>
      </w:r>
      <w:r>
        <w:rPr>
          <w:rFonts w:hint="default" w:ascii="Times New Roman" w:hAnsi="Times New Roman" w:eastAsia="仿宋_GB2312" w:cs="Times New Roman"/>
          <w:b/>
          <w:bCs/>
          <w:sz w:val="32"/>
          <w:szCs w:val="32"/>
        </w:rPr>
        <w:t>分析评价。</w:t>
      </w:r>
      <w:r>
        <w:rPr>
          <w:rFonts w:hint="default" w:ascii="Times New Roman" w:hAnsi="Times New Roman" w:eastAsia="仿宋_GB2312" w:cs="Times New Roman"/>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782CF1B0">
      <w:pPr>
        <w:keepNext w:val="0"/>
        <w:keepLines w:val="0"/>
        <w:pageBreakBefore w:val="0"/>
        <w:numPr>
          <w:ilvl w:val="0"/>
          <w:numId w:val="3"/>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6740C2B3">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lang w:val="en-US" w:eastAsia="zh-CN"/>
        </w:rPr>
      </w:pP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一</w:t>
      </w: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评价情况</w:t>
      </w:r>
    </w:p>
    <w:p w14:paraId="2C2DFDED">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项目总体组织规范，在项目实施过</w:t>
      </w:r>
      <w:r>
        <w:rPr>
          <w:rFonts w:hint="eastAsia" w:ascii="Times New Roman" w:hAnsi="Times New Roman" w:eastAsia="仿宋_GB2312" w:cs="Times New Roman"/>
          <w:b w:val="0"/>
          <w:bCs w:val="0"/>
          <w:kern w:val="28"/>
          <w:sz w:val="32"/>
          <w:szCs w:val="32"/>
          <w:lang w:val="en-US" w:eastAsia="zh-CN" w:bidi="ar-SA"/>
        </w:rPr>
        <w:t>程中</w:t>
      </w:r>
      <w:r>
        <w:rPr>
          <w:rFonts w:hint="default" w:ascii="Times New Roman" w:hAnsi="Times New Roman" w:eastAsia="仿宋_GB2312" w:cs="Times New Roman"/>
          <w:b w:val="0"/>
          <w:bCs w:val="0"/>
          <w:kern w:val="28"/>
          <w:sz w:val="32"/>
          <w:szCs w:val="32"/>
          <w:lang w:val="en-US" w:eastAsia="zh-CN" w:bidi="ar-SA"/>
        </w:rPr>
        <w:t>做到认真履职，监督到位。按照相关制度的要求，项目负责人对项目绩效监控执行情况进行跟踪监督，有效完成了本项目的工作目标，确保资金使用安全和最大效益</w:t>
      </w:r>
      <w:r>
        <w:rPr>
          <w:rFonts w:hint="eastAsia" w:ascii="Times New Roman" w:hAnsi="Times New Roman" w:eastAsia="仿宋_GB2312" w:cs="Times New Roman"/>
          <w:b w:val="0"/>
          <w:bCs w:val="0"/>
          <w:kern w:val="28"/>
          <w:sz w:val="32"/>
          <w:szCs w:val="32"/>
          <w:lang w:val="en-US" w:eastAsia="zh-CN" w:bidi="ar-SA"/>
        </w:rPr>
        <w:t>地</w:t>
      </w:r>
      <w:r>
        <w:rPr>
          <w:rFonts w:hint="default" w:ascii="Times New Roman" w:hAnsi="Times New Roman" w:eastAsia="仿宋_GB2312" w:cs="Times New Roman"/>
          <w:b w:val="0"/>
          <w:bCs w:val="0"/>
          <w:kern w:val="28"/>
          <w:sz w:val="32"/>
          <w:szCs w:val="32"/>
          <w:lang w:val="en-US" w:eastAsia="zh-CN" w:bidi="ar-SA"/>
        </w:rPr>
        <w:t>发挥，保障项目如期按要求完成。规范项目档案资料的整理。项目的实施达到项目预期效果。</w:t>
      </w:r>
    </w:p>
    <w:p w14:paraId="2ECBFFC9">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lang w:val="en-US" w:eastAsia="zh-CN"/>
        </w:rPr>
      </w:pP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二</w:t>
      </w: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评价结论</w:t>
      </w:r>
    </w:p>
    <w:p w14:paraId="0359FD36">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81.6</w:t>
      </w:r>
      <w:r>
        <w:rPr>
          <w:rFonts w:hint="default" w:ascii="Times New Roman" w:hAnsi="Times New Roman" w:eastAsia="仿宋_GB2312" w:cs="Times New Roman"/>
          <w:b w:val="0"/>
          <w:bCs w:val="0"/>
          <w:highlight w:val="none"/>
        </w:rPr>
        <w:t>分，属于“</w:t>
      </w:r>
      <w:r>
        <w:rPr>
          <w:rFonts w:hint="eastAsia" w:ascii="Times New Roman" w:hAnsi="Times New Roman" w:eastAsia="仿宋_GB2312" w:cs="Times New Roman"/>
          <w:b w:val="0"/>
          <w:bCs w:val="0"/>
          <w:highlight w:val="none"/>
          <w:lang w:eastAsia="zh-CN"/>
        </w:rPr>
        <w:t>良</w:t>
      </w:r>
      <w:r>
        <w:rPr>
          <w:rFonts w:hint="default" w:ascii="Times New Roman" w:hAnsi="Times New Roman" w:eastAsia="仿宋_GB2312" w:cs="Times New Roman"/>
          <w:b w:val="0"/>
          <w:bCs w:val="0"/>
          <w:highlight w:val="none"/>
        </w:rPr>
        <w:t>”。其中，项目决策类指标权重为20分，得分为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18.75</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93.75</w:t>
      </w:r>
      <w:r>
        <w:rPr>
          <w:rFonts w:hint="default" w:ascii="Times New Roman" w:hAnsi="Times New Roman" w:eastAsia="仿宋_GB2312" w:cs="Times New Roman"/>
          <w:b w:val="0"/>
          <w:bCs w:val="0"/>
          <w:highlight w:val="none"/>
        </w:rPr>
        <w:t>%。项目产出类指标权重为</w:t>
      </w: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val="0"/>
          <w:bCs w:val="0"/>
          <w:highlight w:val="none"/>
        </w:rPr>
        <w:t>0分，得分为</w:t>
      </w:r>
      <w:r>
        <w:rPr>
          <w:rFonts w:hint="eastAsia" w:ascii="Times New Roman" w:hAnsi="Times New Roman" w:eastAsia="仿宋_GB2312" w:cs="Times New Roman"/>
          <w:b w:val="0"/>
          <w:bCs w:val="0"/>
          <w:highlight w:val="none"/>
          <w:lang w:val="en-US" w:eastAsia="zh-CN"/>
        </w:rPr>
        <w:t>15.97</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53.23</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highlight w:val="none"/>
          <w:lang w:val="en-US" w:eastAsia="zh-CN"/>
        </w:rPr>
        <w:t>项目成本类指标权重10分</w:t>
      </w:r>
      <w:r>
        <w:rPr>
          <w:rFonts w:hint="default" w:ascii="Times New Roman" w:hAnsi="Times New Roman" w:eastAsia="仿宋_GB2312" w:cs="Times New Roman"/>
          <w:b w:val="0"/>
          <w:bCs w:val="0"/>
          <w:highlight w:val="none"/>
        </w:rPr>
        <w:t>，得分为</w:t>
      </w:r>
      <w:r>
        <w:rPr>
          <w:rFonts w:hint="eastAsia" w:ascii="Times New Roman" w:hAnsi="Times New Roman" w:eastAsia="仿宋_GB2312" w:cs="Times New Roman"/>
          <w:b w:val="0"/>
          <w:bCs w:val="0"/>
          <w:highlight w:val="none"/>
          <w:lang w:val="en-US" w:eastAsia="zh-CN"/>
        </w:rPr>
        <w:t>6.88</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68.79</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043163FC">
      <w:pPr>
        <w:pStyle w:val="10"/>
        <w:keepNext w:val="0"/>
        <w:keepLines w:val="0"/>
        <w:pageBreakBefore w:val="0"/>
        <w:widowControl/>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14:paraId="6ABE8E6E">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6AD143ED">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2F54BF0E">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3E1B9F4">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得分</w:t>
            </w:r>
          </w:p>
        </w:tc>
      </w:tr>
      <w:tr w14:paraId="76F6027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E5623B6">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316C3FA4">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32D8E50A">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24025FF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5B4F4A4">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3B01A855">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3AE4633A">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ascii="Times New Roman" w:hAnsi="Times New Roman" w:eastAsia="仿宋_GB2312" w:cs="Times New Roman"/>
                <w:b w:val="0"/>
                <w:bCs w:val="0"/>
                <w:highlight w:val="none"/>
                <w:lang w:val="en-US" w:eastAsia="zh-CN"/>
              </w:rPr>
              <w:t>18.75</w:t>
            </w:r>
          </w:p>
        </w:tc>
      </w:tr>
      <w:tr w14:paraId="48DC112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0FB485A">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15DF9006">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30</w:t>
            </w:r>
          </w:p>
        </w:tc>
        <w:tc>
          <w:tcPr>
            <w:tcW w:w="2278" w:type="dxa"/>
            <w:tcBorders>
              <w:top w:val="nil"/>
              <w:left w:val="nil"/>
              <w:bottom w:val="single" w:color="auto" w:sz="4" w:space="0"/>
              <w:right w:val="single" w:color="auto" w:sz="4" w:space="0"/>
            </w:tcBorders>
            <w:shd w:val="clear" w:color="auto" w:fill="auto"/>
            <w:vAlign w:val="center"/>
          </w:tcPr>
          <w:p w14:paraId="51209193">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15.97</w:t>
            </w:r>
          </w:p>
        </w:tc>
      </w:tr>
      <w:tr w14:paraId="5F5CB67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1B81CF0">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项目成本</w:t>
            </w:r>
          </w:p>
        </w:tc>
        <w:tc>
          <w:tcPr>
            <w:tcW w:w="2168" w:type="dxa"/>
            <w:tcBorders>
              <w:top w:val="nil"/>
              <w:left w:val="nil"/>
              <w:bottom w:val="single" w:color="auto" w:sz="4" w:space="0"/>
              <w:right w:val="single" w:color="auto" w:sz="4" w:space="0"/>
            </w:tcBorders>
            <w:shd w:val="clear" w:color="auto" w:fill="auto"/>
            <w:vAlign w:val="center"/>
          </w:tcPr>
          <w:p w14:paraId="11C01D45">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lang w:val="en-US" w:eastAsia="zh-CN"/>
              </w:rPr>
            </w:pPr>
            <w:r>
              <w:rPr>
                <w:rFonts w:hint="default" w:ascii="Times New Roman" w:hAnsi="Times New Roman" w:cs="Times New Roman"/>
                <w:color w:val="000000"/>
                <w:sz w:val="22"/>
                <w:lang w:val="en-US" w:eastAsia="zh-CN"/>
              </w:rPr>
              <w:t>10</w:t>
            </w:r>
          </w:p>
        </w:tc>
        <w:tc>
          <w:tcPr>
            <w:tcW w:w="2278" w:type="dxa"/>
            <w:tcBorders>
              <w:top w:val="nil"/>
              <w:left w:val="nil"/>
              <w:bottom w:val="single" w:color="auto" w:sz="4" w:space="0"/>
              <w:right w:val="single" w:color="auto" w:sz="4" w:space="0"/>
            </w:tcBorders>
            <w:shd w:val="clear" w:color="auto" w:fill="auto"/>
            <w:vAlign w:val="center"/>
          </w:tcPr>
          <w:p w14:paraId="21005E9E">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lang w:val="en-US" w:eastAsia="zh-CN"/>
              </w:rPr>
            </w:pPr>
            <w:r>
              <w:rPr>
                <w:rFonts w:hint="eastAsia" w:ascii="Times New Roman" w:hAnsi="Times New Roman" w:eastAsia="仿宋_GB2312" w:cs="Times New Roman"/>
                <w:b w:val="0"/>
                <w:bCs w:val="0"/>
                <w:highlight w:val="none"/>
                <w:lang w:val="en-US" w:eastAsia="zh-CN"/>
              </w:rPr>
              <w:t>6.88</w:t>
            </w:r>
          </w:p>
        </w:tc>
      </w:tr>
      <w:tr w14:paraId="53FA31B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C2C5ADA">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382A423E">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F2DBBF2">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55B5260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E506659">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5F861FF4">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000000"/>
                <w:sz w:val="22"/>
                <w:lang w:val="en-US" w:eastAsia="zh-CN"/>
              </w:rPr>
            </w:pPr>
            <w:r>
              <w:rPr>
                <w:rFonts w:hint="default" w:ascii="Times New Roman" w:hAnsi="Times New Roman" w:cs="Times New Roman"/>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6514E6B6">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000000"/>
                <w:sz w:val="22"/>
                <w:lang w:val="en-US" w:eastAsia="zh-CN"/>
              </w:rPr>
            </w:pPr>
            <w:r>
              <w:rPr>
                <w:rFonts w:hint="eastAsia" w:cs="Times New Roman"/>
                <w:b/>
                <w:bCs/>
                <w:color w:val="000000"/>
                <w:sz w:val="22"/>
                <w:lang w:val="en-US" w:eastAsia="zh-CN"/>
              </w:rPr>
              <w:t>81.6</w:t>
            </w:r>
          </w:p>
        </w:tc>
      </w:tr>
    </w:tbl>
    <w:p w14:paraId="12DB931E">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22FD72D6">
      <w:pPr>
        <w:pStyle w:val="10"/>
        <w:keepNext w:val="0"/>
        <w:keepLines w:val="0"/>
        <w:pageBreakBefore w:val="0"/>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rPr>
        <w:t>（一）项目决策情况</w:t>
      </w:r>
    </w:p>
    <w:p w14:paraId="693EDC5A">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5C80E2B9">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3739AB20">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4B8AFC9D">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auto"/>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7295673F">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2BFCAD31">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14:paraId="0C85375A">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63A27C99">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5320B4D3">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w:t>
      </w:r>
      <w:r>
        <w:rPr>
          <w:rFonts w:hint="eastAsia" w:ascii="Times New Roman" w:hAnsi="Times New Roman" w:eastAsia="仿宋_GB2312" w:cs="Times New Roman"/>
          <w:sz w:val="32"/>
          <w:szCs w:val="32"/>
          <w:lang w:val="en-US" w:eastAsia="zh-CN"/>
        </w:rPr>
        <w:t>的</w:t>
      </w:r>
      <w:r>
        <w:rPr>
          <w:rFonts w:hint="default" w:ascii="Times New Roman" w:hAnsi="Times New Roman" w:eastAsia="仿宋_GB2312" w:cs="Times New Roman"/>
          <w:sz w:val="32"/>
          <w:szCs w:val="32"/>
          <w:lang w:val="en-US" w:eastAsia="zh-CN"/>
        </w:rPr>
        <w:t>细化情况。绩效目标表经过审核，绩效目标与实际工作内容具有相关性，预算与确定的项目投资额相匹配，对项目任务进行了详细分解。项目预期产出效益及效果符合正常的业绩水平。</w:t>
      </w:r>
    </w:p>
    <w:p w14:paraId="6EA2548B">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422A5235">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756074D4">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1432AD00">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2036C893">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预算编制经过科学论证，提供充分的测算依据佐证资料，预算内容与项目内容相匹配。项目投资额与工作任务相匹配。</w:t>
      </w:r>
    </w:p>
    <w:p w14:paraId="518EBFCA">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（2）资金分配合理性</w:t>
      </w:r>
    </w:p>
    <w:p w14:paraId="3A4A2150">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资金分配额度与项目单位实际工作内容相适应，资金分配额度合理，资金分配依据充分。</w:t>
      </w:r>
    </w:p>
    <w:p w14:paraId="6391C680">
      <w:pPr>
        <w:pStyle w:val="10"/>
        <w:keepNext w:val="0"/>
        <w:keepLines w:val="0"/>
        <w:pageBreakBefore w:val="0"/>
        <w:numPr>
          <w:ilvl w:val="0"/>
          <w:numId w:val="4"/>
        </w:numPr>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rPr>
        <w:t>项目过程情况</w:t>
      </w:r>
    </w:p>
    <w:p w14:paraId="77D20A61">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w:t>
      </w:r>
      <w:r>
        <w:rPr>
          <w:rFonts w:hint="default" w:ascii="Times New Roman" w:hAnsi="Times New Roman" w:eastAsia="仿宋_GB2312" w:cs="Times New Roman"/>
          <w:sz w:val="32"/>
          <w:szCs w:val="32"/>
          <w:highlight w:val="none"/>
          <w:lang w:val="en-US" w:eastAsia="zh-CN"/>
        </w:rPr>
        <w:t>和组织实施两方面的内容，有5个三级指标构成，权重分值为20分，实际得分</w:t>
      </w:r>
      <w:r>
        <w:rPr>
          <w:rFonts w:hint="eastAsia" w:ascii="Times New Roman" w:hAnsi="Times New Roman" w:eastAsia="仿宋_GB2312" w:cs="Times New Roman"/>
          <w:sz w:val="32"/>
          <w:szCs w:val="32"/>
          <w:highlight w:val="none"/>
          <w:lang w:val="en-US" w:eastAsia="zh-CN"/>
        </w:rPr>
        <w:t>18.75</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93.75</w:t>
      </w:r>
      <w:r>
        <w:rPr>
          <w:rFonts w:hint="default" w:ascii="Times New Roman" w:hAnsi="Times New Roman" w:eastAsia="仿宋_GB2312" w:cs="Times New Roman"/>
          <w:sz w:val="32"/>
          <w:szCs w:val="32"/>
          <w:highlight w:val="none"/>
          <w:lang w:val="en-US" w:eastAsia="zh-CN"/>
        </w:rPr>
        <w:t>%。</w:t>
      </w:r>
    </w:p>
    <w:p w14:paraId="1F491A0F">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14:paraId="33E2A328">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4F1C8777">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29636E2F">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w:t>
      </w:r>
      <w:r>
        <w:rPr>
          <w:rFonts w:hint="default" w:ascii="Times New Roman" w:hAnsi="Times New Roman" w:eastAsia="仿宋_GB2312" w:cs="Times New Roman"/>
          <w:sz w:val="32"/>
          <w:szCs w:val="32"/>
          <w:highlight w:val="none"/>
          <w:lang w:val="en-US" w:eastAsia="zh-CN"/>
        </w:rPr>
        <w:t>目总投资</w:t>
      </w:r>
      <w:r>
        <w:rPr>
          <w:rFonts w:hint="eastAsia" w:eastAsia="仿宋_GB2312" w:cs="Times New Roman"/>
          <w:b w:val="0"/>
          <w:bCs w:val="0"/>
          <w:kern w:val="2"/>
          <w:sz w:val="32"/>
          <w:szCs w:val="32"/>
          <w:lang w:val="en-US" w:eastAsia="zh-CN" w:bidi="ar-SA"/>
        </w:rPr>
        <w:t>350</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350</w:t>
      </w:r>
      <w:r>
        <w:rPr>
          <w:rFonts w:hint="default" w:ascii="Times New Roman" w:hAnsi="Times New Roman" w:eastAsia="仿宋_GB2312" w:cs="Times New Roman"/>
          <w:sz w:val="32"/>
          <w:szCs w:val="32"/>
          <w:highlight w:val="none"/>
          <w:lang w:val="en-US" w:eastAsia="zh-CN"/>
        </w:rPr>
        <w:t>%，预算资金按</w:t>
      </w:r>
      <w:r>
        <w:rPr>
          <w:rFonts w:hint="default" w:ascii="Times New Roman" w:hAnsi="Times New Roman" w:eastAsia="仿宋_GB2312" w:cs="Times New Roman"/>
          <w:sz w:val="32"/>
          <w:szCs w:val="32"/>
          <w:lang w:val="en-US" w:eastAsia="zh-CN"/>
        </w:rPr>
        <w:t>计划进度执行。</w:t>
      </w:r>
    </w:p>
    <w:p w14:paraId="4544968E">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072C8A45">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default" w:ascii="Times New Roman" w:hAnsi="Times New Roman" w:eastAsia="仿宋_GB2312" w:cs="Times New Roman"/>
          <w:b w:val="0"/>
          <w:bCs w:val="0"/>
          <w:kern w:val="2"/>
          <w:sz w:val="32"/>
          <w:szCs w:val="32"/>
          <w:highlight w:val="none"/>
          <w:lang w:val="en-US" w:eastAsia="zh-CN" w:bidi="ar-SA"/>
        </w:rPr>
        <w:t>240.75</w:t>
      </w:r>
      <w:r>
        <w:rPr>
          <w:rFonts w:hint="default" w:ascii="Times New Roman" w:hAnsi="Times New Roman" w:eastAsia="仿宋_GB2312" w:cs="Times New Roman"/>
          <w:sz w:val="32"/>
          <w:szCs w:val="32"/>
          <w:highlight w:val="none"/>
          <w:lang w:val="en-US" w:eastAsia="zh-CN"/>
        </w:rPr>
        <w:t>万元，预算执行率为68.79%。偏差原因：建设大厦2楼消防改造方案未确定，改造工程未实施，暂不予支付。改进措施：后期在绩效目标编制过程中加强目标编制水平，强化对绩效的跟踪，及时发现问题，及时采取补救措施，确保项目资金发挥最大效益。</w:t>
      </w:r>
    </w:p>
    <w:p w14:paraId="6F64820C">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1BA7A533">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严格按照</w:t>
      </w:r>
      <w:r>
        <w:rPr>
          <w:rFonts w:hint="default" w:ascii="Times New Roman" w:hAnsi="Times New Roman" w:eastAsia="仿宋_GB2312" w:cs="Times New Roman"/>
          <w:b w:val="0"/>
          <w:bCs w:val="0"/>
          <w:kern w:val="2"/>
          <w:sz w:val="32"/>
          <w:szCs w:val="32"/>
          <w:lang w:val="en-US" w:eastAsia="zh-CN" w:bidi="ar-SA"/>
        </w:rPr>
        <w:t>《</w:t>
      </w:r>
      <w:r>
        <w:rPr>
          <w:rFonts w:hint="eastAsia" w:eastAsia="仿宋_GB2312" w:cs="Times New Roman"/>
          <w:b w:val="0"/>
          <w:bCs w:val="0"/>
          <w:kern w:val="2"/>
          <w:sz w:val="32"/>
          <w:szCs w:val="32"/>
          <w:lang w:val="en-US" w:eastAsia="zh-CN" w:bidi="ar-SA"/>
        </w:rPr>
        <w:t>财务</w:t>
      </w:r>
      <w:r>
        <w:rPr>
          <w:rFonts w:hint="default" w:ascii="Times New Roman" w:hAnsi="Times New Roman" w:eastAsia="仿宋_GB2312" w:cs="Times New Roman"/>
          <w:b w:val="0"/>
          <w:bCs w:val="0"/>
          <w:kern w:val="2"/>
          <w:sz w:val="32"/>
          <w:szCs w:val="32"/>
          <w:lang w:val="en-US" w:eastAsia="zh-CN" w:bidi="ar-SA"/>
        </w:rPr>
        <w:t>管理制度》支出项目资金</w:t>
      </w:r>
      <w:r>
        <w:rPr>
          <w:rFonts w:hint="default" w:ascii="Times New Roman" w:hAnsi="Times New Roman" w:eastAsia="仿宋_GB2312" w:cs="Times New Roman"/>
          <w:sz w:val="32"/>
          <w:szCs w:val="32"/>
          <w:lang w:val="en-US" w:eastAsia="zh-CN"/>
        </w:rPr>
        <w:t>，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31933788">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14:paraId="0221973F">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1A472FD4">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0E64D1F0">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5E11DBAE">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14:paraId="7FF1E7CD">
      <w:pPr>
        <w:pStyle w:val="12"/>
        <w:keepNext w:val="0"/>
        <w:keepLines w:val="0"/>
        <w:pageBreakBefore w:val="0"/>
        <w:numPr>
          <w:ilvl w:val="0"/>
          <w:numId w:val="4"/>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项目产出</w:t>
      </w:r>
      <w:r>
        <w:rPr>
          <w:rFonts w:hint="default" w:ascii="Times New Roman" w:hAnsi="Times New Roman" w:eastAsia="楷体" w:cs="Times New Roman"/>
          <w:b/>
          <w:bCs/>
          <w:sz w:val="32"/>
          <w:szCs w:val="32"/>
          <w:lang w:val="en-US" w:eastAsia="zh-CN"/>
        </w:rPr>
        <w:t>情况</w:t>
      </w:r>
    </w:p>
    <w:p w14:paraId="5A6C3028">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项目产出类指标包括产出数量、产出质量、产出时效三方面的内容，</w:t>
      </w:r>
      <w:r>
        <w:rPr>
          <w:rFonts w:hint="default" w:ascii="Times New Roman" w:hAnsi="Times New Roman" w:eastAsia="仿宋_GB2312" w:cs="Times New Roman"/>
          <w:sz w:val="32"/>
          <w:szCs w:val="32"/>
          <w:highlight w:val="none"/>
          <w:lang w:val="en-US" w:eastAsia="zh-CN"/>
        </w:rPr>
        <w:t>由3个三级指标构成，权重分为30分，得分为</w:t>
      </w:r>
      <w:r>
        <w:rPr>
          <w:rFonts w:hint="eastAsia" w:eastAsia="仿宋_GB2312" w:cs="Times New Roman"/>
          <w:sz w:val="32"/>
          <w:szCs w:val="32"/>
          <w:highlight w:val="none"/>
          <w:lang w:val="en-US" w:eastAsia="zh-CN"/>
        </w:rPr>
        <w:t>15.97</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53.23</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14:paraId="57F58BEF">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489E082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消防设施改造面积</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目标值&gt;=13000平方米，实际完成值13000平方米，完成</w:t>
      </w:r>
      <w:r>
        <w:rPr>
          <w:rFonts w:hint="default" w:ascii="Times New Roman" w:hAnsi="Times New Roman" w:eastAsia="仿宋_GB2312" w:cs="Times New Roman"/>
          <w:sz w:val="32"/>
          <w:szCs w:val="32"/>
          <w:lang w:val="en-US" w:eastAsia="zh-CN"/>
        </w:rPr>
        <w:t>率</w:t>
      </w:r>
      <w:r>
        <w:rPr>
          <w:rFonts w:hint="eastAsia" w:ascii="Times New Roman" w:hAnsi="Times New Roman" w:eastAsia="仿宋_GB2312" w:cs="Times New Roman"/>
          <w:sz w:val="32"/>
          <w:szCs w:val="32"/>
          <w:lang w:val="en-US" w:eastAsia="zh-CN"/>
        </w:rPr>
        <w:t>93</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偏差原因:因建设大厦2楼消防改造方案未确定,及各方面手续问题导致二楼改造工程未实施,导致该指标只完成93%的工程进度，项目未完成验收。改进措施:进一步落实项目主体责任，协调好各方面问题，及时对施工过程中存在的问题进行调整协商，加快改造工程施工进度。</w:t>
      </w:r>
    </w:p>
    <w:p w14:paraId="15EA58D9">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消防改造工程数量</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w:t>
      </w:r>
      <w:r>
        <w:rPr>
          <w:rFonts w:hint="eastAsia" w:eastAsia="仿宋_GB2312" w:cs="Times New Roman"/>
          <w:sz w:val="32"/>
          <w:szCs w:val="32"/>
          <w:highlight w:val="none"/>
          <w:lang w:val="en-US" w:eastAsia="zh-CN"/>
        </w:rPr>
        <w:t>=1个</w:t>
      </w:r>
      <w:r>
        <w:rPr>
          <w:rFonts w:hint="default" w:ascii="Times New Roman" w:hAnsi="Times New Roman" w:eastAsia="仿宋_GB2312" w:cs="Times New Roman"/>
          <w:sz w:val="32"/>
          <w:szCs w:val="32"/>
          <w:highlight w:val="none"/>
          <w:lang w:val="en-US" w:eastAsia="zh-CN"/>
        </w:rPr>
        <w:t>，实际完成值</w:t>
      </w:r>
      <w:r>
        <w:rPr>
          <w:rFonts w:hint="eastAsia" w:eastAsia="仿宋_GB2312" w:cs="Times New Roman"/>
          <w:sz w:val="32"/>
          <w:szCs w:val="32"/>
          <w:highlight w:val="none"/>
          <w:lang w:val="en-US" w:eastAsia="zh-CN"/>
        </w:rPr>
        <w:t>93%</w:t>
      </w:r>
      <w:r>
        <w:rPr>
          <w:rFonts w:hint="default" w:ascii="Times New Roman" w:hAnsi="Times New Roman" w:eastAsia="仿宋_GB2312" w:cs="Times New Roman"/>
          <w:sz w:val="32"/>
          <w:szCs w:val="32"/>
          <w:highlight w:val="none"/>
          <w:lang w:val="en-US" w:eastAsia="zh-CN"/>
        </w:rPr>
        <w:t>，完成率</w:t>
      </w:r>
      <w:r>
        <w:rPr>
          <w:rFonts w:hint="eastAsia" w:eastAsia="仿宋_GB2312" w:cs="Times New Roman"/>
          <w:sz w:val="32"/>
          <w:szCs w:val="32"/>
          <w:highlight w:val="none"/>
          <w:lang w:val="en-US" w:eastAsia="zh-CN"/>
        </w:rPr>
        <w:t>93</w:t>
      </w:r>
      <w:r>
        <w:rPr>
          <w:rFonts w:hint="default" w:ascii="Times New Roman" w:hAnsi="Times New Roman" w:eastAsia="仿宋_GB2312" w:cs="Times New Roman"/>
          <w:sz w:val="32"/>
          <w:szCs w:val="32"/>
          <w:highlight w:val="none"/>
          <w:lang w:val="en-US" w:eastAsia="zh-CN"/>
        </w:rPr>
        <w:t>%</w:t>
      </w:r>
      <w:r>
        <w:rPr>
          <w:rFonts w:hint="eastAsia" w:cs="Times New Roman"/>
          <w:lang w:eastAsia="zh-CN"/>
        </w:rPr>
        <w:t>。</w:t>
      </w:r>
      <w:r>
        <w:rPr>
          <w:rFonts w:hint="eastAsia" w:ascii="Times New Roman" w:hAnsi="Times New Roman" w:eastAsia="仿宋_GB2312" w:cs="Times New Roman"/>
          <w:sz w:val="32"/>
          <w:szCs w:val="32"/>
          <w:highlight w:val="none"/>
          <w:lang w:val="en-US" w:eastAsia="zh-CN"/>
        </w:rPr>
        <w:t>偏差原因:因建设大厦2楼消防改造方案未确定,及各方面手续问题导致二楼改造工程未实施,导致该指标只完成93%的工程进度，项目未完成验收。改进措施:进一步落实项目主体责任，协调好各方面问题，及时对施工过程中存在的问题进行调整协商，加快改造工程施工进度。</w:t>
      </w:r>
    </w:p>
    <w:p w14:paraId="4BD86B35">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037CEF3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消防设施改造竣工验收合格率</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目标值=100%，实际完成值</w:t>
      </w:r>
      <w:r>
        <w:rPr>
          <w:rFonts w:hint="eastAsia"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lang w:val="en-US" w:eastAsia="zh-CN"/>
        </w:rPr>
        <w:t>%，完成率</w:t>
      </w:r>
      <w:r>
        <w:rPr>
          <w:rFonts w:hint="eastAsia"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偏差原因:因建设大厦2楼消防改造方案未确定,及各方面手续问题导致二楼改造工程未实施,导致该指标只完成93%的工程进度，项目未完成验收。改进措施:进一步落实项目主体责任，协调好各方面问题，及时对施工过程中存在的问题进行调整协商，加快改造工程施工进度。</w:t>
      </w:r>
    </w:p>
    <w:p w14:paraId="782FB9B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资金支付合规率</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目标值=100%，实际完成值=100%，完成率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cs="Times New Roman"/>
          <w:lang w:eastAsia="zh-CN"/>
        </w:rPr>
        <w:t>。</w:t>
      </w:r>
    </w:p>
    <w:p w14:paraId="4B3D4DE9">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：项目设计变更率</w:t>
      </w:r>
      <w:r>
        <w:rPr>
          <w:rFonts w:hint="eastAsia" w:eastAsia="仿宋_GB2312" w:cs="Times New Roman"/>
          <w:sz w:val="32"/>
          <w:szCs w:val="32"/>
          <w:highlight w:val="none"/>
          <w:lang w:eastAsia="zh-CN"/>
        </w:rPr>
        <w:t>，目标值≤</w:t>
      </w:r>
      <w:r>
        <w:rPr>
          <w:rFonts w:hint="eastAsia" w:eastAsia="仿宋_GB2312" w:cs="Times New Roman"/>
          <w:sz w:val="32"/>
          <w:szCs w:val="32"/>
          <w:highlight w:val="none"/>
          <w:lang w:val="en-US" w:eastAsia="zh-CN"/>
        </w:rPr>
        <w:t>10%，实际完成值0%，完成率100%。</w:t>
      </w:r>
    </w:p>
    <w:p w14:paraId="5E975A4A">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2BFF05D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消防设施改造完成及时率</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目标值&gt;=95%，实际完成值</w:t>
      </w:r>
      <w:r>
        <w:rPr>
          <w:rFonts w:hint="eastAsia"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lang w:val="en-US" w:eastAsia="zh-CN"/>
        </w:rPr>
        <w:t>%，完成率</w:t>
      </w:r>
      <w:r>
        <w:rPr>
          <w:rFonts w:hint="eastAsia"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偏差原因:因建设大厦2楼消防改造方案未确定,及各方面手续问题导致二楼改造工程未实施,导致该指标只完成93%的工程进度，项目未完成验收。改进措施:进一步落实项目主体责任，协调好各方面问题，及时对施工过程中存在的问题进行调整协商，加快改造工程施工进度。</w:t>
      </w:r>
    </w:p>
    <w:p w14:paraId="0FA52406">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项目按计划完工时间</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目标值2023年4月15日，实际完成值</w:t>
      </w:r>
      <w:r>
        <w:rPr>
          <w:rFonts w:hint="eastAsia" w:eastAsia="仿宋_GB2312" w:cs="Times New Roman"/>
          <w:sz w:val="32"/>
          <w:szCs w:val="32"/>
          <w:highlight w:val="none"/>
          <w:lang w:val="en-US" w:eastAsia="zh-CN"/>
        </w:rPr>
        <w:t>还未完工验收</w:t>
      </w:r>
      <w:r>
        <w:rPr>
          <w:rFonts w:hint="default" w:ascii="Times New Roman" w:hAnsi="Times New Roman" w:eastAsia="仿宋_GB2312" w:cs="Times New Roman"/>
          <w:sz w:val="32"/>
          <w:szCs w:val="32"/>
          <w:highlight w:val="none"/>
          <w:lang w:val="en-US" w:eastAsia="zh-CN"/>
        </w:rPr>
        <w:t>，完成率</w:t>
      </w:r>
      <w:r>
        <w:rPr>
          <w:rFonts w:hint="eastAsia"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偏差原因:因建设大厦2楼消防改造方案未确定,及各方面手续问题导致二楼改造工程未实施,导致该指标只完成93%的工程进度，项目未完成验收。改进措施:进一步落实项目主体责任，协调好各方面问题，及时对施工过程中存在的问题进行调整协商，加快改造工程施工进度。</w:t>
      </w:r>
    </w:p>
    <w:p w14:paraId="290C948B">
      <w:pPr>
        <w:pStyle w:val="12"/>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lang w:val="en-US" w:eastAsia="zh-CN"/>
        </w:rPr>
      </w:pPr>
      <w:r>
        <w:rPr>
          <w:rFonts w:hint="default" w:ascii="Times New Roman" w:hAnsi="Times New Roman" w:eastAsia="楷体" w:cs="Times New Roman"/>
          <w:b/>
          <w:bCs/>
          <w:sz w:val="32"/>
          <w:szCs w:val="32"/>
          <w:lang w:val="en-US" w:eastAsia="zh-CN"/>
        </w:rPr>
        <w:t>（四）项目成本情况</w:t>
      </w:r>
    </w:p>
    <w:p w14:paraId="221E147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lang w:val="en-US" w:eastAsia="zh-CN"/>
        </w:rPr>
        <w:t>项目成本类指标包括经济成本、社会成本、生态环境成本三方面的内容，</w:t>
      </w:r>
      <w:r>
        <w:rPr>
          <w:rFonts w:hint="default" w:ascii="Times New Roman" w:hAnsi="Times New Roman" w:eastAsia="仿宋_GB2312" w:cs="Times New Roman"/>
          <w:sz w:val="32"/>
          <w:szCs w:val="32"/>
          <w:highlight w:val="none"/>
          <w:lang w:val="en-US" w:eastAsia="zh-CN"/>
        </w:rPr>
        <w:t>由1个三级指标构成，权重分为10分，实际得分</w:t>
      </w:r>
      <w:r>
        <w:rPr>
          <w:rFonts w:hint="eastAsia" w:eastAsia="仿宋_GB2312" w:cs="Times New Roman"/>
          <w:sz w:val="32"/>
          <w:szCs w:val="32"/>
          <w:highlight w:val="none"/>
          <w:lang w:val="en-US" w:eastAsia="zh-CN"/>
        </w:rPr>
        <w:t>6.88</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68.79</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14:paraId="2086385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eastAsia" w:eastAsia="仿宋_GB2312" w:cs="Times New Roman"/>
          <w:sz w:val="32"/>
          <w:szCs w:val="32"/>
          <w:highlight w:val="none"/>
          <w:lang w:val="en-US" w:eastAsia="zh-CN"/>
        </w:rPr>
        <w:t>经济成本指标：</w:t>
      </w:r>
    </w:p>
    <w:p w14:paraId="527AE0F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设计费</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目标值&lt;=13.49万元，实际完成值13.49万元，完成率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cs="Times New Roman"/>
          <w:lang w:eastAsia="zh-CN"/>
        </w:rPr>
        <w:t>。</w:t>
      </w:r>
    </w:p>
    <w:p w14:paraId="6E2CDF8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建筑安装工程费用</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目标值&lt;=309.49万元，实际完成值200.23万元，完成率64.69%</w:t>
      </w:r>
      <w:r>
        <w:rPr>
          <w:rFonts w:hint="eastAsia" w:ascii="Times New Roman" w:hAnsi="Times New Roman" w:eastAsia="仿宋_GB2312" w:cs="Times New Roman"/>
          <w:sz w:val="32"/>
          <w:szCs w:val="32"/>
          <w:highlight w:val="none"/>
          <w:lang w:val="en-US" w:eastAsia="zh-CN"/>
        </w:rPr>
        <w:t>。偏差原因:因建设大厦2楼消防改造方案未确定,及各方面手续问题导致二楼改造工程未实施,导致该指标只完成93%的工程进度，本年度支付240.75万元，剩余资金待项目完全竣工后支付。故导致项目当年执行率偏低. 改进措施:进一步落实项目主体责任，协调好各方面问题，及时对施工过程中存在的问题进行调整协商，加快改造工程施工进度。</w:t>
      </w:r>
    </w:p>
    <w:p w14:paraId="29E45AF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其他费用</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目标值&lt;=27.03万元，实际完成值27.03万元，完成率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w:t>
      </w:r>
    </w:p>
    <w:p w14:paraId="03A55F7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lang w:val="en-US" w:eastAsia="zh-CN"/>
        </w:rPr>
        <w:t>社会成本</w:t>
      </w:r>
      <w:r>
        <w:rPr>
          <w:rFonts w:hint="default" w:ascii="Times New Roman" w:hAnsi="Times New Roman" w:eastAsia="仿宋_GB2312" w:cs="Times New Roman"/>
          <w:sz w:val="32"/>
          <w:szCs w:val="32"/>
          <w:highlight w:val="none"/>
        </w:rPr>
        <w:t>指标：</w:t>
      </w:r>
    </w:p>
    <w:p w14:paraId="13EBF85A">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楷体" w:cs="Times New Roman"/>
          <w:b/>
          <w:bCs/>
          <w:sz w:val="32"/>
          <w:szCs w:val="32"/>
          <w:lang w:val="en-US"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lang w:val="en-US" w:eastAsia="zh-CN"/>
        </w:rPr>
        <w:t>生态环境成本</w:t>
      </w:r>
      <w:r>
        <w:rPr>
          <w:rFonts w:hint="default" w:ascii="Times New Roman" w:hAnsi="Times New Roman" w:eastAsia="仿宋_GB2312" w:cs="Times New Roman"/>
          <w:sz w:val="32"/>
          <w:szCs w:val="32"/>
          <w:highlight w:val="none"/>
        </w:rPr>
        <w:t>指标：</w:t>
      </w:r>
    </w:p>
    <w:p w14:paraId="0E858BFF">
      <w:pPr>
        <w:pStyle w:val="12"/>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lang w:val="en-US" w:eastAsia="zh-CN"/>
        </w:rPr>
      </w:pPr>
      <w:r>
        <w:rPr>
          <w:rFonts w:hint="default" w:ascii="Times New Roman" w:hAnsi="Times New Roman" w:eastAsia="楷体" w:cs="Times New Roman"/>
          <w:b/>
          <w:bCs/>
          <w:sz w:val="32"/>
          <w:szCs w:val="32"/>
          <w:lang w:val="en-US" w:eastAsia="zh-CN"/>
        </w:rPr>
        <w:t>（五）项目效益情况</w:t>
      </w:r>
    </w:p>
    <w:p w14:paraId="6534BCC2">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项目效益类指标包括项目实施效益和满意度两方面的内容，由2个三级指标构成，权重分为20分，实际得分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效益指标及满意度指标完成情况如下：</w:t>
      </w:r>
    </w:p>
    <w:p w14:paraId="1991BB02">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14:paraId="5F625319">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经济效益指标：</w:t>
      </w:r>
    </w:p>
    <w:p w14:paraId="66AA3A0D">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②</w:t>
      </w:r>
      <w:r>
        <w:rPr>
          <w:rFonts w:hint="default" w:ascii="Times New Roman" w:hAnsi="Times New Roman" w:eastAsia="仿宋_GB2312" w:cs="Times New Roman"/>
          <w:sz w:val="32"/>
          <w:szCs w:val="32"/>
          <w:highlight w:val="none"/>
        </w:rPr>
        <w:t>社会效益指标：</w:t>
      </w:r>
    </w:p>
    <w:p w14:paraId="53DE4DF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火灾防控能力</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目标值</w:t>
      </w:r>
      <w:r>
        <w:rPr>
          <w:rFonts w:hint="eastAsia" w:eastAsia="仿宋_GB2312" w:cs="Times New Roman"/>
          <w:sz w:val="32"/>
          <w:szCs w:val="32"/>
          <w:highlight w:val="none"/>
          <w:lang w:val="en-US" w:eastAsia="zh-CN"/>
        </w:rPr>
        <w:t>提升</w:t>
      </w:r>
      <w:r>
        <w:rPr>
          <w:rFonts w:hint="default" w:ascii="Times New Roman" w:hAnsi="Times New Roman" w:eastAsia="仿宋_GB2312" w:cs="Times New Roman"/>
          <w:sz w:val="32"/>
          <w:szCs w:val="32"/>
          <w:highlight w:val="none"/>
          <w:lang w:val="en-US" w:eastAsia="zh-CN"/>
        </w:rPr>
        <w:t>，实际完成值</w:t>
      </w:r>
      <w:r>
        <w:rPr>
          <w:rFonts w:hint="eastAsia" w:eastAsia="仿宋_GB2312" w:cs="Times New Roman"/>
          <w:sz w:val="32"/>
          <w:szCs w:val="32"/>
          <w:highlight w:val="none"/>
          <w:lang w:val="en-US" w:eastAsia="zh-CN"/>
        </w:rPr>
        <w:t>提升</w:t>
      </w:r>
      <w:r>
        <w:rPr>
          <w:rFonts w:hint="default" w:ascii="Times New Roman" w:hAnsi="Times New Roman" w:eastAsia="仿宋_GB2312" w:cs="Times New Roman"/>
          <w:sz w:val="32"/>
          <w:szCs w:val="32"/>
          <w:highlight w:val="none"/>
          <w:lang w:val="en-US" w:eastAsia="zh-CN"/>
        </w:rPr>
        <w:t>，完成率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cs="Times New Roman"/>
          <w:lang w:eastAsia="zh-CN"/>
        </w:rPr>
        <w:t>。</w:t>
      </w:r>
    </w:p>
    <w:p w14:paraId="7976FF1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安全隐患</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目标值有效降低，实际完成值有效降低，完成率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cs="Times New Roman"/>
          <w:lang w:eastAsia="zh-CN"/>
        </w:rPr>
        <w:t>。</w:t>
      </w:r>
    </w:p>
    <w:p w14:paraId="1E30E3C5">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③生态效益指标：</w:t>
      </w:r>
    </w:p>
    <w:p w14:paraId="6C1A1753">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6829D87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满意度指标：</w:t>
      </w:r>
    </w:p>
    <w:p w14:paraId="1A8257F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住户满意度</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目标值&gt;=95%，实际完成值</w:t>
      </w:r>
      <w:r>
        <w:rPr>
          <w:rFonts w:hint="eastAsia" w:ascii="Times New Roman" w:hAnsi="Times New Roman" w:eastAsia="仿宋_GB2312" w:cs="Times New Roman"/>
          <w:sz w:val="32"/>
          <w:szCs w:val="32"/>
          <w:highlight w:val="none"/>
          <w:lang w:val="en-US" w:eastAsia="zh-CN"/>
        </w:rPr>
        <w:t>97%</w:t>
      </w:r>
      <w:r>
        <w:rPr>
          <w:rFonts w:hint="default" w:ascii="Times New Roman" w:hAnsi="Times New Roman" w:eastAsia="仿宋_GB2312" w:cs="Times New Roman"/>
          <w:sz w:val="32"/>
          <w:szCs w:val="32"/>
          <w:highlight w:val="none"/>
          <w:lang w:val="en-US" w:eastAsia="zh-CN"/>
        </w:rPr>
        <w:t>，完成率102%</w:t>
      </w:r>
      <w:r>
        <w:rPr>
          <w:rFonts w:hint="eastAsia" w:ascii="Times New Roman" w:hAnsi="Times New Roman" w:eastAsia="仿宋_GB2312" w:cs="Times New Roman"/>
          <w:sz w:val="32"/>
          <w:szCs w:val="32"/>
          <w:highlight w:val="none"/>
          <w:lang w:eastAsia="zh-CN"/>
        </w:rPr>
        <w:t>。偏差原因：满意度指标值在设置指标值时沿用历年历史数据进行设置，因该指标不确定因素太多无法准确估算，故该指标存在差异率。改进措施：后期在绩效目标编制过程中加强目标编制水平，强化对绩效的跟踪，及时发现问题，及时采取补救措施，确保项目资金发挥最大效益。</w:t>
      </w:r>
    </w:p>
    <w:p w14:paraId="7813BAC8">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Style w:val="18"/>
          <w:rFonts w:hint="default" w:ascii="Times New Roman" w:hAnsi="Times New Roman" w:cs="Times New Roman"/>
          <w:color w:val="auto"/>
        </w:rPr>
      </w:pP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、主要经验及做法、存在的问题及原因分析</w:t>
      </w:r>
    </w:p>
    <w:p w14:paraId="0CBABC10">
      <w:pPr>
        <w:keepNext w:val="0"/>
        <w:keepLines w:val="0"/>
        <w:pageBreakBefore w:val="0"/>
        <w:kinsoku/>
        <w:wordWrap/>
        <w:overflowPunct/>
        <w:topLinePunct w:val="0"/>
        <w:autoSpaceDE/>
        <w:autoSpaceDN/>
        <w:bidi w:val="0"/>
        <w:adjustRightInd/>
        <w:snapToGrid/>
        <w:spacing w:line="560" w:lineRule="exact"/>
        <w:ind w:firstLine="627" w:firstLineChars="200"/>
        <w:jc w:val="both"/>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3D260907">
      <w:pPr>
        <w:keepNext w:val="0"/>
        <w:keepLines w:val="0"/>
        <w:pageBreakBefore w:val="0"/>
        <w:kinsoku/>
        <w:wordWrap/>
        <w:overflowPunct/>
        <w:topLinePunct w:val="0"/>
        <w:autoSpaceDE/>
        <w:autoSpaceDN/>
        <w:bidi w:val="0"/>
        <w:spacing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3D8BEC03">
      <w:pPr>
        <w:pStyle w:val="10"/>
        <w:keepNext w:val="0"/>
        <w:keepLines w:val="0"/>
        <w:pageBreakBefore w:val="0"/>
        <w:kinsoku/>
        <w:wordWrap/>
        <w:overflowPunct/>
        <w:topLinePunct w:val="0"/>
        <w:autoSpaceDE/>
        <w:autoSpaceDN/>
        <w:bidi w:val="0"/>
        <w:spacing w:before="0" w:after="0" w:line="560" w:lineRule="exact"/>
        <w:ind w:firstLine="640" w:firstLineChars="200"/>
        <w:jc w:val="both"/>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1DDFB6CD">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default" w:ascii="Times New Roman" w:hAnsi="Times New Roman" w:eastAsia="仿宋_GB2312" w:cs="Times New Roman"/>
          <w:b w:val="0"/>
          <w:bCs w:val="0"/>
          <w:color w:val="auto"/>
          <w:sz w:val="32"/>
          <w:szCs w:val="32"/>
          <w:u w:val="none" w:color="auto"/>
          <w:lang w:val="en-US" w:eastAsia="zh-CN"/>
        </w:rPr>
      </w:pPr>
      <w:r>
        <w:rPr>
          <w:rFonts w:hint="default" w:ascii="Times New Roman" w:hAnsi="Times New Roman" w:eastAsia="仿宋_GB2312" w:cs="Times New Roman"/>
          <w:b w:val="0"/>
          <w:bCs w:val="0"/>
          <w:color w:val="auto"/>
          <w:sz w:val="32"/>
          <w:szCs w:val="32"/>
          <w:u w:val="none" w:color="auto"/>
          <w:lang w:val="en-US" w:eastAsia="zh-CN"/>
        </w:rPr>
        <w:t>制定项目资金使用制度；财政安排项目资金到位后，须制定资金使用计划，报学校会议研究，作为今后使用资金的依据；项目资金做到专款专用、专人负责，不占</w:t>
      </w:r>
      <w:r>
        <w:rPr>
          <w:rFonts w:hint="default" w:ascii="Times New Roman" w:hAnsi="Times New Roman" w:eastAsia="仿宋_GB2312" w:cs="Times New Roman"/>
          <w:sz w:val="32"/>
          <w:szCs w:val="32"/>
          <w:highlight w:val="none"/>
          <w:lang w:val="en-US" w:eastAsia="zh-CN"/>
        </w:rPr>
        <w:t>用、挪用项目资金；项目资金使用落实责任人，压实工作，使用必须按要</w:t>
      </w:r>
      <w:r>
        <w:rPr>
          <w:rFonts w:hint="default" w:ascii="Times New Roman" w:hAnsi="Times New Roman" w:eastAsia="仿宋_GB2312" w:cs="Times New Roman"/>
          <w:b w:val="0"/>
          <w:bCs w:val="0"/>
          <w:color w:val="auto"/>
          <w:sz w:val="32"/>
          <w:szCs w:val="32"/>
          <w:u w:val="none" w:color="auto"/>
          <w:lang w:val="en-US" w:eastAsia="zh-CN"/>
        </w:rPr>
        <w:t>求和规范进行。</w:t>
      </w:r>
    </w:p>
    <w:p w14:paraId="1815A7A2">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3" w:firstLineChars="200"/>
        <w:jc w:val="both"/>
        <w:textAlignment w:val="baseline"/>
        <w:outlineLvl w:val="9"/>
        <w:rPr>
          <w:rFonts w:hint="eastAsia" w:eastAsia="仿宋_GB2312" w:cs="Times New Roman"/>
          <w:b w:val="0"/>
          <w:bCs w:val="0"/>
          <w:color w:val="auto"/>
          <w:sz w:val="32"/>
          <w:szCs w:val="32"/>
          <w:u w:val="none" w:color="auto"/>
          <w:lang w:val="en-US" w:eastAsia="zh-CN"/>
        </w:rPr>
      </w:pPr>
      <w:r>
        <w:rPr>
          <w:rFonts w:hint="default" w:ascii="Times New Roman" w:hAnsi="Times New Roman" w:eastAsia="楷体" w:cs="Times New Roman"/>
          <w:b/>
          <w:bCs/>
          <w:color w:val="auto"/>
          <w:sz w:val="32"/>
          <w:szCs w:val="32"/>
          <w:u w:val="none" w:color="auto"/>
          <w:lang w:val="en-US" w:eastAsia="zh-CN"/>
        </w:rPr>
        <w:t>（二）存在的问题及原因分析</w:t>
      </w:r>
    </w:p>
    <w:p w14:paraId="0B35C409">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default" w:ascii="Times New Roman" w:hAnsi="Times New Roman" w:eastAsia="仿宋_GB2312" w:cs="Times New Roman"/>
          <w:b w:val="0"/>
          <w:bCs w:val="0"/>
          <w:color w:val="auto"/>
          <w:sz w:val="32"/>
          <w:szCs w:val="32"/>
          <w:u w:val="none" w:color="auto"/>
          <w:lang w:val="en-US" w:eastAsia="zh-CN"/>
        </w:rPr>
      </w:pPr>
      <w:r>
        <w:rPr>
          <w:rFonts w:hint="eastAsia" w:eastAsia="仿宋_GB2312" w:cs="Times New Roman"/>
          <w:b w:val="0"/>
          <w:bCs w:val="0"/>
          <w:color w:val="auto"/>
          <w:sz w:val="32"/>
          <w:szCs w:val="32"/>
          <w:u w:val="none" w:color="auto"/>
          <w:lang w:val="en-US" w:eastAsia="zh-CN"/>
        </w:rPr>
        <w:t>进一步完善预算编制，项目应做好工程计划方案，明确项目资金预算情况，提升预算编制的精细化水平。指标设置存在不合理情况，消防改造工程面积应根据楼体内实际需要改造的面积进行设定，不能依据楼体占地面积测算。</w:t>
      </w:r>
    </w:p>
    <w:p w14:paraId="1745F713">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default" w:ascii="Times New Roman" w:hAnsi="Times New Roman" w:eastAsia="仿宋_GB2312" w:cs="Times New Roman"/>
          <w:b w:val="0"/>
          <w:bCs w:val="0"/>
          <w:color w:val="auto"/>
          <w:sz w:val="32"/>
          <w:szCs w:val="32"/>
          <w:u w:val="none" w:color="auto"/>
          <w:lang w:val="en-US" w:eastAsia="zh-CN"/>
        </w:rPr>
      </w:pPr>
      <w:r>
        <w:rPr>
          <w:rFonts w:hint="default" w:ascii="Times New Roman" w:hAnsi="Times New Roman" w:eastAsia="仿宋_GB2312" w:cs="Times New Roman"/>
          <w:b w:val="0"/>
          <w:bCs w:val="0"/>
          <w:color w:val="auto"/>
          <w:sz w:val="32"/>
          <w:szCs w:val="32"/>
          <w:u w:val="none" w:color="auto"/>
          <w:lang w:val="en-US" w:eastAsia="zh-CN"/>
        </w:rPr>
        <w:t>进一步加强对绩效管理工作的组织领导，提高对预算绩效管理工作重要性的认识，总结经验查找问题，完善的绩效评价管理办法。对绩效管理工作认识不到位，认为只要资金使用合规合法就可以，对绩效工作认识不够，工作缺乏主动性。</w:t>
      </w:r>
    </w:p>
    <w:p w14:paraId="2AD76269">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b w:val="0"/>
          <w:bCs w:val="0"/>
          <w:color w:val="auto"/>
          <w:sz w:val="32"/>
          <w:szCs w:val="32"/>
          <w:u w:val="none" w:color="auto"/>
          <w:lang w:val="en-US" w:eastAsia="zh-CN"/>
        </w:rPr>
        <w:t>结合实际建立绩效工作考核制度，加大全局对全面实施预算绩效管理</w:t>
      </w:r>
      <w:r>
        <w:rPr>
          <w:rFonts w:hint="eastAsia" w:ascii="Times New Roman" w:hAnsi="Times New Roman" w:eastAsia="仿宋_GB2312" w:cs="Times New Roman"/>
          <w:b w:val="0"/>
          <w:bCs w:val="0"/>
          <w:color w:val="auto"/>
          <w:sz w:val="32"/>
          <w:szCs w:val="32"/>
          <w:u w:val="none" w:color="auto"/>
          <w:lang w:val="en-US" w:eastAsia="zh-CN"/>
        </w:rPr>
        <w:t>和</w:t>
      </w:r>
      <w:r>
        <w:rPr>
          <w:rFonts w:hint="default" w:ascii="Times New Roman" w:hAnsi="Times New Roman" w:eastAsia="仿宋_GB2312" w:cs="Times New Roman"/>
          <w:b w:val="0"/>
          <w:bCs w:val="0"/>
          <w:color w:val="auto"/>
          <w:sz w:val="32"/>
          <w:szCs w:val="32"/>
          <w:u w:val="none" w:color="auto"/>
          <w:lang w:val="en-US" w:eastAsia="zh-CN"/>
        </w:rPr>
        <w:t>进一步加强对绩效管理工作的组织领导，提高对预算绩效管理工作重要性的认识，总结经验查找问题，完善</w:t>
      </w:r>
      <w:r>
        <w:rPr>
          <w:rFonts w:hint="default" w:ascii="Times New Roman" w:hAnsi="Times New Roman" w:eastAsia="仿宋_GB2312" w:cs="Times New Roman"/>
          <w:sz w:val="32"/>
          <w:szCs w:val="32"/>
          <w:highlight w:val="none"/>
          <w:lang w:val="en-US" w:eastAsia="zh-CN"/>
        </w:rPr>
        <w:t>的绩效评价管理办法。对绩效管理工作认识不到位，认为只要资金使用合规合法就可以，对绩效工作认识不够，工作缺乏主动性。</w:t>
      </w:r>
    </w:p>
    <w:p w14:paraId="6EEB44A1">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rPr>
        <w:t>有关建议</w:t>
      </w:r>
    </w:p>
    <w:p w14:paraId="3F386412">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eastAsia="黑体" w:cs="Times New Roman"/>
          <w:sz w:val="32"/>
          <w:szCs w:val="32"/>
          <w:highlight w:val="none"/>
          <w:lang w:eastAsia="zh-CN"/>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1.绩效管理工作培训，进一步夯实业务基础，提高我单位绩效人员水多进行有关绩效管理工作方面的培训</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积极组织第三方</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开展</w:t>
      </w:r>
      <w:r>
        <w:rPr>
          <w:rFonts w:hint="default" w:ascii="Times New Roman" w:hAnsi="Times New Roman" w:eastAsia="黑体" w:cs="Times New Roman"/>
          <w:sz w:val="32"/>
          <w:szCs w:val="32"/>
          <w:highlight w:val="none"/>
          <w:lang w:eastAsia="zh-CN"/>
        </w:rPr>
        <w:t>。</w:t>
      </w:r>
    </w:p>
    <w:p w14:paraId="252343E6">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进一步加强对绩效管理工作的组织领导，提高对预算绩效管理工作重要性的认识，总结经验查找问题，完善的绩效评价管理办法。加大全局对全面实施预算绩效管理和绩效管理工作的学习力度，让“花钱必问效，无效必问责”的理念深入工作每个环节。</w:t>
      </w:r>
    </w:p>
    <w:p w14:paraId="06C45F26">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七</w:t>
      </w:r>
      <w:r>
        <w:rPr>
          <w:rFonts w:hint="eastAsia" w:ascii="黑体" w:hAnsi="黑体" w:eastAsia="黑体" w:cs="黑体"/>
          <w:b w:val="0"/>
          <w:bCs w:val="0"/>
          <w:sz w:val="32"/>
          <w:szCs w:val="32"/>
          <w:highlight w:val="none"/>
          <w:lang w:val="en-US" w:eastAsia="zh-Hans"/>
        </w:rPr>
        <w:t>、</w:t>
      </w:r>
      <w:r>
        <w:rPr>
          <w:rFonts w:hint="eastAsia" w:ascii="黑体" w:hAnsi="黑体" w:eastAsia="黑体" w:cs="黑体"/>
          <w:b w:val="0"/>
          <w:bCs w:val="0"/>
          <w:sz w:val="32"/>
          <w:szCs w:val="32"/>
          <w:highlight w:val="none"/>
          <w:lang w:val="en-US" w:eastAsia="zh-CN"/>
        </w:rPr>
        <w:t>其他需</w:t>
      </w:r>
      <w:bookmarkStart w:id="2" w:name="page8"/>
      <w:bookmarkEnd w:id="2"/>
      <w:r>
        <w:rPr>
          <w:rFonts w:hint="eastAsia" w:ascii="黑体" w:hAnsi="黑体" w:eastAsia="黑体" w:cs="黑体"/>
          <w:b w:val="0"/>
          <w:bCs w:val="0"/>
          <w:sz w:val="32"/>
          <w:szCs w:val="32"/>
          <w:highlight w:val="none"/>
          <w:lang w:val="en-US" w:eastAsia="zh-CN"/>
        </w:rPr>
        <w:t>要说明的问题</w:t>
      </w:r>
    </w:p>
    <w:p w14:paraId="71911DDD">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1、该项目在财政的指导和帮助下，项目在资金申请前置条件的落实上，发挥了积极的“花钱必问效，无效必问责”的项目绩效管理和实施的理念引导；</w:t>
      </w:r>
    </w:p>
    <w:p w14:paraId="6239F1CD">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2、项目在实施的过程中进行了绩效的全过程管理，资金使用流程严谨合规，确保资金用途显效、高效；</w:t>
      </w:r>
    </w:p>
    <w:p w14:paraId="5348E804">
      <w:pPr>
        <w:pStyle w:val="4"/>
        <w:rPr>
          <w:rFonts w:hint="default" w:ascii="Times New Roman" w:hAnsi="Times New Roman" w:cs="Times New Roman"/>
          <w:lang w:val="en-US" w:eastAsia="zh-CN"/>
        </w:rPr>
        <w:sectPr>
          <w:pgSz w:w="11906" w:h="16838"/>
          <w:pgMar w:top="1440" w:right="1558" w:bottom="1440" w:left="1800" w:header="851" w:footer="992" w:gutter="0"/>
          <w:cols w:space="425" w:num="1"/>
          <w:docGrid w:type="lines" w:linePitch="312" w:charSpace="0"/>
        </w:sectPr>
      </w:pPr>
    </w:p>
    <w:p w14:paraId="165B6728">
      <w:pPr>
        <w:spacing w:line="600" w:lineRule="exact"/>
        <w:rPr>
          <w:rFonts w:hint="default" w:ascii="Times New Roman" w:hAnsi="Times New Roman" w:eastAsia="黑体" w:cs="Times New Roman"/>
          <w:b/>
          <w:bCs w:val="0"/>
          <w:sz w:val="32"/>
          <w:szCs w:val="32"/>
        </w:rPr>
      </w:pPr>
      <w:r>
        <w:rPr>
          <w:rFonts w:hint="default" w:ascii="Times New Roman" w:hAnsi="Times New Roman" w:eastAsia="黑体" w:cs="Times New Roman"/>
          <w:b/>
          <w:bCs w:val="0"/>
          <w:sz w:val="32"/>
          <w:szCs w:val="32"/>
        </w:rPr>
        <w:t>附件1</w:t>
      </w:r>
    </w:p>
    <w:p w14:paraId="3080E3D9">
      <w:pPr>
        <w:pStyle w:val="19"/>
        <w:ind w:firstLine="562"/>
        <w:jc w:val="center"/>
        <w:rPr>
          <w:rFonts w:hint="default" w:ascii="Times New Roman" w:hAnsi="Times New Roman" w:eastAsia="仿宋_GB2312" w:cs="Times New Roman"/>
          <w:b w:val="0"/>
          <w:bCs w:val="0"/>
          <w:sz w:val="32"/>
          <w:szCs w:val="32"/>
        </w:rPr>
      </w:pPr>
      <w:bookmarkStart w:id="3" w:name="_Toc30064_WPSOffice_Level1"/>
      <w:bookmarkStart w:id="4" w:name="_Toc26499_WPSOffice_Level2"/>
      <w:r>
        <w:rPr>
          <w:rFonts w:hint="default" w:ascii="Times New Roman" w:hAnsi="Times New Roman" w:eastAsia="仿宋_GB2312" w:cs="Times New Roman"/>
          <w:b/>
          <w:bCs/>
          <w:color w:val="auto"/>
          <w:sz w:val="32"/>
          <w:szCs w:val="32"/>
          <w:lang w:val="en-US" w:eastAsia="zh-CN"/>
        </w:rPr>
        <w:t>建设大厦消防维修完善工程</w:t>
      </w:r>
      <w:r>
        <w:rPr>
          <w:rFonts w:hint="default" w:ascii="Times New Roman" w:hAnsi="Times New Roman" w:eastAsia="仿宋_GB2312" w:cs="Times New Roman"/>
          <w:b/>
          <w:bCs/>
          <w:color w:val="auto"/>
          <w:sz w:val="32"/>
          <w:szCs w:val="32"/>
        </w:rPr>
        <w:t>项目绩效评价指标体系及综合评分表</w:t>
      </w:r>
      <w:bookmarkEnd w:id="3"/>
      <w:bookmarkEnd w:id="4"/>
    </w:p>
    <w:tbl>
      <w:tblPr>
        <w:tblStyle w:val="14"/>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32"/>
        <w:gridCol w:w="764"/>
        <w:gridCol w:w="873"/>
        <w:gridCol w:w="2353"/>
        <w:gridCol w:w="5198"/>
        <w:gridCol w:w="1300"/>
        <w:gridCol w:w="1363"/>
      </w:tblGrid>
      <w:tr w14:paraId="10A6B5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32" w:type="dxa"/>
            <w:shd w:val="clear" w:color="auto" w:fill="auto"/>
            <w:vAlign w:val="center"/>
          </w:tcPr>
          <w:p w14:paraId="32BD6D46">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一级指标</w:t>
            </w:r>
          </w:p>
        </w:tc>
        <w:tc>
          <w:tcPr>
            <w:tcW w:w="764" w:type="dxa"/>
            <w:shd w:val="clear" w:color="auto" w:fill="auto"/>
            <w:vAlign w:val="center"/>
          </w:tcPr>
          <w:p w14:paraId="6759D23E">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二级指标</w:t>
            </w:r>
          </w:p>
        </w:tc>
        <w:tc>
          <w:tcPr>
            <w:tcW w:w="873" w:type="dxa"/>
            <w:shd w:val="clear" w:color="auto" w:fill="auto"/>
            <w:vAlign w:val="center"/>
          </w:tcPr>
          <w:p w14:paraId="7F716319">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三级指标</w:t>
            </w:r>
          </w:p>
        </w:tc>
        <w:tc>
          <w:tcPr>
            <w:tcW w:w="2353" w:type="dxa"/>
            <w:shd w:val="clear" w:color="auto" w:fill="auto"/>
            <w:vAlign w:val="center"/>
          </w:tcPr>
          <w:p w14:paraId="687BC554">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指标解释</w:t>
            </w:r>
          </w:p>
        </w:tc>
        <w:tc>
          <w:tcPr>
            <w:tcW w:w="5198" w:type="dxa"/>
            <w:shd w:val="clear" w:color="auto" w:fill="auto"/>
            <w:vAlign w:val="center"/>
          </w:tcPr>
          <w:p w14:paraId="4B01CFDE">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指标说明</w:t>
            </w:r>
          </w:p>
        </w:tc>
        <w:tc>
          <w:tcPr>
            <w:tcW w:w="1300" w:type="dxa"/>
            <w:shd w:val="clear" w:color="auto" w:fill="auto"/>
            <w:vAlign w:val="center"/>
          </w:tcPr>
          <w:p w14:paraId="0A711F2D">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权重</w:t>
            </w:r>
          </w:p>
        </w:tc>
        <w:tc>
          <w:tcPr>
            <w:tcW w:w="1363" w:type="dxa"/>
            <w:shd w:val="clear" w:color="auto" w:fill="auto"/>
            <w:vAlign w:val="center"/>
          </w:tcPr>
          <w:p w14:paraId="2DD6183D">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得分</w:t>
            </w:r>
          </w:p>
        </w:tc>
      </w:tr>
      <w:tr w14:paraId="70BC0F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919" w:hRule="atLeast"/>
          <w:jc w:val="center"/>
        </w:trPr>
        <w:tc>
          <w:tcPr>
            <w:tcW w:w="832" w:type="dxa"/>
            <w:vMerge w:val="restart"/>
            <w:shd w:val="clear" w:color="auto" w:fill="auto"/>
            <w:vAlign w:val="center"/>
          </w:tcPr>
          <w:p w14:paraId="32B16F7B">
            <w:pPr>
              <w:widowControl/>
              <w:spacing w:line="0" w:lineRule="atLeast"/>
              <w:jc w:val="center"/>
              <w:rPr>
                <w:rFonts w:hint="default" w:ascii="Times New Roman" w:hAnsi="Times New Roman" w:eastAsia="仿宋_GB2312" w:cs="Times New Roman"/>
                <w:color w:val="000000"/>
                <w:kern w:val="0"/>
                <w:sz w:val="22"/>
                <w:szCs w:val="22"/>
              </w:rPr>
            </w:pPr>
          </w:p>
          <w:p w14:paraId="643BB702">
            <w:pPr>
              <w:widowControl/>
              <w:spacing w:line="0" w:lineRule="atLeast"/>
              <w:jc w:val="center"/>
              <w:rPr>
                <w:rFonts w:hint="default" w:ascii="Times New Roman" w:hAnsi="Times New Roman" w:eastAsia="仿宋_GB2312" w:cs="Times New Roman"/>
                <w:color w:val="000000"/>
                <w:kern w:val="0"/>
                <w:sz w:val="22"/>
                <w:szCs w:val="22"/>
              </w:rPr>
            </w:pPr>
          </w:p>
          <w:p w14:paraId="0388D713">
            <w:pPr>
              <w:widowControl/>
              <w:spacing w:line="0" w:lineRule="atLeast"/>
              <w:jc w:val="center"/>
              <w:rPr>
                <w:rFonts w:hint="default" w:ascii="Times New Roman" w:hAnsi="Times New Roman" w:eastAsia="仿宋_GB2312" w:cs="Times New Roman"/>
                <w:color w:val="000000"/>
                <w:kern w:val="0"/>
                <w:sz w:val="22"/>
                <w:szCs w:val="22"/>
              </w:rPr>
            </w:pPr>
          </w:p>
          <w:p w14:paraId="5E64EED0">
            <w:pPr>
              <w:widowControl/>
              <w:spacing w:line="0" w:lineRule="atLeast"/>
              <w:jc w:val="center"/>
              <w:rPr>
                <w:rFonts w:hint="default" w:ascii="Times New Roman" w:hAnsi="Times New Roman" w:eastAsia="仿宋_GB2312" w:cs="Times New Roman"/>
                <w:color w:val="000000"/>
                <w:kern w:val="0"/>
                <w:sz w:val="22"/>
                <w:szCs w:val="22"/>
              </w:rPr>
            </w:pPr>
          </w:p>
          <w:p w14:paraId="11D9EAFC">
            <w:pPr>
              <w:widowControl/>
              <w:spacing w:line="0" w:lineRule="atLeast"/>
              <w:jc w:val="center"/>
              <w:rPr>
                <w:rFonts w:hint="default" w:ascii="Times New Roman" w:hAnsi="Times New Roman" w:eastAsia="仿宋_GB2312" w:cs="Times New Roman"/>
                <w:color w:val="000000"/>
                <w:kern w:val="0"/>
                <w:sz w:val="22"/>
                <w:szCs w:val="22"/>
              </w:rPr>
            </w:pPr>
          </w:p>
          <w:p w14:paraId="0A39FA53">
            <w:pPr>
              <w:widowControl/>
              <w:spacing w:line="0" w:lineRule="atLeast"/>
              <w:jc w:val="center"/>
              <w:rPr>
                <w:rFonts w:hint="default" w:ascii="Times New Roman" w:hAnsi="Times New Roman" w:eastAsia="仿宋_GB2312" w:cs="Times New Roman"/>
                <w:color w:val="000000"/>
                <w:kern w:val="0"/>
                <w:sz w:val="22"/>
                <w:szCs w:val="22"/>
              </w:rPr>
            </w:pPr>
          </w:p>
          <w:p w14:paraId="505FD75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决策　</w:t>
            </w:r>
          </w:p>
        </w:tc>
        <w:tc>
          <w:tcPr>
            <w:tcW w:w="764" w:type="dxa"/>
            <w:vMerge w:val="restart"/>
            <w:shd w:val="clear" w:color="auto" w:fill="auto"/>
            <w:vAlign w:val="center"/>
          </w:tcPr>
          <w:p w14:paraId="64ED373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　</w:t>
            </w:r>
          </w:p>
        </w:tc>
        <w:tc>
          <w:tcPr>
            <w:tcW w:w="873" w:type="dxa"/>
            <w:shd w:val="clear" w:color="auto" w:fill="auto"/>
            <w:vAlign w:val="center"/>
          </w:tcPr>
          <w:p w14:paraId="10413EA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立项依据</w:t>
            </w:r>
          </w:p>
          <w:p w14:paraId="2181EED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充分性</w:t>
            </w:r>
          </w:p>
        </w:tc>
        <w:tc>
          <w:tcPr>
            <w:tcW w:w="2353" w:type="dxa"/>
            <w:shd w:val="clear" w:color="auto" w:fill="auto"/>
            <w:vAlign w:val="center"/>
          </w:tcPr>
          <w:p w14:paraId="0E17A4F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项目立项是否符合法律法规、相关政策、发展规划以及部门职责，用以反映和考核项目立项依据情况。</w:t>
            </w:r>
          </w:p>
        </w:tc>
        <w:tc>
          <w:tcPr>
            <w:tcW w:w="5198" w:type="dxa"/>
            <w:shd w:val="clear" w:color="auto" w:fill="auto"/>
            <w:vAlign w:val="center"/>
          </w:tcPr>
          <w:p w14:paraId="4C2AC209">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①项目立项是否符合国家法律法规、国民经济发展规划和相关政策；</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②项目立项是否符合行业发展规划和政策要求；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③项目立项是否与部门职责范围相符，属于部门履职所需；</w:t>
            </w:r>
            <w:bookmarkStart w:id="5" w:name="_GoBack"/>
            <w:bookmarkEnd w:id="5"/>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④项目是否属于公共财政支持范围，是否符合中央、地方事权支出责任划分原则；</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⑤项目是否与相关部门同类项目或部门内部相关项目重复。</w:t>
            </w:r>
          </w:p>
        </w:tc>
        <w:tc>
          <w:tcPr>
            <w:tcW w:w="1300" w:type="dxa"/>
            <w:shd w:val="clear" w:color="auto" w:fill="auto"/>
            <w:vAlign w:val="center"/>
          </w:tcPr>
          <w:p w14:paraId="13287416">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35C3E3E5">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77E903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auto"/>
            <w:vAlign w:val="center"/>
          </w:tcPr>
          <w:p w14:paraId="30F99A3C">
            <w:pPr>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770DD256">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3588F2F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立项程序</w:t>
            </w:r>
          </w:p>
          <w:p w14:paraId="373CA5E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规范性</w:t>
            </w:r>
          </w:p>
        </w:tc>
        <w:tc>
          <w:tcPr>
            <w:tcW w:w="2353" w:type="dxa"/>
            <w:shd w:val="clear" w:color="auto" w:fill="auto"/>
            <w:vAlign w:val="center"/>
          </w:tcPr>
          <w:p w14:paraId="3311E84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项目申请、设立过程是否符合相关要求，用以反映和考核项目立项的规范情况。</w:t>
            </w:r>
          </w:p>
        </w:tc>
        <w:tc>
          <w:tcPr>
            <w:tcW w:w="5198" w:type="dxa"/>
            <w:shd w:val="clear" w:color="auto" w:fill="auto"/>
            <w:vAlign w:val="center"/>
          </w:tcPr>
          <w:p w14:paraId="533A85A1">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①项目是否按照规定的程序申请设立；</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②审批文件、材料是否符合相关要求；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③事前是否已经过必要的可行性研究、专家论证、风险评估、绩效评估、集体决策。</w:t>
            </w:r>
          </w:p>
        </w:tc>
        <w:tc>
          <w:tcPr>
            <w:tcW w:w="1300" w:type="dxa"/>
            <w:shd w:val="clear" w:color="auto" w:fill="auto"/>
            <w:vAlign w:val="center"/>
          </w:tcPr>
          <w:p w14:paraId="25887F35">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257D0F71">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4D3B53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90" w:hRule="atLeast"/>
          <w:jc w:val="center"/>
        </w:trPr>
        <w:tc>
          <w:tcPr>
            <w:tcW w:w="832" w:type="dxa"/>
            <w:vMerge w:val="continue"/>
            <w:shd w:val="clear" w:color="auto" w:fill="auto"/>
            <w:vAlign w:val="center"/>
          </w:tcPr>
          <w:p w14:paraId="19D09A1F">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14:paraId="7977EC3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　</w:t>
            </w:r>
          </w:p>
        </w:tc>
        <w:tc>
          <w:tcPr>
            <w:tcW w:w="873" w:type="dxa"/>
            <w:shd w:val="clear" w:color="auto" w:fill="auto"/>
            <w:vAlign w:val="center"/>
          </w:tcPr>
          <w:p w14:paraId="7CA82C2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w:t>
            </w:r>
          </w:p>
          <w:p w14:paraId="657AF4D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353" w:type="dxa"/>
            <w:shd w:val="clear" w:color="auto" w:fill="auto"/>
            <w:vAlign w:val="center"/>
          </w:tcPr>
          <w:p w14:paraId="5318E90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项目所设定的绩效目标是否依据充分，是否符合客观实际，用以反映和考核项目绩效目标与项目实施的相符情况。</w:t>
            </w:r>
          </w:p>
        </w:tc>
        <w:tc>
          <w:tcPr>
            <w:tcW w:w="5198" w:type="dxa"/>
            <w:shd w:val="clear" w:color="auto" w:fill="auto"/>
            <w:vAlign w:val="center"/>
          </w:tcPr>
          <w:p w14:paraId="00170102">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（如未设定预算绩效目标，也可考核其他工作任务目标）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①项目是否有绩效目标；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②项目绩效目标与实际工作内容是否具有相关性；</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③项目预期产出效益和效果是否符合正常的业绩水平；</w:t>
            </w:r>
          </w:p>
          <w:p w14:paraId="6AF81117">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④是否与预算确定的项目投资额或资金量相匹配。</w:t>
            </w:r>
          </w:p>
        </w:tc>
        <w:tc>
          <w:tcPr>
            <w:tcW w:w="1300" w:type="dxa"/>
            <w:shd w:val="clear" w:color="auto" w:fill="auto"/>
            <w:vAlign w:val="center"/>
          </w:tcPr>
          <w:p w14:paraId="21A7D8C7">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6E4E8381">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028D95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32" w:type="dxa"/>
            <w:vMerge w:val="continue"/>
            <w:shd w:val="clear" w:color="auto" w:fill="auto"/>
            <w:vAlign w:val="center"/>
          </w:tcPr>
          <w:p w14:paraId="74543700">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5F8E210E">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5E23C7A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绩效指标</w:t>
            </w:r>
          </w:p>
          <w:p w14:paraId="2C0B07E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明确性</w:t>
            </w:r>
          </w:p>
        </w:tc>
        <w:tc>
          <w:tcPr>
            <w:tcW w:w="2353" w:type="dxa"/>
            <w:shd w:val="clear" w:color="auto" w:fill="auto"/>
            <w:vAlign w:val="center"/>
          </w:tcPr>
          <w:p w14:paraId="0107E4A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依据绩效目标设定的绩效指标是否清晰、细化、可衡量等，用以反映和考核项目绩效目标的明细化情况。</w:t>
            </w:r>
          </w:p>
        </w:tc>
        <w:tc>
          <w:tcPr>
            <w:tcW w:w="5198" w:type="dxa"/>
            <w:shd w:val="clear" w:color="auto" w:fill="auto"/>
            <w:vAlign w:val="center"/>
          </w:tcPr>
          <w:p w14:paraId="1AAE037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①是否将项目绩效目标细化分解为具体的绩效指标；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②是否通过清晰、可衡量的指标值予以体现；</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③是否与项目目标任务数或计划数相对应。</w:t>
            </w:r>
            <w:r>
              <w:rPr>
                <w:rFonts w:hint="default" w:ascii="Times New Roman" w:hAnsi="Times New Roman" w:eastAsia="仿宋_GB2312" w:cs="Times New Roman"/>
                <w:color w:val="000000"/>
                <w:kern w:val="0"/>
                <w:sz w:val="22"/>
                <w:szCs w:val="22"/>
              </w:rPr>
              <w:br w:type="textWrapping"/>
            </w:r>
          </w:p>
        </w:tc>
        <w:tc>
          <w:tcPr>
            <w:tcW w:w="1300" w:type="dxa"/>
            <w:shd w:val="clear" w:color="auto" w:fill="auto"/>
            <w:vAlign w:val="center"/>
          </w:tcPr>
          <w:p w14:paraId="0D2C1F0D">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3B18EAAF">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152C4E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32" w:type="dxa"/>
            <w:vMerge w:val="continue"/>
            <w:shd w:val="clear" w:color="auto" w:fill="auto"/>
            <w:vAlign w:val="center"/>
          </w:tcPr>
          <w:p w14:paraId="084B4376">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14:paraId="710AC7F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资金投入</w:t>
            </w:r>
          </w:p>
          <w:p w14:paraId="1FBC01CA">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auto"/>
            <w:vAlign w:val="center"/>
          </w:tcPr>
          <w:p w14:paraId="19B03BB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预算编制</w:t>
            </w:r>
          </w:p>
          <w:p w14:paraId="508EFCF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科学性</w:t>
            </w:r>
          </w:p>
        </w:tc>
        <w:tc>
          <w:tcPr>
            <w:tcW w:w="2353" w:type="dxa"/>
            <w:shd w:val="clear" w:color="auto" w:fill="auto"/>
            <w:vAlign w:val="center"/>
          </w:tcPr>
          <w:p w14:paraId="1B10A117">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auto"/>
            <w:vAlign w:val="center"/>
          </w:tcPr>
          <w:p w14:paraId="0759078F">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①预算编制是否经过科学论证；</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②预算内容与项目内容是否匹配；</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③预算额度测算依据是否充分，是否按照标准编制；</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④预算确定的项目投资额或资金量是否与工作任务相匹配。</w:t>
            </w:r>
          </w:p>
        </w:tc>
        <w:tc>
          <w:tcPr>
            <w:tcW w:w="1300" w:type="dxa"/>
            <w:shd w:val="clear" w:color="auto" w:fill="auto"/>
            <w:vAlign w:val="center"/>
          </w:tcPr>
          <w:p w14:paraId="61ECA771">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4415B82A">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3B5A37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32" w:type="dxa"/>
            <w:vMerge w:val="continue"/>
            <w:shd w:val="clear" w:color="auto" w:fill="auto"/>
            <w:vAlign w:val="center"/>
          </w:tcPr>
          <w:p w14:paraId="5CC9E2FF">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617D2075">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3575357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资金分配</w:t>
            </w:r>
          </w:p>
          <w:p w14:paraId="09FC1CD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353" w:type="dxa"/>
            <w:shd w:val="clear" w:color="auto" w:fill="auto"/>
            <w:vAlign w:val="center"/>
          </w:tcPr>
          <w:p w14:paraId="2F01E1C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auto"/>
            <w:vAlign w:val="center"/>
          </w:tcPr>
          <w:p w14:paraId="4265D501">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①预算资金分配依据是否充分；</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②资金分配额度是否合理，与项目单位或地方实际是否相适应。</w:t>
            </w:r>
          </w:p>
        </w:tc>
        <w:tc>
          <w:tcPr>
            <w:tcW w:w="1300" w:type="dxa"/>
            <w:shd w:val="clear" w:color="auto" w:fill="auto"/>
            <w:vAlign w:val="center"/>
          </w:tcPr>
          <w:p w14:paraId="6CF58F0B">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43EAAB29">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0BFDA4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32" w:type="dxa"/>
            <w:vMerge w:val="restart"/>
            <w:shd w:val="clear" w:color="auto" w:fill="auto"/>
            <w:vAlign w:val="center"/>
          </w:tcPr>
          <w:p w14:paraId="538FF290">
            <w:pPr>
              <w:spacing w:line="0" w:lineRule="atLeast"/>
              <w:jc w:val="center"/>
              <w:rPr>
                <w:rFonts w:hint="default" w:ascii="Times New Roman" w:hAnsi="Times New Roman" w:eastAsia="仿宋_GB2312" w:cs="Times New Roman"/>
                <w:color w:val="000000"/>
                <w:kern w:val="0"/>
                <w:sz w:val="22"/>
                <w:szCs w:val="22"/>
              </w:rPr>
            </w:pPr>
          </w:p>
          <w:p w14:paraId="1B3E523A">
            <w:pPr>
              <w:spacing w:line="0" w:lineRule="atLeast"/>
              <w:jc w:val="center"/>
              <w:rPr>
                <w:rFonts w:hint="default" w:ascii="Times New Roman" w:hAnsi="Times New Roman" w:eastAsia="仿宋_GB2312" w:cs="Times New Roman"/>
                <w:color w:val="000000"/>
                <w:kern w:val="0"/>
                <w:sz w:val="22"/>
                <w:szCs w:val="22"/>
              </w:rPr>
            </w:pPr>
          </w:p>
          <w:p w14:paraId="2D32CCC7">
            <w:pPr>
              <w:spacing w:line="0" w:lineRule="atLeast"/>
              <w:jc w:val="center"/>
              <w:rPr>
                <w:rFonts w:hint="default" w:ascii="Times New Roman" w:hAnsi="Times New Roman" w:eastAsia="仿宋_GB2312" w:cs="Times New Roman"/>
                <w:color w:val="000000"/>
                <w:kern w:val="0"/>
                <w:sz w:val="22"/>
                <w:szCs w:val="22"/>
              </w:rPr>
            </w:pPr>
          </w:p>
          <w:p w14:paraId="79F694E8">
            <w:pPr>
              <w:spacing w:line="0" w:lineRule="atLeast"/>
              <w:jc w:val="center"/>
              <w:rPr>
                <w:rFonts w:hint="default" w:ascii="Times New Roman" w:hAnsi="Times New Roman" w:eastAsia="仿宋_GB2312" w:cs="Times New Roman"/>
                <w:color w:val="000000"/>
                <w:kern w:val="0"/>
                <w:sz w:val="22"/>
                <w:szCs w:val="22"/>
              </w:rPr>
            </w:pPr>
          </w:p>
          <w:p w14:paraId="2372D44C">
            <w:pPr>
              <w:spacing w:line="0" w:lineRule="atLeast"/>
              <w:jc w:val="center"/>
              <w:rPr>
                <w:rFonts w:hint="default" w:ascii="Times New Roman" w:hAnsi="Times New Roman" w:eastAsia="仿宋_GB2312" w:cs="Times New Roman"/>
                <w:color w:val="000000"/>
                <w:kern w:val="0"/>
                <w:sz w:val="22"/>
                <w:szCs w:val="22"/>
              </w:rPr>
            </w:pPr>
          </w:p>
          <w:p w14:paraId="2558ED77">
            <w:pPr>
              <w:spacing w:line="0" w:lineRule="atLeast"/>
              <w:jc w:val="center"/>
              <w:rPr>
                <w:rFonts w:hint="default" w:ascii="Times New Roman" w:hAnsi="Times New Roman" w:eastAsia="仿宋_GB2312" w:cs="Times New Roman"/>
                <w:color w:val="000000"/>
                <w:kern w:val="0"/>
                <w:sz w:val="22"/>
                <w:szCs w:val="22"/>
              </w:rPr>
            </w:pPr>
          </w:p>
          <w:p w14:paraId="0F766A01">
            <w:pPr>
              <w:spacing w:line="0" w:lineRule="atLeast"/>
              <w:jc w:val="center"/>
              <w:rPr>
                <w:rFonts w:hint="default" w:ascii="Times New Roman" w:hAnsi="Times New Roman" w:eastAsia="仿宋_GB2312" w:cs="Times New Roman"/>
                <w:color w:val="000000"/>
                <w:kern w:val="0"/>
                <w:sz w:val="22"/>
                <w:szCs w:val="22"/>
              </w:rPr>
            </w:pPr>
          </w:p>
          <w:p w14:paraId="620754BB">
            <w:pPr>
              <w:spacing w:line="0" w:lineRule="atLeast"/>
              <w:jc w:val="center"/>
              <w:rPr>
                <w:rFonts w:hint="default" w:ascii="Times New Roman" w:hAnsi="Times New Roman" w:eastAsia="仿宋_GB2312" w:cs="Times New Roman"/>
                <w:color w:val="000000"/>
                <w:kern w:val="0"/>
                <w:sz w:val="22"/>
                <w:szCs w:val="22"/>
              </w:rPr>
            </w:pPr>
          </w:p>
          <w:p w14:paraId="3EDE98A2">
            <w:pPr>
              <w:spacing w:line="0" w:lineRule="atLeast"/>
              <w:jc w:val="center"/>
              <w:rPr>
                <w:rFonts w:hint="default" w:ascii="Times New Roman" w:hAnsi="Times New Roman" w:eastAsia="仿宋_GB2312" w:cs="Times New Roman"/>
                <w:color w:val="000000"/>
                <w:kern w:val="0"/>
                <w:sz w:val="22"/>
                <w:szCs w:val="22"/>
              </w:rPr>
            </w:pPr>
          </w:p>
          <w:p w14:paraId="097471C2">
            <w:pPr>
              <w:spacing w:line="0" w:lineRule="atLeast"/>
              <w:jc w:val="center"/>
              <w:rPr>
                <w:rFonts w:hint="default" w:ascii="Times New Roman" w:hAnsi="Times New Roman" w:eastAsia="仿宋_GB2312" w:cs="Times New Roman"/>
                <w:color w:val="000000"/>
                <w:kern w:val="0"/>
                <w:sz w:val="22"/>
                <w:szCs w:val="22"/>
              </w:rPr>
            </w:pPr>
          </w:p>
          <w:p w14:paraId="3B003093">
            <w:pPr>
              <w:spacing w:line="0" w:lineRule="atLeast"/>
              <w:jc w:val="center"/>
              <w:rPr>
                <w:rFonts w:hint="default" w:ascii="Times New Roman" w:hAnsi="Times New Roman" w:eastAsia="仿宋_GB2312" w:cs="Times New Roman"/>
                <w:color w:val="000000"/>
                <w:kern w:val="0"/>
                <w:sz w:val="22"/>
                <w:szCs w:val="22"/>
              </w:rPr>
            </w:pPr>
          </w:p>
          <w:p w14:paraId="05875AE0">
            <w:pPr>
              <w:spacing w:line="0" w:lineRule="atLeast"/>
              <w:jc w:val="center"/>
              <w:rPr>
                <w:rFonts w:hint="default" w:ascii="Times New Roman" w:hAnsi="Times New Roman" w:eastAsia="仿宋_GB2312" w:cs="Times New Roman"/>
                <w:color w:val="000000"/>
                <w:kern w:val="0"/>
                <w:sz w:val="22"/>
                <w:szCs w:val="22"/>
              </w:rPr>
            </w:pPr>
          </w:p>
          <w:p w14:paraId="6053EA9B">
            <w:pPr>
              <w:spacing w:line="0" w:lineRule="atLeast"/>
              <w:jc w:val="center"/>
              <w:rPr>
                <w:rFonts w:hint="default" w:ascii="Times New Roman" w:hAnsi="Times New Roman" w:eastAsia="仿宋_GB2312" w:cs="Times New Roman"/>
                <w:color w:val="000000"/>
                <w:kern w:val="0"/>
                <w:sz w:val="22"/>
                <w:szCs w:val="22"/>
              </w:rPr>
            </w:pPr>
          </w:p>
          <w:p w14:paraId="362F085F">
            <w:pPr>
              <w:spacing w:line="0" w:lineRule="atLeast"/>
              <w:jc w:val="center"/>
              <w:rPr>
                <w:rFonts w:hint="default" w:ascii="Times New Roman" w:hAnsi="Times New Roman" w:eastAsia="仿宋_GB2312" w:cs="Times New Roman"/>
                <w:color w:val="000000"/>
                <w:kern w:val="0"/>
                <w:sz w:val="22"/>
                <w:szCs w:val="22"/>
              </w:rPr>
            </w:pPr>
          </w:p>
          <w:p w14:paraId="5300D457">
            <w:pPr>
              <w:spacing w:line="0" w:lineRule="atLeast"/>
              <w:jc w:val="center"/>
              <w:rPr>
                <w:rFonts w:hint="default" w:ascii="Times New Roman" w:hAnsi="Times New Roman" w:eastAsia="仿宋_GB2312" w:cs="Times New Roman"/>
                <w:color w:val="000000"/>
                <w:kern w:val="0"/>
                <w:sz w:val="22"/>
                <w:szCs w:val="22"/>
              </w:rPr>
            </w:pPr>
          </w:p>
          <w:p w14:paraId="53EEF038">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过程</w:t>
            </w:r>
          </w:p>
          <w:p w14:paraId="67CD482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764" w:type="dxa"/>
            <w:vMerge w:val="restart"/>
            <w:shd w:val="clear" w:color="auto" w:fill="auto"/>
            <w:vAlign w:val="center"/>
          </w:tcPr>
          <w:p w14:paraId="5905E7A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auto"/>
            <w:vAlign w:val="center"/>
          </w:tcPr>
          <w:p w14:paraId="5282D2F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w:t>
            </w:r>
          </w:p>
        </w:tc>
        <w:tc>
          <w:tcPr>
            <w:tcW w:w="2353" w:type="dxa"/>
            <w:shd w:val="clear" w:color="auto" w:fill="auto"/>
            <w:vAlign w:val="center"/>
          </w:tcPr>
          <w:p w14:paraId="2BB3F079">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实际到位资金与预算资金的比率，用以反映和考核资金落实情况对项目实施的总体保障程度。</w:t>
            </w:r>
          </w:p>
        </w:tc>
        <w:tc>
          <w:tcPr>
            <w:tcW w:w="5198" w:type="dxa"/>
            <w:shd w:val="clear" w:color="auto" w:fill="auto"/>
            <w:vAlign w:val="center"/>
          </w:tcPr>
          <w:p w14:paraId="3C7C5AD1">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资金到位率=（实际到位资金/预算资金）×100%。</w:t>
            </w:r>
          </w:p>
          <w:p w14:paraId="1D33FCB0">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实际到位资金：一定时期（本年度或项目期）内落实到具体项目的资金。</w:t>
            </w:r>
          </w:p>
          <w:p w14:paraId="6CD9F14E">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预算资金：一定时期（本年度或项目期）内预算安排到具体项目的资金。</w:t>
            </w:r>
          </w:p>
        </w:tc>
        <w:tc>
          <w:tcPr>
            <w:tcW w:w="1300" w:type="dxa"/>
            <w:shd w:val="clear" w:color="auto" w:fill="auto"/>
            <w:vAlign w:val="center"/>
          </w:tcPr>
          <w:p w14:paraId="7EC2379C">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7BE25535">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382420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20" w:hRule="atLeast"/>
          <w:jc w:val="center"/>
        </w:trPr>
        <w:tc>
          <w:tcPr>
            <w:tcW w:w="832" w:type="dxa"/>
            <w:vMerge w:val="continue"/>
            <w:shd w:val="clear" w:color="auto" w:fill="auto"/>
            <w:vAlign w:val="center"/>
          </w:tcPr>
          <w:p w14:paraId="2AC625DC">
            <w:pPr>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6C1DF8A8">
            <w:pPr>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6085159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w:t>
            </w:r>
          </w:p>
        </w:tc>
        <w:tc>
          <w:tcPr>
            <w:tcW w:w="2353" w:type="dxa"/>
            <w:shd w:val="clear" w:color="auto" w:fill="auto"/>
            <w:vAlign w:val="center"/>
          </w:tcPr>
          <w:p w14:paraId="69ADB62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项目预算资金是否按照计划执行，用以反映或考核项目预算执行情况。</w:t>
            </w:r>
          </w:p>
        </w:tc>
        <w:tc>
          <w:tcPr>
            <w:tcW w:w="5198" w:type="dxa"/>
            <w:shd w:val="clear" w:color="auto" w:fill="auto"/>
            <w:vAlign w:val="center"/>
          </w:tcPr>
          <w:p w14:paraId="458CD24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预算执行率=（实际支出资金/实际到位资金）×100%。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实际支出资金：一定时期（本年度或项目期）内项目实际拨付的资金。</w:t>
            </w:r>
          </w:p>
        </w:tc>
        <w:tc>
          <w:tcPr>
            <w:tcW w:w="1300" w:type="dxa"/>
            <w:shd w:val="clear" w:color="auto" w:fill="auto"/>
            <w:vAlign w:val="center"/>
          </w:tcPr>
          <w:p w14:paraId="0F2D1472">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default" w:ascii="Times New Roman" w:hAnsi="Times New Roman" w:eastAsia="仿宋_GB2312" w:cs="Times New Roman"/>
                <w:b/>
                <w:bCs/>
                <w:color w:val="000000"/>
                <w:kern w:val="0"/>
                <w:sz w:val="22"/>
                <w:szCs w:val="22"/>
                <w:lang w:val="en-US" w:eastAsia="zh-CN"/>
              </w:rPr>
              <w:t>4</w:t>
            </w:r>
          </w:p>
        </w:tc>
        <w:tc>
          <w:tcPr>
            <w:tcW w:w="1363" w:type="dxa"/>
            <w:shd w:val="clear" w:color="auto" w:fill="auto"/>
            <w:vAlign w:val="center"/>
          </w:tcPr>
          <w:p w14:paraId="53E94522">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eastAsia" w:eastAsia="仿宋_GB2312" w:cs="Times New Roman"/>
                <w:b/>
                <w:bCs/>
                <w:color w:val="000000"/>
                <w:kern w:val="0"/>
                <w:sz w:val="22"/>
                <w:szCs w:val="22"/>
                <w:lang w:val="en-US" w:eastAsia="zh-CN"/>
              </w:rPr>
              <w:t>2.75</w:t>
            </w:r>
          </w:p>
        </w:tc>
      </w:tr>
      <w:tr w14:paraId="64CF1E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auto"/>
            <w:vAlign w:val="center"/>
          </w:tcPr>
          <w:p w14:paraId="56215399">
            <w:pP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02BEBB1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auto"/>
            <w:vAlign w:val="center"/>
          </w:tcPr>
          <w:p w14:paraId="70815BF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资金使用</w:t>
            </w:r>
          </w:p>
          <w:p w14:paraId="5F5BDC2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合规性</w:t>
            </w:r>
          </w:p>
        </w:tc>
        <w:tc>
          <w:tcPr>
            <w:tcW w:w="2353" w:type="dxa"/>
            <w:shd w:val="clear" w:color="auto" w:fill="auto"/>
            <w:vAlign w:val="center"/>
          </w:tcPr>
          <w:p w14:paraId="1488442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项目资金使用是否符合相关的财务管理制度规定，用以反映和考核项目资金的规范运行情况。</w:t>
            </w:r>
          </w:p>
        </w:tc>
        <w:tc>
          <w:tcPr>
            <w:tcW w:w="5198" w:type="dxa"/>
            <w:shd w:val="clear" w:color="auto" w:fill="auto"/>
            <w:vAlign w:val="center"/>
          </w:tcPr>
          <w:p w14:paraId="6A5EDB17">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①是否符合国家财经法规和财务管理制度以及有关专项资金管理办法的规定；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②资金的拨付是否有完整的审批程序和手续；</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③是否符合项目预算批复或合同规定的用途；</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④是否存在截留、挤占、挪用、虚列支出等情况。</w:t>
            </w:r>
          </w:p>
        </w:tc>
        <w:tc>
          <w:tcPr>
            <w:tcW w:w="1300" w:type="dxa"/>
            <w:shd w:val="clear" w:color="auto" w:fill="auto"/>
            <w:vAlign w:val="center"/>
          </w:tcPr>
          <w:p w14:paraId="279D34EB">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74470A79">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00FAFD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32" w:type="dxa"/>
            <w:vMerge w:val="continue"/>
            <w:shd w:val="clear" w:color="auto" w:fill="auto"/>
            <w:vAlign w:val="center"/>
          </w:tcPr>
          <w:p w14:paraId="44767FCE">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14:paraId="1D40BE7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组织实施</w:t>
            </w:r>
          </w:p>
          <w:p w14:paraId="2EAC6E2C">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auto"/>
            <w:vAlign w:val="center"/>
          </w:tcPr>
          <w:p w14:paraId="261543D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管理制度</w:t>
            </w:r>
          </w:p>
          <w:p w14:paraId="74D2391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健全性</w:t>
            </w:r>
          </w:p>
        </w:tc>
        <w:tc>
          <w:tcPr>
            <w:tcW w:w="2353" w:type="dxa"/>
            <w:shd w:val="clear" w:color="auto" w:fill="auto"/>
            <w:vAlign w:val="center"/>
          </w:tcPr>
          <w:p w14:paraId="3C7421D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项目实施单位的财务和业务管理制度是否健全，用以反映和考核财务和业务管理制度对项目顺利实施的保障情况。</w:t>
            </w:r>
          </w:p>
        </w:tc>
        <w:tc>
          <w:tcPr>
            <w:tcW w:w="5198" w:type="dxa"/>
            <w:shd w:val="clear" w:color="auto" w:fill="auto"/>
            <w:vAlign w:val="center"/>
          </w:tcPr>
          <w:p w14:paraId="0EF74CA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①是否已制定或具有相应的财务和业务管理制度；</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②财务和业务管理制度是否合法、合规、完整。</w:t>
            </w:r>
          </w:p>
        </w:tc>
        <w:tc>
          <w:tcPr>
            <w:tcW w:w="1300" w:type="dxa"/>
            <w:shd w:val="clear" w:color="auto" w:fill="auto"/>
            <w:vAlign w:val="center"/>
          </w:tcPr>
          <w:p w14:paraId="7931A1AF">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0F5706AB">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44FF25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69" w:hRule="atLeast"/>
          <w:jc w:val="center"/>
        </w:trPr>
        <w:tc>
          <w:tcPr>
            <w:tcW w:w="832" w:type="dxa"/>
            <w:vMerge w:val="continue"/>
            <w:shd w:val="clear" w:color="auto" w:fill="auto"/>
            <w:vAlign w:val="center"/>
          </w:tcPr>
          <w:p w14:paraId="07840E2C">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235BCEF7">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7033E57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制度执行</w:t>
            </w:r>
          </w:p>
          <w:p w14:paraId="75D9A9E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有效性</w:t>
            </w:r>
          </w:p>
        </w:tc>
        <w:tc>
          <w:tcPr>
            <w:tcW w:w="2353" w:type="dxa"/>
            <w:shd w:val="clear" w:color="auto" w:fill="auto"/>
            <w:vAlign w:val="center"/>
          </w:tcPr>
          <w:p w14:paraId="7F31E0A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项目实施是否符合相关管理规定，用以反映和考核相关管理制度的有效执行情况。</w:t>
            </w:r>
          </w:p>
        </w:tc>
        <w:tc>
          <w:tcPr>
            <w:tcW w:w="5198" w:type="dxa"/>
            <w:shd w:val="clear" w:color="auto" w:fill="auto"/>
            <w:vAlign w:val="center"/>
          </w:tcPr>
          <w:p w14:paraId="63DD8B5D">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①是否遵守相关法律法规和相关管理规定；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②项目调整及支出调整手续是否完备；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③项目合同书、验收报告、技术鉴定等资料是否齐全并及时归档；</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④项目实施的人员条件、场地设备、信息支撑等是否落实到位。</w:t>
            </w:r>
          </w:p>
        </w:tc>
        <w:tc>
          <w:tcPr>
            <w:tcW w:w="1300" w:type="dxa"/>
            <w:shd w:val="clear" w:color="auto" w:fill="auto"/>
            <w:vAlign w:val="center"/>
          </w:tcPr>
          <w:p w14:paraId="557FF83F">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57EBBA73">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3F8E88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32" w:type="dxa"/>
            <w:vMerge w:val="restart"/>
            <w:shd w:val="clear" w:color="auto" w:fill="auto"/>
            <w:vAlign w:val="center"/>
          </w:tcPr>
          <w:p w14:paraId="5D219E0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w:t>
            </w:r>
          </w:p>
        </w:tc>
        <w:tc>
          <w:tcPr>
            <w:tcW w:w="764" w:type="dxa"/>
            <w:shd w:val="clear" w:color="auto" w:fill="auto"/>
            <w:vAlign w:val="center"/>
          </w:tcPr>
          <w:p w14:paraId="362CAE7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产出数量</w:t>
            </w:r>
          </w:p>
        </w:tc>
        <w:tc>
          <w:tcPr>
            <w:tcW w:w="873" w:type="dxa"/>
            <w:shd w:val="clear" w:color="auto" w:fill="auto"/>
            <w:vAlign w:val="center"/>
          </w:tcPr>
          <w:p w14:paraId="4E0A550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w:t>
            </w:r>
          </w:p>
        </w:tc>
        <w:tc>
          <w:tcPr>
            <w:tcW w:w="2353" w:type="dxa"/>
            <w:shd w:val="clear" w:color="auto" w:fill="auto"/>
            <w:vAlign w:val="center"/>
          </w:tcPr>
          <w:p w14:paraId="4902CE4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项目实施的实际产出数与计划产出数的比率，用以反映和考核项目产出数量目标的实现程度。</w:t>
            </w:r>
          </w:p>
        </w:tc>
        <w:tc>
          <w:tcPr>
            <w:tcW w:w="5198" w:type="dxa"/>
            <w:shd w:val="clear" w:color="auto" w:fill="auto"/>
            <w:vAlign w:val="center"/>
          </w:tcPr>
          <w:p w14:paraId="368C9E81">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实际完成率=（实际产出数/计划产出数）×100%。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实际产出数：一定时期（本年度或项目期）内项目实际产出的产品或提供的服务数量。</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计划产出</w:t>
            </w:r>
            <w:r>
              <w:rPr>
                <w:rFonts w:hint="eastAsia" w:ascii="Times New Roman" w:hAnsi="Times New Roman" w:eastAsia="仿宋_GB2312" w:cs="Times New Roman"/>
                <w:color w:val="000000"/>
                <w:kern w:val="0"/>
                <w:sz w:val="22"/>
                <w:szCs w:val="22"/>
                <w:lang w:eastAsia="zh-CN"/>
              </w:rPr>
              <w:t>数量</w:t>
            </w:r>
            <w:r>
              <w:rPr>
                <w:rFonts w:hint="default" w:ascii="Times New Roman" w:hAnsi="Times New Roman" w:eastAsia="仿宋_GB2312" w:cs="Times New Roman"/>
                <w:color w:val="000000"/>
                <w:kern w:val="0"/>
                <w:sz w:val="22"/>
                <w:szCs w:val="22"/>
              </w:rPr>
              <w:t>：项目绩效目标确定的在一定时期（本年度或项目期）内计划产出的产品或提供的服务数量。</w:t>
            </w:r>
          </w:p>
        </w:tc>
        <w:tc>
          <w:tcPr>
            <w:tcW w:w="1300" w:type="dxa"/>
            <w:shd w:val="clear" w:color="auto" w:fill="auto"/>
            <w:vAlign w:val="center"/>
          </w:tcPr>
          <w:p w14:paraId="4D20516C">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2076FDD9">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9.3</w:t>
            </w:r>
          </w:p>
        </w:tc>
      </w:tr>
      <w:tr w14:paraId="3749C7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32" w:type="dxa"/>
            <w:vMerge w:val="continue"/>
            <w:shd w:val="clear" w:color="auto" w:fill="auto"/>
            <w:vAlign w:val="center"/>
          </w:tcPr>
          <w:p w14:paraId="4F9C1976">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50F25BE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产出质量</w:t>
            </w:r>
          </w:p>
        </w:tc>
        <w:tc>
          <w:tcPr>
            <w:tcW w:w="873" w:type="dxa"/>
            <w:shd w:val="clear" w:color="auto" w:fill="auto"/>
            <w:vAlign w:val="center"/>
          </w:tcPr>
          <w:p w14:paraId="58D6CDA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w:t>
            </w:r>
          </w:p>
        </w:tc>
        <w:tc>
          <w:tcPr>
            <w:tcW w:w="2353" w:type="dxa"/>
            <w:shd w:val="clear" w:color="auto" w:fill="auto"/>
            <w:vAlign w:val="center"/>
          </w:tcPr>
          <w:p w14:paraId="653A793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项目完成的质量达标产出数与实际产出数的比率，用以反映和考核项目产出质量目标的实现程度。</w:t>
            </w:r>
          </w:p>
        </w:tc>
        <w:tc>
          <w:tcPr>
            <w:tcW w:w="5198" w:type="dxa"/>
            <w:shd w:val="clear" w:color="auto" w:fill="auto"/>
            <w:vAlign w:val="center"/>
          </w:tcPr>
          <w:p w14:paraId="5892DA4E">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质量达标率=（质量达标产出数/实际产出数）×100%。</w:t>
            </w:r>
          </w:p>
          <w:p w14:paraId="3F4A57B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auto" w:fill="auto"/>
            <w:vAlign w:val="center"/>
          </w:tcPr>
          <w:p w14:paraId="14DEB66F">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40E3C8D8">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6.67</w:t>
            </w:r>
          </w:p>
        </w:tc>
      </w:tr>
      <w:tr w14:paraId="3A90F5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32" w:type="dxa"/>
            <w:vMerge w:val="continue"/>
            <w:shd w:val="clear" w:color="auto" w:fill="auto"/>
            <w:vAlign w:val="center"/>
          </w:tcPr>
          <w:p w14:paraId="212A1D65">
            <w:pP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3C88130A">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产出时效</w:t>
            </w:r>
          </w:p>
        </w:tc>
        <w:tc>
          <w:tcPr>
            <w:tcW w:w="873" w:type="dxa"/>
            <w:shd w:val="clear" w:color="auto" w:fill="auto"/>
            <w:vAlign w:val="center"/>
          </w:tcPr>
          <w:p w14:paraId="203696C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完成及时性</w:t>
            </w:r>
          </w:p>
        </w:tc>
        <w:tc>
          <w:tcPr>
            <w:tcW w:w="2353" w:type="dxa"/>
            <w:shd w:val="clear" w:color="auto" w:fill="auto"/>
            <w:vAlign w:val="center"/>
          </w:tcPr>
          <w:p w14:paraId="4B2AE87D">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项目实际完成时间与计划完成时间的比较，用以反映和考核项目产出时效目标的实现程度。</w:t>
            </w:r>
          </w:p>
        </w:tc>
        <w:tc>
          <w:tcPr>
            <w:tcW w:w="5198" w:type="dxa"/>
            <w:shd w:val="clear" w:color="auto" w:fill="auto"/>
            <w:vAlign w:val="center"/>
          </w:tcPr>
          <w:p w14:paraId="263E419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实际完成时间：项目实施单位完成该项目实际所耗用的时间。</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计划完成时间：按照项目实施计划或相关规定完成该项目所需的时间。</w:t>
            </w:r>
          </w:p>
        </w:tc>
        <w:tc>
          <w:tcPr>
            <w:tcW w:w="1300" w:type="dxa"/>
            <w:shd w:val="clear" w:color="auto" w:fill="auto"/>
            <w:vAlign w:val="center"/>
          </w:tcPr>
          <w:p w14:paraId="473D3013">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33AA2B2F">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0</w:t>
            </w:r>
          </w:p>
        </w:tc>
      </w:tr>
      <w:tr w14:paraId="07B9D5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32" w:type="dxa"/>
            <w:vMerge w:val="continue"/>
            <w:shd w:val="clear" w:color="auto" w:fill="auto"/>
            <w:vAlign w:val="center"/>
          </w:tcPr>
          <w:p w14:paraId="026BEA5D">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1CCD754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产出成本</w:t>
            </w:r>
          </w:p>
        </w:tc>
        <w:tc>
          <w:tcPr>
            <w:tcW w:w="873" w:type="dxa"/>
            <w:shd w:val="clear" w:color="auto" w:fill="auto"/>
            <w:vAlign w:val="center"/>
          </w:tcPr>
          <w:p w14:paraId="66E6470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成本节约率</w:t>
            </w:r>
          </w:p>
        </w:tc>
        <w:tc>
          <w:tcPr>
            <w:tcW w:w="2353" w:type="dxa"/>
            <w:shd w:val="clear" w:color="auto" w:fill="auto"/>
            <w:vAlign w:val="center"/>
          </w:tcPr>
          <w:p w14:paraId="1ECA766E">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完成项目计划工作目标的实际节约成本与计划成本的比率，用以反映和考核项目的成本节约程度。</w:t>
            </w:r>
          </w:p>
        </w:tc>
        <w:tc>
          <w:tcPr>
            <w:tcW w:w="5198" w:type="dxa"/>
            <w:shd w:val="clear" w:color="auto" w:fill="auto"/>
            <w:vAlign w:val="center"/>
          </w:tcPr>
          <w:p w14:paraId="49AD979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成本节约率=[（计划成本-实际成本）/计划成本]×100%。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实际成本：项目实施单位如期、保质、保量完成既定工作目标实际所耗费的支出。</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计划成本：项目实施单位为完成工作目标计划安排的支出，一般以项目预算为参考。</w:t>
            </w:r>
          </w:p>
        </w:tc>
        <w:tc>
          <w:tcPr>
            <w:tcW w:w="1300" w:type="dxa"/>
            <w:shd w:val="clear" w:color="auto" w:fill="auto"/>
            <w:vAlign w:val="center"/>
          </w:tcPr>
          <w:p w14:paraId="5445E4B5">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7F2B8AB2">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6.89</w:t>
            </w:r>
          </w:p>
        </w:tc>
      </w:tr>
      <w:tr w14:paraId="48A649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32" w:type="dxa"/>
            <w:vMerge w:val="restart"/>
            <w:shd w:val="clear" w:color="auto" w:fill="auto"/>
            <w:vAlign w:val="center"/>
          </w:tcPr>
          <w:p w14:paraId="0E7E38B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效益　</w:t>
            </w:r>
          </w:p>
        </w:tc>
        <w:tc>
          <w:tcPr>
            <w:tcW w:w="764" w:type="dxa"/>
            <w:vMerge w:val="restart"/>
            <w:shd w:val="clear" w:color="auto" w:fill="auto"/>
            <w:vAlign w:val="center"/>
          </w:tcPr>
          <w:p w14:paraId="1A336D2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项目效益　</w:t>
            </w:r>
          </w:p>
        </w:tc>
        <w:tc>
          <w:tcPr>
            <w:tcW w:w="873" w:type="dxa"/>
            <w:shd w:val="clear" w:color="auto" w:fill="auto"/>
            <w:vAlign w:val="center"/>
          </w:tcPr>
          <w:p w14:paraId="15F2EB4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实施效益</w:t>
            </w:r>
          </w:p>
        </w:tc>
        <w:tc>
          <w:tcPr>
            <w:tcW w:w="2353" w:type="dxa"/>
            <w:shd w:val="clear" w:color="auto" w:fill="auto"/>
            <w:vAlign w:val="center"/>
          </w:tcPr>
          <w:p w14:paraId="28D605B7">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项目实施所产生的效益。</w:t>
            </w:r>
          </w:p>
        </w:tc>
        <w:tc>
          <w:tcPr>
            <w:tcW w:w="5198" w:type="dxa"/>
            <w:shd w:val="clear" w:color="auto" w:fill="auto"/>
            <w:vAlign w:val="center"/>
          </w:tcPr>
          <w:p w14:paraId="12C247C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项目实施所产生的社会效益、经济效益、生态效益、可持续影响等。可根据项目实际情况有选择地设置和细化。</w:t>
            </w:r>
          </w:p>
        </w:tc>
        <w:tc>
          <w:tcPr>
            <w:tcW w:w="1300" w:type="dxa"/>
            <w:shd w:val="clear" w:color="auto" w:fill="auto"/>
            <w:vAlign w:val="center"/>
          </w:tcPr>
          <w:p w14:paraId="49EE89D8">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0D745FB6">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24F1AF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37" w:hRule="atLeast"/>
          <w:jc w:val="center"/>
        </w:trPr>
        <w:tc>
          <w:tcPr>
            <w:tcW w:w="832" w:type="dxa"/>
            <w:vMerge w:val="continue"/>
            <w:shd w:val="clear" w:color="auto" w:fill="auto"/>
            <w:vAlign w:val="center"/>
          </w:tcPr>
          <w:p w14:paraId="5A628D4A">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746BE477">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53A447D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满意度</w:t>
            </w:r>
          </w:p>
        </w:tc>
        <w:tc>
          <w:tcPr>
            <w:tcW w:w="2353" w:type="dxa"/>
            <w:shd w:val="clear" w:color="auto" w:fill="auto"/>
            <w:vAlign w:val="center"/>
          </w:tcPr>
          <w:p w14:paraId="68D18810">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社会公众或服务对象对项目实施效果的满意程度。</w:t>
            </w:r>
          </w:p>
        </w:tc>
        <w:tc>
          <w:tcPr>
            <w:tcW w:w="5198" w:type="dxa"/>
            <w:shd w:val="clear" w:color="auto" w:fill="auto"/>
            <w:vAlign w:val="center"/>
          </w:tcPr>
          <w:p w14:paraId="74C45D8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社会公众或服务对象是指因该项目实施而受到影响的部门（单位）、群体或个人。一般采取社会调查的方式。</w:t>
            </w:r>
          </w:p>
        </w:tc>
        <w:tc>
          <w:tcPr>
            <w:tcW w:w="1300" w:type="dxa"/>
            <w:shd w:val="clear" w:color="auto" w:fill="auto"/>
            <w:vAlign w:val="center"/>
          </w:tcPr>
          <w:p w14:paraId="2D9B6910">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27BD6FD9">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bl>
    <w:p w14:paraId="602F7CE0">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6756A6A-7A85-4A87-A00C-392E3FA2338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96D188F8-DBA8-4B38-B7F9-3BE7CC78EBDD}"/>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3" w:fontKey="{3E82022F-FDBD-4C55-A6D0-AF5060782587}"/>
  </w:font>
  <w:font w:name="华文中宋">
    <w:panose1 w:val="02010600040101010101"/>
    <w:charset w:val="86"/>
    <w:family w:val="auto"/>
    <w:pitch w:val="default"/>
    <w:sig w:usb0="00000287" w:usb1="080F0000" w:usb2="00000000" w:usb3="00000000" w:csb0="0004009F" w:csb1="DFD70000"/>
    <w:embedRegular r:id="rId4" w:fontKey="{038C0090-E5AA-4317-B0CC-5D2450774148}"/>
  </w:font>
  <w:font w:name="方正小标宋_GBK">
    <w:panose1 w:val="02000000000000000000"/>
    <w:charset w:val="86"/>
    <w:family w:val="script"/>
    <w:pitch w:val="default"/>
    <w:sig w:usb0="A00002BF" w:usb1="38CF7CFA" w:usb2="00082016" w:usb3="00000000" w:csb0="00040001" w:csb1="00000000"/>
    <w:embedRegular r:id="rId5" w:fontKey="{0E17A0AE-F69C-4F99-AB5E-B20268FD45CE}"/>
  </w:font>
  <w:font w:name="楷体">
    <w:panose1 w:val="02010609060101010101"/>
    <w:charset w:val="86"/>
    <w:family w:val="modern"/>
    <w:pitch w:val="default"/>
    <w:sig w:usb0="800002BF" w:usb1="38CF7CFA" w:usb2="00000016" w:usb3="00000000" w:csb0="00040001" w:csb1="00000000"/>
    <w:embedRegular r:id="rId6" w:fontKey="{7E411244-61C8-41B8-B688-8400291E0D63}"/>
  </w:font>
  <w:font w:name="方正仿宋_GBK">
    <w:panose1 w:val="02000000000000000000"/>
    <w:charset w:val="86"/>
    <w:family w:val="auto"/>
    <w:pitch w:val="default"/>
    <w:sig w:usb0="A00002BF" w:usb1="38CF7CFA" w:usb2="00082016" w:usb3="00000000" w:csb0="00040001" w:csb1="00000000"/>
    <w:embedRegular r:id="rId7" w:fontKey="{10B0EC95-F454-4A22-B215-E6C0DC36D8B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3F1494E">
        <w:pPr>
          <w:pStyle w:val="7"/>
          <w:jc w:val="center"/>
        </w:pPr>
        <w:r>
          <w:fldChar w:fldCharType="begin"/>
        </w:r>
        <w:r>
          <w:instrText xml:space="preserve">PAGE   \* MERGEFORMAT</w:instrText>
        </w:r>
        <w:r>
          <w:fldChar w:fldCharType="separate"/>
        </w:r>
        <w:r>
          <w:rPr>
            <w:lang w:val="zh-CN"/>
          </w:rPr>
          <w:t>13</w:t>
        </w:r>
        <w:r>
          <w:fldChar w:fldCharType="end"/>
        </w:r>
      </w:p>
    </w:sdtContent>
  </w:sdt>
  <w:p w14:paraId="0057CC8B">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116B29BF"/>
    <w:multiLevelType w:val="singleLevel"/>
    <w:tmpl w:val="116B29BF"/>
    <w:lvl w:ilvl="0" w:tentative="0">
      <w:start w:val="3"/>
      <w:numFmt w:val="chineseCounting"/>
      <w:suff w:val="nothing"/>
      <w:lvlText w:val="%1、"/>
      <w:lvlJc w:val="left"/>
      <w:rPr>
        <w:rFonts w:hint="eastAsia"/>
      </w:rPr>
    </w:lvl>
  </w:abstractNum>
  <w:abstractNum w:abstractNumId="2">
    <w:nsid w:val="27813159"/>
    <w:multiLevelType w:val="singleLevel"/>
    <w:tmpl w:val="27813159"/>
    <w:lvl w:ilvl="0" w:tentative="0">
      <w:start w:val="3"/>
      <w:numFmt w:val="chineseCounting"/>
      <w:suff w:val="nothing"/>
      <w:lvlText w:val="（%1）"/>
      <w:lvlJc w:val="left"/>
      <w:rPr>
        <w:rFonts w:hint="eastAsia"/>
      </w:rPr>
    </w:lvl>
  </w:abstractNum>
  <w:abstractNum w:abstractNumId="3">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3MmI4ODZmMjljZWZhNGFkN2U2N2Y4ODgwYjM5ZGIifQ=="/>
  </w:docVars>
  <w:rsids>
    <w:rsidRoot w:val="FF6C4049"/>
    <w:rsid w:val="006F7242"/>
    <w:rsid w:val="007B168A"/>
    <w:rsid w:val="008B2CFE"/>
    <w:rsid w:val="00F26FF6"/>
    <w:rsid w:val="0176587A"/>
    <w:rsid w:val="02B100D7"/>
    <w:rsid w:val="048C0C43"/>
    <w:rsid w:val="07397B77"/>
    <w:rsid w:val="13471461"/>
    <w:rsid w:val="13B90F01"/>
    <w:rsid w:val="181066D2"/>
    <w:rsid w:val="1C671E73"/>
    <w:rsid w:val="274F0D9D"/>
    <w:rsid w:val="38CA40DD"/>
    <w:rsid w:val="395F2B56"/>
    <w:rsid w:val="3BECE841"/>
    <w:rsid w:val="3DE77067"/>
    <w:rsid w:val="3F3C7A12"/>
    <w:rsid w:val="3FF7797D"/>
    <w:rsid w:val="447B120C"/>
    <w:rsid w:val="46496787"/>
    <w:rsid w:val="48A97415"/>
    <w:rsid w:val="4A185268"/>
    <w:rsid w:val="4CEF2847"/>
    <w:rsid w:val="50CF6B46"/>
    <w:rsid w:val="5BFF6039"/>
    <w:rsid w:val="5C760EBD"/>
    <w:rsid w:val="5CEC7901"/>
    <w:rsid w:val="5D435C2E"/>
    <w:rsid w:val="5D76A616"/>
    <w:rsid w:val="5D7F20B9"/>
    <w:rsid w:val="5DAC7D0E"/>
    <w:rsid w:val="5F98B5AF"/>
    <w:rsid w:val="5FFE8511"/>
    <w:rsid w:val="5FFEACE2"/>
    <w:rsid w:val="619C0DC2"/>
    <w:rsid w:val="63480C10"/>
    <w:rsid w:val="643EE26D"/>
    <w:rsid w:val="651B5F9F"/>
    <w:rsid w:val="654F1AD9"/>
    <w:rsid w:val="6BFB54A5"/>
    <w:rsid w:val="6D601A11"/>
    <w:rsid w:val="6F5C41AC"/>
    <w:rsid w:val="6FAF6C78"/>
    <w:rsid w:val="710A6EC7"/>
    <w:rsid w:val="7317C656"/>
    <w:rsid w:val="734ED73F"/>
    <w:rsid w:val="752F6306"/>
    <w:rsid w:val="772B5869"/>
    <w:rsid w:val="77FD8BE9"/>
    <w:rsid w:val="79A9BD3F"/>
    <w:rsid w:val="7AAE0B17"/>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11"/>
    <w:pPr>
      <w:spacing w:before="240" w:after="60" w:line="312" w:lineRule="auto"/>
      <w:jc w:val="center"/>
      <w:outlineLvl w:val="1"/>
    </w:pPr>
    <w:rPr>
      <w:b/>
      <w:bCs/>
      <w:kern w:val="28"/>
      <w:sz w:val="32"/>
      <w:szCs w:val="3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3"/>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22</Pages>
  <Words>10184</Words>
  <Characters>10582</Characters>
  <Lines>58</Lines>
  <Paragraphs>16</Paragraphs>
  <TotalTime>235</TotalTime>
  <ScaleCrop>false</ScaleCrop>
  <LinksUpToDate>false</LinksUpToDate>
  <CharactersWithSpaces>10596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苞米</cp:lastModifiedBy>
  <dcterms:modified xsi:type="dcterms:W3CDTF">2024-10-18T03:49:21Z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89EF34B1B0DC4B97AC6EE8BA11A9DEF3_13</vt:lpwstr>
  </property>
</Properties>
</file>