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5B16F">
      <w:pPr>
        <w:spacing w:line="540" w:lineRule="exact"/>
        <w:jc w:val="center"/>
        <w:rPr>
          <w:rFonts w:eastAsia="华文中宋"/>
          <w:b/>
          <w:kern w:val="0"/>
          <w:sz w:val="52"/>
          <w:szCs w:val="52"/>
        </w:rPr>
      </w:pPr>
    </w:p>
    <w:p w14:paraId="41682712">
      <w:pPr>
        <w:spacing w:line="540" w:lineRule="exact"/>
        <w:rPr>
          <w:rFonts w:eastAsia="华文中宋"/>
          <w:b/>
          <w:kern w:val="0"/>
          <w:sz w:val="52"/>
          <w:szCs w:val="52"/>
        </w:rPr>
      </w:pPr>
    </w:p>
    <w:p w14:paraId="259A2EAC">
      <w:pPr>
        <w:spacing w:line="540" w:lineRule="exact"/>
        <w:jc w:val="center"/>
        <w:rPr>
          <w:rFonts w:eastAsia="华文中宋"/>
          <w:b/>
          <w:kern w:val="0"/>
          <w:sz w:val="52"/>
          <w:szCs w:val="52"/>
        </w:rPr>
      </w:pPr>
    </w:p>
    <w:p w14:paraId="024CD696">
      <w:pPr>
        <w:spacing w:line="540" w:lineRule="exact"/>
        <w:jc w:val="center"/>
        <w:rPr>
          <w:rFonts w:eastAsia="华文中宋"/>
          <w:b/>
          <w:kern w:val="0"/>
          <w:sz w:val="52"/>
          <w:szCs w:val="52"/>
        </w:rPr>
      </w:pPr>
    </w:p>
    <w:p w14:paraId="3A0A5DB2">
      <w:pPr>
        <w:spacing w:line="540" w:lineRule="exact"/>
        <w:rPr>
          <w:rFonts w:eastAsia="方正小标宋_GBK"/>
          <w:kern w:val="0"/>
          <w:sz w:val="48"/>
          <w:szCs w:val="48"/>
        </w:rPr>
      </w:pPr>
      <w:r>
        <w:rPr>
          <w:rFonts w:eastAsia="方正小标宋_GBK"/>
          <w:kern w:val="0"/>
          <w:sz w:val="48"/>
          <w:szCs w:val="48"/>
        </w:rPr>
        <w:br w:type="textWrapping"/>
      </w:r>
      <w:r>
        <w:rPr>
          <w:rFonts w:hint="eastAsia" w:ascii="黑体" w:hAnsi="黑体" w:eastAsia="黑体" w:cs="黑体"/>
          <w:kern w:val="0"/>
          <w:sz w:val="44"/>
          <w:szCs w:val="44"/>
          <w:lang w:val="en-US" w:eastAsia="zh-CN"/>
        </w:rPr>
        <w:t>基层工作队工作经费项目支出绩效评价报告</w:t>
      </w:r>
    </w:p>
    <w:p w14:paraId="4BFD909F">
      <w:pPr>
        <w:spacing w:line="540" w:lineRule="exact"/>
        <w:jc w:val="center"/>
        <w:rPr>
          <w:rFonts w:eastAsia="华文中宋"/>
          <w:b/>
          <w:kern w:val="0"/>
          <w:sz w:val="52"/>
          <w:szCs w:val="52"/>
        </w:rPr>
      </w:pPr>
    </w:p>
    <w:p w14:paraId="3BCA2775">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3</w:t>
      </w:r>
      <w:r>
        <w:rPr>
          <w:rFonts w:eastAsia="仿宋_GB2312"/>
          <w:kern w:val="0"/>
          <w:sz w:val="36"/>
          <w:szCs w:val="36"/>
        </w:rPr>
        <w:t>年度）</w:t>
      </w:r>
    </w:p>
    <w:p w14:paraId="55BB55FC">
      <w:pPr>
        <w:spacing w:line="540" w:lineRule="exact"/>
        <w:jc w:val="center"/>
        <w:rPr>
          <w:rFonts w:eastAsia="仿宋_GB2312"/>
          <w:kern w:val="0"/>
          <w:sz w:val="30"/>
          <w:szCs w:val="30"/>
        </w:rPr>
      </w:pPr>
    </w:p>
    <w:p w14:paraId="441D2248">
      <w:pPr>
        <w:spacing w:line="540" w:lineRule="exact"/>
        <w:jc w:val="center"/>
        <w:rPr>
          <w:rFonts w:eastAsia="仿宋_GB2312"/>
          <w:kern w:val="0"/>
          <w:sz w:val="30"/>
          <w:szCs w:val="30"/>
        </w:rPr>
      </w:pPr>
    </w:p>
    <w:p w14:paraId="180E7F71">
      <w:pPr>
        <w:spacing w:line="540" w:lineRule="exact"/>
        <w:jc w:val="center"/>
        <w:rPr>
          <w:rFonts w:eastAsia="仿宋_GB2312"/>
          <w:kern w:val="0"/>
          <w:sz w:val="30"/>
          <w:szCs w:val="30"/>
        </w:rPr>
      </w:pPr>
    </w:p>
    <w:p w14:paraId="38D9A621">
      <w:pPr>
        <w:pStyle w:val="10"/>
      </w:pPr>
    </w:p>
    <w:p w14:paraId="4F7BADB8">
      <w:pPr>
        <w:spacing w:line="540" w:lineRule="exact"/>
        <w:jc w:val="center"/>
        <w:rPr>
          <w:rFonts w:eastAsia="仿宋_GB2312"/>
          <w:kern w:val="0"/>
          <w:sz w:val="30"/>
          <w:szCs w:val="30"/>
        </w:rPr>
      </w:pPr>
    </w:p>
    <w:p w14:paraId="4A981FC1">
      <w:pPr>
        <w:spacing w:line="540" w:lineRule="exact"/>
        <w:rPr>
          <w:rFonts w:eastAsia="仿宋_GB2312"/>
          <w:kern w:val="0"/>
          <w:sz w:val="30"/>
          <w:szCs w:val="30"/>
        </w:rPr>
      </w:pPr>
    </w:p>
    <w:p w14:paraId="04DF13F8">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rPr>
        <w:t>基层工作队工作</w:t>
      </w:r>
      <w:r>
        <w:rPr>
          <w:rFonts w:hint="eastAsia" w:eastAsia="仿宋_GB2312"/>
          <w:kern w:val="0"/>
          <w:sz w:val="36"/>
          <w:szCs w:val="36"/>
          <w:lang w:val="en-US" w:eastAsia="zh-CN"/>
        </w:rPr>
        <w:t>经费</w:t>
      </w:r>
    </w:p>
    <w:p w14:paraId="12AECA2E">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哈密市统计局</w:t>
      </w:r>
    </w:p>
    <w:p w14:paraId="7A9F9157">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哈密市统计局</w:t>
      </w:r>
    </w:p>
    <w:p w14:paraId="0ACCBB61">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阿合买提·玉素甫</w:t>
      </w:r>
    </w:p>
    <w:p w14:paraId="1CDDB293">
      <w:pPr>
        <w:spacing w:line="700" w:lineRule="exact"/>
        <w:ind w:firstLine="1440" w:firstLineChars="400"/>
        <w:jc w:val="left"/>
        <w:rPr>
          <w:rFonts w:eastAsia="仿宋_GB2312"/>
          <w:kern w:val="0"/>
          <w:sz w:val="36"/>
          <w:szCs w:val="36"/>
        </w:rPr>
      </w:pPr>
      <w:r>
        <w:rPr>
          <w:rFonts w:eastAsia="仿宋_GB2312"/>
          <w:kern w:val="0"/>
          <w:sz w:val="36"/>
          <w:szCs w:val="36"/>
        </w:rPr>
        <w:t>填报时间：2024年3月26日</w:t>
      </w:r>
    </w:p>
    <w:p w14:paraId="3E5D0E7B">
      <w:pPr>
        <w:spacing w:line="540" w:lineRule="exact"/>
        <w:jc w:val="center"/>
        <w:rPr>
          <w:rFonts w:eastAsia="仿宋_GB2312"/>
          <w:kern w:val="0"/>
          <w:sz w:val="30"/>
          <w:szCs w:val="30"/>
        </w:rPr>
      </w:pPr>
    </w:p>
    <w:p w14:paraId="2938349F">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3A0750D5">
      <w:pPr>
        <w:spacing w:line="560" w:lineRule="exact"/>
        <w:ind w:firstLine="640" w:firstLineChars="200"/>
        <w:rPr>
          <w:rFonts w:eastAsia="黑体"/>
          <w:bCs/>
          <w:sz w:val="32"/>
          <w:szCs w:val="32"/>
        </w:rPr>
      </w:pPr>
      <w:r>
        <w:rPr>
          <w:rFonts w:eastAsia="黑体"/>
          <w:bCs/>
          <w:sz w:val="32"/>
          <w:szCs w:val="32"/>
        </w:rPr>
        <w:t>一、基本情况</w:t>
      </w:r>
    </w:p>
    <w:p w14:paraId="218C3F56">
      <w:pPr>
        <w:spacing w:line="560" w:lineRule="exact"/>
        <w:ind w:firstLine="643" w:firstLineChars="200"/>
        <w:rPr>
          <w:rFonts w:ascii="方正楷体_GB2312" w:hAnsi="方正楷体_GB2312" w:eastAsia="方正楷体_GB2312" w:cs="方正楷体_GB2312"/>
          <w:b/>
          <w:bCs/>
          <w:sz w:val="32"/>
          <w:szCs w:val="32"/>
        </w:rPr>
      </w:pPr>
      <w:r>
        <w:rPr>
          <w:rFonts w:ascii="方正楷体_GB2312" w:hAnsi="方正楷体_GB2312" w:eastAsia="方正楷体_GB2312" w:cs="方正楷体_GB2312"/>
          <w:b/>
          <w:bCs/>
          <w:sz w:val="32"/>
          <w:szCs w:val="32"/>
        </w:rPr>
        <w:t>（一）项目概况</w:t>
      </w:r>
    </w:p>
    <w:p w14:paraId="640E3254">
      <w:pPr>
        <w:spacing w:line="560" w:lineRule="exact"/>
        <w:ind w:firstLine="643" w:firstLineChars="200"/>
        <w:rPr>
          <w:rFonts w:eastAsia="仿宋_GB2312"/>
          <w:b/>
          <w:bCs/>
          <w:sz w:val="32"/>
          <w:szCs w:val="32"/>
        </w:rPr>
      </w:pPr>
      <w:r>
        <w:rPr>
          <w:rFonts w:eastAsia="仿宋_GB2312"/>
          <w:b/>
          <w:bCs/>
          <w:sz w:val="32"/>
          <w:szCs w:val="32"/>
        </w:rPr>
        <w:t>1.项目背景</w:t>
      </w:r>
    </w:p>
    <w:p w14:paraId="60684892">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进一步建强基层组织、做好群众工作，抓好落实惠民政策、拓宽致富门路、办好实事好事、加强基层干部队伍建设，根据自治区党组[2017]1号文件精神，开展基层工作，切实推进基层治理体系和治理能力现代化，确保社会稳定和长治久安。</w:t>
      </w:r>
    </w:p>
    <w:p w14:paraId="1A64BC19">
      <w:pPr>
        <w:spacing w:line="560" w:lineRule="exact"/>
        <w:ind w:firstLine="643" w:firstLineChars="200"/>
        <w:rPr>
          <w:rFonts w:eastAsia="仿宋_GB2312"/>
          <w:b/>
          <w:bCs/>
          <w:sz w:val="32"/>
          <w:szCs w:val="32"/>
        </w:rPr>
      </w:pPr>
      <w:r>
        <w:rPr>
          <w:rFonts w:hint="eastAsia" w:eastAsia="仿宋_GB2312"/>
          <w:b/>
          <w:bCs/>
          <w:sz w:val="32"/>
          <w:szCs w:val="32"/>
        </w:rPr>
        <w:t>2.</w:t>
      </w:r>
      <w:r>
        <w:rPr>
          <w:rFonts w:eastAsia="仿宋_GB2312"/>
          <w:b/>
          <w:bCs/>
          <w:sz w:val="32"/>
          <w:szCs w:val="32"/>
        </w:rPr>
        <w:t>项目主要内容</w:t>
      </w:r>
    </w:p>
    <w:p w14:paraId="0D3BD13B">
      <w:pPr>
        <w:spacing w:line="560" w:lineRule="exact"/>
        <w:ind w:firstLine="640" w:firstLineChars="200"/>
        <w:rPr>
          <w:rFonts w:asciiTheme="minorEastAsia" w:hAnsiTheme="minorEastAsia" w:eastAsiaTheme="minorEastAsia"/>
          <w:bCs/>
          <w:sz w:val="32"/>
          <w:szCs w:val="32"/>
        </w:rPr>
      </w:pPr>
      <w:r>
        <w:rPr>
          <w:rFonts w:hint="eastAsia" w:ascii="仿宋_GB2312" w:hAnsi="仿宋_GB2312" w:eastAsia="仿宋_GB2312" w:cs="仿宋_GB2312"/>
          <w:bCs/>
          <w:sz w:val="32"/>
          <w:szCs w:val="32"/>
        </w:rPr>
        <w:t>把学习贯彻习近平新时代中国特色社会主义思想和党的二十大精神作为</w:t>
      </w:r>
      <w:r>
        <w:rPr>
          <w:rFonts w:hint="eastAsia" w:ascii="仿宋_GB2312" w:hAnsi="仿宋_GB2312" w:eastAsia="仿宋_GB2312" w:cs="仿宋_GB2312"/>
          <w:bCs/>
          <w:sz w:val="32"/>
          <w:szCs w:val="32"/>
          <w:lang w:eastAsia="zh-CN"/>
        </w:rPr>
        <w:t>基层</w:t>
      </w:r>
      <w:r>
        <w:rPr>
          <w:rFonts w:hint="eastAsia" w:ascii="仿宋_GB2312" w:hAnsi="仿宋_GB2312" w:eastAsia="仿宋_GB2312" w:cs="仿宋_GB2312"/>
          <w:bCs/>
          <w:sz w:val="32"/>
          <w:szCs w:val="32"/>
        </w:rPr>
        <w:t>工作的主线，广泛开展“习近平新时代中国特色社会主义思想和党的十九大精神进万家”活动，使总书记的光辉思想、党中央的治疆方略家喻户晓、深入人心，汇聚起实现社会稳定和长治久安的强大力量；始终聚焦“一个总目标”，坚持把社会稳定和长治久安总目标作为</w:t>
      </w:r>
      <w:r>
        <w:rPr>
          <w:rFonts w:hint="eastAsia" w:ascii="仿宋_GB2312" w:hAnsi="仿宋_GB2312" w:eastAsia="仿宋_GB2312" w:cs="仿宋_GB2312"/>
          <w:bCs/>
          <w:sz w:val="32"/>
          <w:szCs w:val="32"/>
          <w:lang w:eastAsia="zh-CN"/>
        </w:rPr>
        <w:t>基层</w:t>
      </w:r>
      <w:r>
        <w:rPr>
          <w:rFonts w:hint="eastAsia" w:ascii="仿宋_GB2312" w:hAnsi="仿宋_GB2312" w:eastAsia="仿宋_GB2312" w:cs="仿宋_GB2312"/>
          <w:bCs/>
          <w:sz w:val="32"/>
          <w:szCs w:val="32"/>
        </w:rPr>
        <w:t>工作的着眼点和着力点，在紧紧围绕总目标、坚定落实总目标中，不断焕发</w:t>
      </w:r>
      <w:r>
        <w:rPr>
          <w:rFonts w:hint="eastAsia" w:ascii="仿宋_GB2312" w:hAnsi="仿宋_GB2312" w:eastAsia="仿宋_GB2312" w:cs="仿宋_GB2312"/>
          <w:bCs/>
          <w:sz w:val="32"/>
          <w:szCs w:val="32"/>
          <w:lang w:eastAsia="zh-CN"/>
        </w:rPr>
        <w:t>基层</w:t>
      </w:r>
      <w:r>
        <w:rPr>
          <w:rFonts w:hint="eastAsia" w:ascii="仿宋_GB2312" w:hAnsi="仿宋_GB2312" w:eastAsia="仿宋_GB2312" w:cs="仿宋_GB2312"/>
          <w:bCs/>
          <w:sz w:val="32"/>
          <w:szCs w:val="32"/>
        </w:rPr>
        <w:t>工作新风貌、展现</w:t>
      </w:r>
      <w:r>
        <w:rPr>
          <w:rFonts w:hint="eastAsia" w:ascii="仿宋_GB2312" w:hAnsi="仿宋_GB2312" w:eastAsia="仿宋_GB2312" w:cs="仿宋_GB2312"/>
          <w:bCs/>
          <w:sz w:val="32"/>
          <w:szCs w:val="32"/>
          <w:lang w:eastAsia="zh-CN"/>
        </w:rPr>
        <w:t>基层</w:t>
      </w:r>
      <w:r>
        <w:rPr>
          <w:rFonts w:hint="eastAsia" w:ascii="仿宋_GB2312" w:hAnsi="仿宋_GB2312" w:eastAsia="仿宋_GB2312" w:cs="仿宋_GB2312"/>
          <w:bCs/>
          <w:sz w:val="32"/>
          <w:szCs w:val="32"/>
        </w:rPr>
        <w:t>工作新作为。</w:t>
      </w:r>
    </w:p>
    <w:p w14:paraId="7D076C07">
      <w:pPr>
        <w:spacing w:line="560" w:lineRule="exact"/>
        <w:ind w:firstLine="643" w:firstLineChars="200"/>
        <w:rPr>
          <w:rFonts w:ascii="仿宋_GB2312" w:hAnsi="仿宋_GB2312" w:eastAsia="仿宋_GB2312" w:cs="仿宋_GB2312"/>
        </w:rPr>
      </w:pPr>
      <w:r>
        <w:rPr>
          <w:rFonts w:hint="eastAsia" w:ascii="仿宋_GB2312" w:hAnsi="仿宋_GB2312" w:eastAsia="仿宋_GB2312" w:cs="仿宋_GB2312"/>
          <w:b/>
          <w:bCs/>
          <w:sz w:val="32"/>
          <w:szCs w:val="32"/>
        </w:rPr>
        <w:t>3.资金投入和使用情况</w:t>
      </w:r>
    </w:p>
    <w:p w14:paraId="7A231FC9">
      <w:pPr>
        <w:spacing w:line="560" w:lineRule="exact"/>
        <w:ind w:firstLine="643" w:firstLineChars="200"/>
        <w:rPr>
          <w:rFonts w:eastAsia="仿宋_GB2312"/>
          <w:b/>
          <w:bCs/>
          <w:sz w:val="32"/>
          <w:szCs w:val="32"/>
        </w:rPr>
      </w:pPr>
      <w:r>
        <w:rPr>
          <w:rFonts w:hint="eastAsia" w:eastAsia="仿宋_GB2312"/>
          <w:b/>
          <w:bCs/>
          <w:sz w:val="32"/>
          <w:szCs w:val="32"/>
        </w:rPr>
        <w:t>（1）资金投入情况</w:t>
      </w:r>
    </w:p>
    <w:p w14:paraId="1EDF8B93">
      <w:pPr>
        <w:pStyle w:val="10"/>
        <w:ind w:firstLine="640"/>
        <w:rPr>
          <w:rFonts w:ascii="仿宋_GB2312" w:hAnsi="仿宋_GB2312" w:eastAsia="仿宋_GB2312" w:cs="仿宋_GB2312"/>
          <w:b w:val="0"/>
          <w:bCs w:val="0"/>
        </w:rPr>
      </w:pPr>
      <w:r>
        <w:rPr>
          <w:rFonts w:hint="eastAsia" w:ascii="仿宋_GB2312" w:hAnsi="仿宋_GB2312" w:eastAsia="仿宋_GB2312" w:cs="仿宋_GB2312"/>
          <w:b w:val="0"/>
          <w:bCs w:val="0"/>
        </w:rPr>
        <w:t>基层工作</w:t>
      </w:r>
      <w:r>
        <w:rPr>
          <w:rFonts w:hint="eastAsia" w:ascii="仿宋_GB2312" w:hAnsi="仿宋_GB2312" w:eastAsia="仿宋_GB2312" w:cs="仿宋_GB2312"/>
          <w:b w:val="0"/>
          <w:bCs w:val="0"/>
          <w:lang w:val="en-US" w:eastAsia="zh-CN"/>
        </w:rPr>
        <w:t>队工作经费</w:t>
      </w:r>
      <w:r>
        <w:rPr>
          <w:rFonts w:hint="eastAsia" w:ascii="仿宋_GB2312" w:hAnsi="仿宋_GB2312" w:eastAsia="仿宋_GB2312" w:cs="仿宋_GB2312"/>
          <w:b w:val="0"/>
          <w:bCs w:val="0"/>
        </w:rPr>
        <w:t>项目2023年总预算资金13.56万元，项目资金为</w:t>
      </w:r>
      <w:r>
        <w:rPr>
          <w:rFonts w:hint="eastAsia" w:ascii="宋体" w:hAnsi="宋体" w:eastAsia="宋体" w:cs="宋体"/>
          <w:b w:val="0"/>
          <w:bCs w:val="0"/>
        </w:rPr>
        <w:t>市</w:t>
      </w:r>
      <w:r>
        <w:rPr>
          <w:rFonts w:hint="eastAsia" w:ascii="仿宋_GB2312" w:hAnsi="仿宋_GB2312" w:eastAsia="仿宋_GB2312" w:cs="仿宋_GB2312"/>
          <w:b w:val="0"/>
          <w:bCs w:val="0"/>
        </w:rPr>
        <w:t>本级资金</w:t>
      </w:r>
      <w:r>
        <w:rPr>
          <w:rFonts w:ascii="Times New Roman" w:hAnsi="Times New Roman" w:eastAsia="仿宋_GB2312"/>
          <w:b w:val="0"/>
          <w:bCs w:val="0"/>
        </w:rPr>
        <w:t>4</w:t>
      </w:r>
      <w:r>
        <w:rPr>
          <w:rFonts w:hint="eastAsia" w:ascii="仿宋_GB2312" w:hAnsi="仿宋_GB2312" w:eastAsia="仿宋_GB2312" w:cs="仿宋_GB2312"/>
          <w:b w:val="0"/>
          <w:bCs w:val="0"/>
        </w:rPr>
        <w:t>万元；</w:t>
      </w:r>
      <w:r>
        <w:rPr>
          <w:rFonts w:hint="eastAsia" w:ascii="宋体" w:hAnsi="宋体" w:eastAsia="宋体" w:cs="宋体"/>
          <w:b w:val="0"/>
          <w:bCs w:val="0"/>
        </w:rPr>
        <w:t>自治区资金9.56万元</w:t>
      </w:r>
      <w:r>
        <w:rPr>
          <w:rFonts w:hint="eastAsia" w:ascii="仿宋_GB2312" w:hAnsi="仿宋_GB2312" w:eastAsia="仿宋_GB2312" w:cs="仿宋_GB2312"/>
          <w:b w:val="0"/>
          <w:bCs w:val="0"/>
        </w:rPr>
        <w:t>，项目资金到位数13.56万元，资金到位率100%。</w:t>
      </w:r>
    </w:p>
    <w:p w14:paraId="17346D03">
      <w:pPr>
        <w:spacing w:line="560" w:lineRule="exact"/>
        <w:ind w:firstLine="643" w:firstLineChars="200"/>
        <w:rPr>
          <w:rFonts w:eastAsia="仿宋_GB2312"/>
          <w:b/>
          <w:bCs/>
          <w:sz w:val="32"/>
          <w:szCs w:val="32"/>
        </w:rPr>
      </w:pPr>
      <w:r>
        <w:rPr>
          <w:rFonts w:hint="eastAsia" w:eastAsia="仿宋_GB2312"/>
          <w:b/>
          <w:bCs/>
          <w:sz w:val="32"/>
          <w:szCs w:val="32"/>
        </w:rPr>
        <w:t>（2）资金使用情况</w:t>
      </w:r>
    </w:p>
    <w:p w14:paraId="624E3FCE">
      <w:pPr>
        <w:spacing w:line="560" w:lineRule="exact"/>
        <w:ind w:firstLine="640" w:firstLineChars="200"/>
        <w:rPr>
          <w:rFonts w:eastAsia="仿宋_GB2312"/>
          <w:sz w:val="32"/>
          <w:szCs w:val="32"/>
        </w:rPr>
      </w:pPr>
      <w:r>
        <w:rPr>
          <w:rFonts w:hint="eastAsia" w:eastAsia="仿宋_GB2312"/>
          <w:kern w:val="28"/>
          <w:sz w:val="32"/>
          <w:szCs w:val="32"/>
        </w:rPr>
        <w:t>基层</w:t>
      </w:r>
      <w:r>
        <w:rPr>
          <w:rFonts w:eastAsia="仿宋_GB2312"/>
          <w:kern w:val="28"/>
          <w:sz w:val="32"/>
          <w:szCs w:val="32"/>
        </w:rPr>
        <w:t>工作</w:t>
      </w:r>
      <w:r>
        <w:rPr>
          <w:rFonts w:hint="eastAsia" w:eastAsia="仿宋_GB2312"/>
          <w:kern w:val="28"/>
          <w:sz w:val="32"/>
          <w:szCs w:val="32"/>
          <w:lang w:val="en-US" w:eastAsia="zh-CN"/>
        </w:rPr>
        <w:t>队工作经费</w:t>
      </w:r>
      <w:r>
        <w:rPr>
          <w:rFonts w:eastAsia="仿宋_GB2312"/>
          <w:kern w:val="28"/>
          <w:sz w:val="32"/>
          <w:szCs w:val="32"/>
        </w:rPr>
        <w:t>项目年初预算数13.56万元，全年预算数为13.56元，截止2023年12月31日全年执行数13.06万元，预算执行率为96.31%，项目资金主要用于支付修建0.7公里水渠改造项目；春节、古尔邦节及国庆节慰问村民150户；改造自来水管道项目，保障村民正常用水；为村民夜校购买文件用品。</w:t>
      </w:r>
    </w:p>
    <w:p w14:paraId="239AB74A">
      <w:pPr>
        <w:spacing w:line="560" w:lineRule="exact"/>
        <w:ind w:firstLine="643" w:firstLineChars="200"/>
        <w:rPr>
          <w:rFonts w:eastAsia="仿宋_GB2312"/>
          <w:b/>
          <w:bCs/>
          <w:sz w:val="32"/>
          <w:szCs w:val="32"/>
        </w:rPr>
      </w:pPr>
      <w:r>
        <w:rPr>
          <w:rFonts w:eastAsia="仿宋_GB2312"/>
          <w:b/>
          <w:bCs/>
          <w:sz w:val="32"/>
          <w:szCs w:val="32"/>
        </w:rPr>
        <w:t>4.实施情况</w:t>
      </w:r>
    </w:p>
    <w:p w14:paraId="76550FE4">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（1）深入学习贯彻党的二十大、第三次中央新疆工作座谈会精神和主题教育。</w:t>
      </w:r>
    </w:p>
    <w:p w14:paraId="02CA424D">
      <w:pPr>
        <w:spacing w:line="560" w:lineRule="exact"/>
        <w:ind w:firstLine="640" w:firstLineChars="200"/>
        <w:rPr>
          <w:rFonts w:eastAsia="仿宋_GB2312"/>
          <w:sz w:val="32"/>
          <w:szCs w:val="32"/>
        </w:rPr>
      </w:pPr>
      <w:r>
        <w:rPr>
          <w:rFonts w:eastAsia="仿宋_GB2312"/>
          <w:sz w:val="32"/>
          <w:szCs w:val="32"/>
        </w:rPr>
        <w:t>一是切实用习近平新时代中国特色社会主义思想统一思想，指导实践。推动工作，积极推进党课、农牧民夜校学习、大宣讲等主题教育活动，牢牢扭住社会稳定和长治久安总目标，把党的各项利民惠民政策更好地落实到基层，惠民政策及法规宣讲率100%，集中学习12次，升国旗宣讲40余次。</w:t>
      </w:r>
    </w:p>
    <w:p w14:paraId="0C1284BA">
      <w:pPr>
        <w:spacing w:line="560" w:lineRule="exact"/>
        <w:ind w:firstLine="640" w:firstLineChars="200"/>
        <w:rPr>
          <w:rFonts w:eastAsia="仿宋_GB2312"/>
          <w:sz w:val="32"/>
          <w:szCs w:val="32"/>
        </w:rPr>
      </w:pPr>
      <w:r>
        <w:rPr>
          <w:rFonts w:eastAsia="仿宋_GB2312"/>
          <w:sz w:val="32"/>
          <w:szCs w:val="32"/>
        </w:rPr>
        <w:t>二是扎实开展主题教育，学思想、强党性，重实践，建新功。深入学习</w:t>
      </w:r>
      <w:r>
        <w:rPr>
          <w:rFonts w:hint="eastAsia" w:eastAsia="仿宋_GB2312"/>
          <w:sz w:val="32"/>
          <w:szCs w:val="32"/>
        </w:rPr>
        <w:t>习近平总书记系列重要讲话精神</w:t>
      </w:r>
      <w:r>
        <w:rPr>
          <w:rFonts w:eastAsia="仿宋_GB2312"/>
          <w:sz w:val="32"/>
          <w:szCs w:val="32"/>
        </w:rPr>
        <w:t>。开展“党旗映天山”等主题主题党日活动，不断提高思想认识；开展“我为群众办实事”，围绕春耕生产、乡村振兴、庭院经济等需求，组织现场技能教学9场，志愿服务活动32次，解决19人就业问题，帮助帮扶村民1.2万元；解决村民纠纷20件；开展环境治理活动，植树造林志愿服务32余次900人。</w:t>
      </w:r>
    </w:p>
    <w:p w14:paraId="6331488C">
      <w:pPr>
        <w:spacing w:line="560" w:lineRule="exact"/>
        <w:ind w:firstLine="643" w:firstLineChars="200"/>
        <w:rPr>
          <w:rFonts w:ascii="宋体" w:hAnsi="宋体" w:cs="宋体"/>
          <w:sz w:val="32"/>
          <w:szCs w:val="32"/>
        </w:rPr>
      </w:pPr>
      <w:r>
        <w:rPr>
          <w:rFonts w:hint="eastAsia" w:ascii="仿宋_GB2312" w:hAnsi="仿宋_GB2312" w:eastAsia="仿宋_GB2312" w:cs="仿宋_GB2312"/>
          <w:b/>
          <w:bCs/>
          <w:sz w:val="32"/>
          <w:szCs w:val="32"/>
        </w:rPr>
        <w:t>（2）坚持不懈常态化抓好安全生产工作</w:t>
      </w:r>
    </w:p>
    <w:p w14:paraId="5851BB41">
      <w:pPr>
        <w:spacing w:line="560" w:lineRule="exact"/>
        <w:ind w:firstLine="640" w:firstLineChars="200"/>
        <w:rPr>
          <w:rFonts w:eastAsia="仿宋_GB2312"/>
          <w:sz w:val="32"/>
          <w:szCs w:val="32"/>
        </w:rPr>
      </w:pPr>
      <w:r>
        <w:rPr>
          <w:rFonts w:hint="eastAsia" w:eastAsia="仿宋_GB2312"/>
          <w:sz w:val="32"/>
          <w:szCs w:val="32"/>
        </w:rPr>
        <w:t>一是加强宣传，积极营造安全生产良好氛围，开展农业生产、消防安全及防电信诈骗等专题培训，提高村民重视安全的自觉性。二是常态化排查，消除安全隐患，认真落实属地责任制，用好早派工、晚研判机制，持续关注重点单位及部门，全面排查治理安全隐患。</w:t>
      </w:r>
    </w:p>
    <w:p w14:paraId="6BF6EE6E">
      <w:pPr>
        <w:spacing w:line="560" w:lineRule="exact"/>
        <w:ind w:firstLine="643" w:firstLineChars="200"/>
        <w:rPr>
          <w:rFonts w:ascii="宋体" w:hAnsi="宋体" w:cs="宋体"/>
          <w:sz w:val="32"/>
          <w:szCs w:val="32"/>
        </w:rPr>
      </w:pPr>
      <w:r>
        <w:rPr>
          <w:rFonts w:hint="eastAsia" w:ascii="仿宋_GB2312" w:hAnsi="仿宋_GB2312" w:eastAsia="仿宋_GB2312" w:cs="仿宋_GB2312"/>
          <w:b/>
          <w:bCs/>
          <w:sz w:val="32"/>
          <w:szCs w:val="32"/>
        </w:rPr>
        <w:t>（3）铸牢中华民族共同体意识，巩固各民族团结</w:t>
      </w:r>
    </w:p>
    <w:p w14:paraId="187BA283">
      <w:pPr>
        <w:spacing w:line="560" w:lineRule="exact"/>
        <w:ind w:firstLine="640" w:firstLineChars="200"/>
        <w:rPr>
          <w:rFonts w:eastAsia="仿宋_GB2312"/>
          <w:sz w:val="32"/>
          <w:szCs w:val="32"/>
        </w:rPr>
      </w:pPr>
      <w:r>
        <w:rPr>
          <w:rFonts w:hint="eastAsia" w:eastAsia="仿宋_GB2312"/>
          <w:sz w:val="32"/>
          <w:szCs w:val="32"/>
        </w:rPr>
        <w:t>一是强化中华民族共同体意识教育。组织参观西路军进疆纪念园，增强各民族维护祖国统一和民族团结的责任感和使命感。二是持续深化“民族团结一家亲”和民族团结联谊活动，在喜闻乐见的群众活动中增进民族团结。三是全面加强国家通用语言学习使用，充分利用农牧民夜校，为村民搭建国语学习、技能培训、政策法律普及的良好平台。提高学习积极性。</w:t>
      </w:r>
    </w:p>
    <w:p w14:paraId="48E59279">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（4）加强党建引领，凸显党组织战斗堡垒作用</w:t>
      </w:r>
    </w:p>
    <w:p w14:paraId="214EC0C3">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一是强组织，增强凝聚力。加强村党组织对村级各项事务的统筹和领导，促进整合资源、组织架构优化。二是强服务，扎实推动“我为群众办实事”，投资9万元修建0.7公里水渠改造项目；春节、古尔邦节及国庆节慰问村民150户；改造自来水管道项目，保障村民正常用水；为村民夜校购买文件用品。三是树典型，充分应用好村级“优秀党建示范点、人大代表联络站、政协委员工作室、基层矛盾纠纷调解站”等品牌征地征地，发挥榜样示范作用，接待40余人次观摩交流，区县经验分享会31场616人次，组织干部培训2场120人次，通过交流分析提高干部荣誉感，激发干部干事创业的信心。</w:t>
      </w:r>
    </w:p>
    <w:p w14:paraId="485DBE0A">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697EDFEC">
      <w:pPr>
        <w:pStyle w:val="10"/>
        <w:ind w:firstLine="641"/>
        <w:rPr>
          <w:rFonts w:ascii="Times New Roman" w:hAnsi="Times New Roman" w:eastAsia="仿宋_GB2312"/>
          <w:kern w:val="2"/>
        </w:rPr>
      </w:pPr>
      <w:r>
        <w:rPr>
          <w:rFonts w:ascii="Times New Roman" w:hAnsi="Times New Roman" w:eastAsia="仿宋_GB2312"/>
          <w:kern w:val="2"/>
        </w:rPr>
        <w:t>1.总体目标</w:t>
      </w:r>
    </w:p>
    <w:p w14:paraId="61C726F8">
      <w:pPr>
        <w:spacing w:line="560" w:lineRule="exact"/>
        <w:ind w:firstLine="640" w:firstLineChars="200"/>
        <w:rPr>
          <w:rFonts w:eastAsia="仿宋_GB2312"/>
          <w:sz w:val="32"/>
          <w:szCs w:val="32"/>
        </w:rPr>
      </w:pPr>
      <w:r>
        <w:rPr>
          <w:rFonts w:hint="eastAsia" w:eastAsia="仿宋_GB2312"/>
          <w:sz w:val="32"/>
          <w:szCs w:val="32"/>
        </w:rPr>
        <w:t>一是坚持把做好群众工作贯穿始终。认真开展入户走访工作，倾听群众意见建议，进一步摸清民情民意，以群众满意为目标，着眼于解决群众最关心、最直接、最现实的利益问题，尽力帮助解决实际困难，不断增进与群众的情感，拉近与群众的距离。做好党和政府各项方针政策的宣传工作，不断提高化解基层矛盾和做好群众工作能力，确保全村安全稳定。</w:t>
      </w:r>
    </w:p>
    <w:p w14:paraId="3F83D183">
      <w:pPr>
        <w:spacing w:line="560" w:lineRule="exact"/>
        <w:ind w:firstLine="640" w:firstLineChars="200"/>
        <w:rPr>
          <w:rFonts w:eastAsia="仿宋_GB2312"/>
          <w:sz w:val="32"/>
          <w:szCs w:val="32"/>
        </w:rPr>
      </w:pPr>
      <w:r>
        <w:rPr>
          <w:rFonts w:hint="eastAsia" w:eastAsia="仿宋_GB2312"/>
          <w:sz w:val="32"/>
          <w:szCs w:val="32"/>
        </w:rPr>
        <w:t>二是开展形式多样的宣传教育活动。严格落实人员不聚集的工作要求，采取多种形式组织开展各类贴近实际、贴近生活、贴近群众的活动，广泛宣传</w:t>
      </w:r>
      <w:r>
        <w:rPr>
          <w:rFonts w:hint="eastAsia" w:eastAsia="仿宋_GB2312"/>
          <w:sz w:val="32"/>
          <w:szCs w:val="32"/>
          <w:lang w:eastAsia="zh-CN"/>
        </w:rPr>
        <w:t>传染病</w:t>
      </w:r>
      <w:r>
        <w:rPr>
          <w:rFonts w:hint="eastAsia" w:eastAsia="仿宋_GB2312"/>
          <w:sz w:val="32"/>
          <w:szCs w:val="32"/>
        </w:rPr>
        <w:t>防控科普和安全生产、防灾减灾相关知识，宣传党的各项惠民政策，深入开展访贫问苦、扶危济困活动，向群众宣讲党的惠民政策，送去党和政府的关怀与温暖，做到理念上相接、感情上相通、生活上相融。</w:t>
      </w:r>
    </w:p>
    <w:p w14:paraId="0445347D">
      <w:pPr>
        <w:spacing w:line="560" w:lineRule="exact"/>
        <w:ind w:firstLine="640" w:firstLineChars="200"/>
        <w:rPr>
          <w:rFonts w:eastAsia="仿宋_GB2312"/>
          <w:sz w:val="32"/>
          <w:szCs w:val="32"/>
        </w:rPr>
      </w:pPr>
      <w:r>
        <w:rPr>
          <w:rFonts w:hint="eastAsia" w:eastAsia="仿宋_GB2312"/>
          <w:sz w:val="32"/>
          <w:szCs w:val="32"/>
        </w:rPr>
        <w:t>三是开展突出隐患治理行动。发挥专业特长优势，一方面继续加大安全生产、防灾减灾和应急管理宣传活动，不断增强全村整体安全意识能力水平，另一方面持续开展安全隐患排查治理工作。四是大力实施环境卫生改造。继续发动全村力量持续开展爱国卫生运动，着力改善村民居住环境卫。</w:t>
      </w:r>
    </w:p>
    <w:p w14:paraId="38D4E4CE">
      <w:pPr>
        <w:pStyle w:val="10"/>
        <w:ind w:firstLine="641"/>
        <w:rPr>
          <w:rFonts w:ascii="Times New Roman" w:hAnsi="Times New Roman" w:eastAsia="仿宋_GB2312"/>
          <w:kern w:val="2"/>
        </w:rPr>
      </w:pPr>
      <w:r>
        <w:rPr>
          <w:rFonts w:hint="eastAsia" w:ascii="Times New Roman" w:hAnsi="Times New Roman" w:eastAsia="仿宋_GB2312"/>
          <w:kern w:val="2"/>
        </w:rPr>
        <w:t>2.阶段性目标</w:t>
      </w:r>
    </w:p>
    <w:p w14:paraId="1F75AC44">
      <w:pPr>
        <w:spacing w:line="560" w:lineRule="exact"/>
        <w:ind w:firstLine="640" w:firstLineChars="200"/>
        <w:rPr>
          <w:rFonts w:eastAsia="仿宋_GB2312"/>
          <w:sz w:val="32"/>
          <w:szCs w:val="32"/>
        </w:rPr>
      </w:pPr>
      <w:r>
        <w:rPr>
          <w:rFonts w:eastAsia="仿宋_GB2312"/>
          <w:sz w:val="32"/>
          <w:szCs w:val="32"/>
        </w:rPr>
        <w:t>第一季度：认真开展走访慰问宣传政策工作，扎实推进农牧民夜校学习，党课等思想教育工作；及时开展春节走访慰问村民工作；展安全隐患排查治理工作</w:t>
      </w:r>
    </w:p>
    <w:p w14:paraId="0F002137">
      <w:pPr>
        <w:spacing w:line="560" w:lineRule="exact"/>
        <w:ind w:firstLine="640" w:firstLineChars="200"/>
        <w:rPr>
          <w:rFonts w:eastAsia="仿宋_GB2312"/>
          <w:sz w:val="32"/>
          <w:szCs w:val="32"/>
        </w:rPr>
      </w:pPr>
      <w:r>
        <w:rPr>
          <w:rFonts w:eastAsia="仿宋_GB2312"/>
          <w:sz w:val="32"/>
          <w:szCs w:val="32"/>
        </w:rPr>
        <w:t>第二季度：认真开展走访慰问宣传政策工作，不断提高化解基层矛盾和做好群众工作能力，确保全村安全稳定；扎实推进农牧民夜校学习，党课等思想教育工作；及时开展古尔邦节走访慰问村民工作；加大安全生产、防灾减灾和应急管理宣传活动，不断增强全村整体安全意识能力水平；修建自来水管道，解决村民吃水难问题。</w:t>
      </w:r>
    </w:p>
    <w:p w14:paraId="4E27D425">
      <w:pPr>
        <w:spacing w:line="560" w:lineRule="exact"/>
        <w:ind w:firstLine="640" w:firstLineChars="200"/>
        <w:rPr>
          <w:rFonts w:eastAsia="仿宋_GB2312"/>
          <w:sz w:val="32"/>
          <w:szCs w:val="32"/>
        </w:rPr>
      </w:pPr>
      <w:r>
        <w:rPr>
          <w:rFonts w:eastAsia="仿宋_GB2312"/>
          <w:sz w:val="32"/>
          <w:szCs w:val="32"/>
        </w:rPr>
        <w:t>第三季度：认真开展走访慰问宣传政策工作，倾听群众意见建议，进一步摸清民情民意；扎实推进农牧民夜校学习，党课等思想教育工作，强化村民思想建设；及时开展国庆节走访慰问村民工作；加大安全生产、防灾减灾和应急管理宣传活动，不断增强全村整体安全意识能力水平；修建0.7公里水渠，解决农田灌溉问题。</w:t>
      </w:r>
    </w:p>
    <w:p w14:paraId="46E94A89">
      <w:pPr>
        <w:spacing w:line="560" w:lineRule="exact"/>
        <w:ind w:firstLine="640" w:firstLineChars="200"/>
        <w:rPr>
          <w:rFonts w:eastAsia="仿宋_GB2312"/>
          <w:sz w:val="32"/>
          <w:szCs w:val="32"/>
        </w:rPr>
      </w:pPr>
      <w:r>
        <w:rPr>
          <w:rFonts w:eastAsia="仿宋_GB2312"/>
          <w:sz w:val="32"/>
          <w:szCs w:val="32"/>
        </w:rPr>
        <w:t>第四季度：认真开展走访慰问宣传政策工作，确保党的各项惠民政策有效落到实施；扎实推进农牧民夜校学习，党课、主题教育等思想教育工作，</w:t>
      </w:r>
      <w:r>
        <w:rPr>
          <w:rFonts w:eastAsia="仿宋_GB2312"/>
          <w:bCs/>
          <w:sz w:val="32"/>
          <w:szCs w:val="32"/>
        </w:rPr>
        <w:t>切实推进基层治理体系和治理能力现代化，确保社会稳定和长治久安</w:t>
      </w:r>
      <w:r>
        <w:rPr>
          <w:rFonts w:eastAsia="仿宋_GB2312"/>
          <w:sz w:val="32"/>
          <w:szCs w:val="32"/>
        </w:rPr>
        <w:t>；加大安全生产、防灾减灾和应急管理宣传活动，不断增强全村整体安全意识能力水平；完成58户村民煤改电项目及为22户村民送去冬季用煤；做好2023年</w:t>
      </w:r>
      <w:r>
        <w:rPr>
          <w:rFonts w:hint="eastAsia" w:eastAsia="仿宋_GB2312"/>
          <w:sz w:val="32"/>
          <w:szCs w:val="32"/>
        </w:rPr>
        <w:t>基层</w:t>
      </w:r>
      <w:r>
        <w:rPr>
          <w:rFonts w:eastAsia="仿宋_GB2312"/>
          <w:sz w:val="32"/>
          <w:szCs w:val="32"/>
        </w:rPr>
        <w:t>工作述职及村民满意度调查工作。</w:t>
      </w:r>
    </w:p>
    <w:p w14:paraId="4C2B8277">
      <w:pPr>
        <w:spacing w:line="560" w:lineRule="exact"/>
        <w:ind w:firstLine="640" w:firstLineChars="200"/>
        <w:rPr>
          <w:rFonts w:eastAsia="黑体"/>
          <w:bCs/>
          <w:sz w:val="32"/>
          <w:szCs w:val="32"/>
        </w:rPr>
      </w:pPr>
      <w:r>
        <w:rPr>
          <w:rFonts w:eastAsia="黑体"/>
          <w:bCs/>
          <w:sz w:val="32"/>
          <w:szCs w:val="32"/>
        </w:rPr>
        <w:t>二、绩效评价工作开展情况</w:t>
      </w:r>
    </w:p>
    <w:p w14:paraId="26BD4ED7">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（一）绩效评价目的、对象和范围</w:t>
      </w:r>
    </w:p>
    <w:p w14:paraId="449A345E">
      <w:pPr>
        <w:pStyle w:val="10"/>
        <w:ind w:firstLine="641"/>
        <w:rPr>
          <w:rFonts w:ascii="Times New Roman" w:hAnsi="Times New Roman" w:eastAsia="仿宋_GB2312"/>
          <w:kern w:val="2"/>
        </w:rPr>
      </w:pPr>
      <w:r>
        <w:rPr>
          <w:rFonts w:hint="eastAsia" w:ascii="Times New Roman" w:hAnsi="Times New Roman" w:eastAsia="仿宋_GB2312"/>
          <w:kern w:val="2"/>
        </w:rPr>
        <w:t>1.绩效评价的目的</w:t>
      </w:r>
    </w:p>
    <w:p w14:paraId="7092F049">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3E6073A">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项目在实施前向项目负责人提供财政支出绩效方面的资金管理信息，促进项目支出严格按照资金管理规定进行。</w:t>
      </w:r>
    </w:p>
    <w:p w14:paraId="7DC54E13">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448318">
      <w:pPr>
        <w:pStyle w:val="10"/>
        <w:ind w:firstLine="641"/>
        <w:rPr>
          <w:rFonts w:ascii="Times New Roman" w:hAnsi="Times New Roman" w:eastAsia="仿宋_GB2312"/>
          <w:kern w:val="2"/>
        </w:rPr>
      </w:pPr>
      <w:r>
        <w:rPr>
          <w:rFonts w:hint="eastAsia" w:ascii="Times New Roman" w:hAnsi="Times New Roman" w:eastAsia="仿宋_GB2312"/>
          <w:kern w:val="2"/>
        </w:rPr>
        <w:t>2.绩效评价的对象</w:t>
      </w:r>
    </w:p>
    <w:p w14:paraId="1F371FCE">
      <w:pPr>
        <w:spacing w:line="560" w:lineRule="exact"/>
        <w:ind w:firstLine="640" w:firstLineChars="200"/>
        <w:rPr>
          <w:rFonts w:eastAsia="仿宋_GB2312"/>
          <w:sz w:val="32"/>
          <w:szCs w:val="32"/>
        </w:rPr>
      </w:pPr>
      <w:r>
        <w:rPr>
          <w:rFonts w:hint="eastAsia" w:eastAsia="仿宋_GB2312"/>
          <w:kern w:val="0"/>
          <w:sz w:val="32"/>
          <w:szCs w:val="32"/>
        </w:rPr>
        <w:t>基层工作</w:t>
      </w:r>
      <w:r>
        <w:rPr>
          <w:rFonts w:eastAsia="仿宋_GB2312"/>
          <w:kern w:val="0"/>
          <w:sz w:val="32"/>
          <w:szCs w:val="32"/>
        </w:rPr>
        <w:t>项目所包含</w:t>
      </w:r>
      <w:r>
        <w:rPr>
          <w:rFonts w:eastAsia="仿宋_GB2312"/>
          <w:sz w:val="32"/>
          <w:szCs w:val="32"/>
        </w:rPr>
        <w:t>的全部项目内容。</w:t>
      </w:r>
    </w:p>
    <w:p w14:paraId="6DB9EA14">
      <w:pPr>
        <w:pStyle w:val="10"/>
        <w:ind w:firstLine="641"/>
        <w:rPr>
          <w:rFonts w:ascii="Times New Roman" w:hAnsi="Times New Roman" w:eastAsia="仿宋_GB2312"/>
          <w:kern w:val="2"/>
        </w:rPr>
      </w:pPr>
      <w:r>
        <w:rPr>
          <w:rFonts w:hint="eastAsia" w:ascii="Times New Roman" w:hAnsi="Times New Roman" w:eastAsia="仿宋_GB2312"/>
          <w:kern w:val="2"/>
        </w:rPr>
        <w:t>3.绩效评价的范围</w:t>
      </w:r>
    </w:p>
    <w:p w14:paraId="1816131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基层工作项目进行评价，评价核心为专项资金的支出完成情况和效果。</w:t>
      </w:r>
    </w:p>
    <w:p w14:paraId="7987F26E">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（二）绩效评价原则、评价指标体系（详情见表1）、评价方法、评价标准。</w:t>
      </w:r>
    </w:p>
    <w:p w14:paraId="4A133A09">
      <w:pPr>
        <w:pStyle w:val="10"/>
        <w:ind w:firstLine="641"/>
        <w:rPr>
          <w:rFonts w:ascii="Times New Roman" w:hAnsi="Times New Roman" w:eastAsia="仿宋_GB2312"/>
          <w:kern w:val="2"/>
        </w:rPr>
      </w:pPr>
      <w:r>
        <w:rPr>
          <w:rFonts w:hint="eastAsia" w:ascii="Times New Roman" w:hAnsi="Times New Roman" w:eastAsia="仿宋_GB2312"/>
          <w:kern w:val="2"/>
        </w:rPr>
        <w:t>1.绩效评价原则</w:t>
      </w:r>
    </w:p>
    <w:p w14:paraId="42AA2423">
      <w:pPr>
        <w:spacing w:line="560" w:lineRule="exact"/>
        <w:ind w:firstLine="640" w:firstLineChars="200"/>
        <w:rPr>
          <w:rFonts w:eastAsia="仿宋_GB2312"/>
          <w:sz w:val="32"/>
          <w:szCs w:val="32"/>
        </w:rPr>
      </w:pPr>
      <w:r>
        <w:rPr>
          <w:rFonts w:eastAsia="仿宋_GB2312"/>
          <w:sz w:val="32"/>
          <w:szCs w:val="32"/>
        </w:rPr>
        <w:t>本次项目绩效评价遵循以下基本原则：</w:t>
      </w:r>
    </w:p>
    <w:p w14:paraId="5817EF48">
      <w:pPr>
        <w:spacing w:line="560" w:lineRule="exact"/>
        <w:ind w:firstLine="640" w:firstLineChars="200"/>
        <w:rPr>
          <w:rFonts w:eastAsia="仿宋_GB2312"/>
          <w:sz w:val="32"/>
          <w:szCs w:val="32"/>
        </w:rPr>
      </w:pPr>
      <w:r>
        <w:rPr>
          <w:rFonts w:eastAsia="仿宋_GB2312"/>
          <w:sz w:val="32"/>
          <w:szCs w:val="32"/>
        </w:rPr>
        <w:t>（1）科学公正。绩效评价应当运用科学合理的方法，按照规范的程序，对项目绩效进行客观、公正的反映。</w:t>
      </w:r>
    </w:p>
    <w:p w14:paraId="0FA55C1E">
      <w:pPr>
        <w:spacing w:line="560" w:lineRule="exact"/>
        <w:ind w:firstLine="640" w:firstLineChars="200"/>
        <w:rPr>
          <w:rFonts w:eastAsia="仿宋_GB2312"/>
          <w:sz w:val="32"/>
          <w:szCs w:val="32"/>
        </w:rPr>
      </w:pPr>
      <w:r>
        <w:rPr>
          <w:rFonts w:eastAsia="仿宋_GB2312"/>
          <w:sz w:val="32"/>
          <w:szCs w:val="32"/>
        </w:rPr>
        <w:t>（2）统筹兼顾。单位自评、部门评价和财政评价应职责明确，各有侧重，相互衔接。单位自评应由项目单位自主实施，即“谁支出、谁自评”。部门评价和财政评价应在单位自评的基础上开展。</w:t>
      </w:r>
    </w:p>
    <w:p w14:paraId="51515123">
      <w:pPr>
        <w:spacing w:line="560" w:lineRule="exact"/>
        <w:ind w:firstLine="640" w:firstLineChars="200"/>
        <w:rPr>
          <w:rFonts w:eastAsia="仿宋_GB2312"/>
          <w:sz w:val="32"/>
          <w:szCs w:val="32"/>
        </w:rPr>
      </w:pPr>
      <w:r>
        <w:rPr>
          <w:rFonts w:eastAsia="仿宋_GB2312"/>
          <w:sz w:val="32"/>
          <w:szCs w:val="32"/>
        </w:rPr>
        <w:t>（3）激励约束。绩效评价结果应与预算安排、政策调整、改进管理实质性挂钩，体现奖优罚劣和激励相容导向，有效要安排、低效要压减、无效要问责。</w:t>
      </w:r>
    </w:p>
    <w:p w14:paraId="4E858DCF">
      <w:pPr>
        <w:spacing w:line="560" w:lineRule="exact"/>
        <w:ind w:firstLine="640" w:firstLineChars="200"/>
        <w:rPr>
          <w:rFonts w:eastAsia="仿宋_GB2312"/>
          <w:sz w:val="32"/>
          <w:szCs w:val="32"/>
        </w:rPr>
      </w:pPr>
      <w:r>
        <w:rPr>
          <w:rFonts w:eastAsia="仿宋_GB2312"/>
          <w:sz w:val="32"/>
          <w:szCs w:val="32"/>
        </w:rPr>
        <w:t>（4）公开透明。绩效评价结果应依法依规公开，并自觉接受社会监督。</w:t>
      </w:r>
    </w:p>
    <w:p w14:paraId="3F49FAD8">
      <w:pPr>
        <w:pStyle w:val="10"/>
        <w:ind w:firstLine="641"/>
        <w:rPr>
          <w:rFonts w:ascii="Times New Roman" w:hAnsi="Times New Roman" w:eastAsia="仿宋_GB2312"/>
          <w:kern w:val="2"/>
        </w:rPr>
      </w:pPr>
      <w:r>
        <w:rPr>
          <w:rFonts w:hint="eastAsia" w:ascii="Times New Roman" w:hAnsi="Times New Roman" w:eastAsia="仿宋_GB2312"/>
          <w:kern w:val="2"/>
        </w:rPr>
        <w:t>2.评价指标体系</w:t>
      </w:r>
    </w:p>
    <w:p w14:paraId="682131D5">
      <w:pPr>
        <w:spacing w:line="560" w:lineRule="exact"/>
        <w:ind w:firstLine="640" w:firstLineChars="200"/>
        <w:rPr>
          <w:rFonts w:eastAsia="仿宋_GB2312"/>
          <w:sz w:val="32"/>
          <w:szCs w:val="32"/>
        </w:rPr>
      </w:pPr>
      <w:r>
        <w:rPr>
          <w:rFonts w:eastAsia="仿宋_GB2312"/>
          <w:sz w:val="32"/>
          <w:szCs w:val="32"/>
        </w:rPr>
        <w:t>绩效评价框架是开展绩效评价的核心。绩效评价框架包括评价准则、关键评价问题、评价指标、数据来源、数据收集方法等。指标体系建立过程如下：</w:t>
      </w:r>
    </w:p>
    <w:p w14:paraId="65BFD45F">
      <w:pPr>
        <w:spacing w:line="560" w:lineRule="exact"/>
        <w:ind w:firstLine="643" w:firstLineChars="200"/>
        <w:rPr>
          <w:rFonts w:eastAsia="仿宋_GB2312"/>
          <w:b/>
          <w:bCs/>
          <w:sz w:val="32"/>
          <w:szCs w:val="32"/>
        </w:rPr>
      </w:pPr>
      <w:r>
        <w:rPr>
          <w:rFonts w:eastAsia="仿宋_GB2312"/>
          <w:b/>
          <w:bCs/>
          <w:sz w:val="32"/>
          <w:szCs w:val="32"/>
        </w:rPr>
        <w:t>（1）确定评价指标</w:t>
      </w:r>
    </w:p>
    <w:p w14:paraId="25F2252E">
      <w:pPr>
        <w:spacing w:line="560" w:lineRule="exact"/>
        <w:ind w:firstLine="640" w:firstLineChars="200"/>
        <w:rPr>
          <w:rFonts w:eastAsia="仿宋_GB2312"/>
          <w:sz w:val="32"/>
          <w:szCs w:val="32"/>
        </w:rPr>
      </w:pPr>
      <w:r>
        <w:rPr>
          <w:rFonts w:eastAsia="仿宋_GB2312"/>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A6D7F71">
      <w:pPr>
        <w:spacing w:line="560" w:lineRule="exact"/>
        <w:ind w:firstLine="643" w:firstLineChars="200"/>
        <w:rPr>
          <w:rFonts w:eastAsia="仿宋_GB2312"/>
          <w:b/>
          <w:bCs/>
          <w:sz w:val="32"/>
          <w:szCs w:val="32"/>
        </w:rPr>
      </w:pPr>
      <w:r>
        <w:rPr>
          <w:rFonts w:eastAsia="仿宋_GB2312"/>
          <w:b/>
          <w:bCs/>
          <w:sz w:val="32"/>
          <w:szCs w:val="32"/>
        </w:rPr>
        <w:t>（2）确定权重</w:t>
      </w:r>
    </w:p>
    <w:p w14:paraId="27237E1D">
      <w:pPr>
        <w:spacing w:line="560" w:lineRule="exact"/>
        <w:ind w:firstLine="640" w:firstLineChars="200"/>
        <w:rPr>
          <w:rFonts w:eastAsia="仿宋_GB2312"/>
          <w:sz w:val="32"/>
          <w:szCs w:val="32"/>
        </w:rPr>
      </w:pPr>
      <w:r>
        <w:rPr>
          <w:rFonts w:eastAsia="仿宋_GB2312"/>
          <w:sz w:val="32"/>
          <w:szCs w:val="32"/>
        </w:rPr>
        <w:t>确定各个指标相对于项目总体绩效的权重分值。在绩效评价指标体系中，项目决策权重为20分，项目过程权重为20分，项目产出权重为40分，项目效益权重为20分。</w:t>
      </w:r>
    </w:p>
    <w:p w14:paraId="086B87CF">
      <w:pPr>
        <w:spacing w:line="560" w:lineRule="exact"/>
        <w:ind w:firstLine="643" w:firstLineChars="200"/>
        <w:rPr>
          <w:rFonts w:eastAsia="仿宋_GB2312"/>
          <w:b/>
          <w:bCs/>
          <w:sz w:val="32"/>
          <w:szCs w:val="32"/>
        </w:rPr>
      </w:pPr>
      <w:r>
        <w:rPr>
          <w:rFonts w:eastAsia="仿宋_GB2312"/>
          <w:b/>
          <w:bCs/>
          <w:sz w:val="32"/>
          <w:szCs w:val="32"/>
        </w:rPr>
        <w:t>（3）确定指标标准值</w:t>
      </w:r>
    </w:p>
    <w:p w14:paraId="33D0C0FB">
      <w:pPr>
        <w:spacing w:line="560" w:lineRule="exact"/>
        <w:ind w:firstLine="640" w:firstLineChars="200"/>
        <w:rPr>
          <w:rFonts w:eastAsia="仿宋_GB2312"/>
          <w:sz w:val="32"/>
          <w:szCs w:val="32"/>
        </w:rPr>
      </w:pPr>
      <w:r>
        <w:rPr>
          <w:rFonts w:eastAsia="仿宋_GB2312"/>
          <w:sz w:val="32"/>
          <w:szCs w:val="32"/>
        </w:rPr>
        <w:t>指标标准值是绩效评价指标的尺度，既要反映同类项目的先进水平，又要符合项目的实际绩效水平。具体采用计划标准等确定此次绩效评价指标标准值。</w:t>
      </w:r>
    </w:p>
    <w:p w14:paraId="5575686F">
      <w:pPr>
        <w:spacing w:line="560" w:lineRule="exact"/>
        <w:ind w:firstLine="640" w:firstLineChars="200"/>
        <w:rPr>
          <w:rFonts w:eastAsia="仿宋_GB2312"/>
          <w:sz w:val="32"/>
          <w:szCs w:val="32"/>
        </w:rPr>
      </w:pPr>
      <w:r>
        <w:rPr>
          <w:rFonts w:eastAsia="仿宋_GB231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0EC2CABC">
      <w:pPr>
        <w:pStyle w:val="10"/>
        <w:ind w:firstLine="641"/>
        <w:rPr>
          <w:rFonts w:ascii="Times New Roman" w:hAnsi="Times New Roman" w:eastAsia="仿宋_GB2312"/>
          <w:kern w:val="2"/>
        </w:rPr>
      </w:pPr>
      <w:r>
        <w:rPr>
          <w:rFonts w:hint="eastAsia" w:ascii="Times New Roman" w:hAnsi="Times New Roman" w:eastAsia="仿宋_GB2312"/>
          <w:kern w:val="2"/>
        </w:rPr>
        <w:t>3.绩效评价方法</w:t>
      </w:r>
    </w:p>
    <w:p w14:paraId="2396A598">
      <w:pPr>
        <w:spacing w:line="560" w:lineRule="exact"/>
        <w:ind w:firstLine="640" w:firstLineChars="200"/>
        <w:jc w:val="left"/>
        <w:rPr>
          <w:rFonts w:eastAsia="仿宋_GB2312"/>
          <w:sz w:val="32"/>
          <w:szCs w:val="32"/>
        </w:rPr>
      </w:pPr>
      <w:r>
        <w:rPr>
          <w:rFonts w:eastAsia="仿宋_GB2312"/>
          <w:sz w:val="32"/>
          <w:szCs w:val="32"/>
        </w:rPr>
        <w:t>绩效评价从项目决策、项目过程、项目产出、项目效益四个维度进行评价。评价对象为项目目标实施情况，评价核心为资金的支出完成情况和项目的产出效益。</w:t>
      </w:r>
    </w:p>
    <w:p w14:paraId="3CA7D7F3">
      <w:pPr>
        <w:spacing w:line="560" w:lineRule="exact"/>
        <w:ind w:firstLine="640" w:firstLineChars="200"/>
        <w:jc w:val="left"/>
        <w:rPr>
          <w:rFonts w:eastAsia="仿宋_GB2312"/>
          <w:sz w:val="32"/>
          <w:szCs w:val="32"/>
        </w:rPr>
      </w:pPr>
      <w:r>
        <w:rPr>
          <w:rFonts w:eastAsia="仿宋_GB2312"/>
          <w:sz w:val="32"/>
          <w:szCs w:val="32"/>
        </w:rPr>
        <w:t>本次评价指标中，既有定性指标又有定量指标，各类指标因考核内容不同和客观标准不同存在较大差异，因此核定具体指标时采用了不同方法，具体评价方法如下：</w:t>
      </w:r>
    </w:p>
    <w:p w14:paraId="63BD218F">
      <w:pPr>
        <w:spacing w:line="560" w:lineRule="exact"/>
        <w:ind w:firstLine="643" w:firstLineChars="200"/>
        <w:jc w:val="left"/>
        <w:rPr>
          <w:rFonts w:eastAsia="仿宋_GB2312"/>
          <w:sz w:val="32"/>
          <w:szCs w:val="32"/>
        </w:rPr>
      </w:pPr>
      <w:r>
        <w:rPr>
          <w:rFonts w:eastAsia="仿宋_GB2312"/>
          <w:b/>
          <w:bCs/>
          <w:sz w:val="32"/>
          <w:szCs w:val="32"/>
        </w:rPr>
        <w:t>比较法</w:t>
      </w:r>
      <w:r>
        <w:rPr>
          <w:rFonts w:hint="eastAsia" w:eastAsia="仿宋_GB2312"/>
          <w:b/>
          <w:bCs/>
          <w:sz w:val="32"/>
          <w:szCs w:val="32"/>
        </w:rPr>
        <w:t>：</w:t>
      </w:r>
      <w:r>
        <w:rPr>
          <w:rFonts w:eastAsia="仿宋_GB2312"/>
          <w:sz w:val="32"/>
          <w:szCs w:val="32"/>
        </w:rPr>
        <w:t>通过对绩效目标与实施效果、历史与当期情况，综合分析绩效目标实现程度。对项目最终验收情况与年度绩效目标对比、预算资金执行情况等相关因素进行比较。</w:t>
      </w:r>
    </w:p>
    <w:p w14:paraId="29301255">
      <w:pPr>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成本效益分析法：</w:t>
      </w:r>
      <w:r>
        <w:rPr>
          <w:rFonts w:hint="eastAsia" w:ascii="仿宋_GB2312" w:hAnsi="仿宋_GB2312" w:eastAsia="仿宋_GB2312" w:cs="仿宋_GB2312"/>
          <w:sz w:val="32"/>
          <w:szCs w:val="32"/>
        </w:rPr>
        <w:t>将项目的预算支出安排与预期效益进行对比分析，以评价绩效目标的预期实现程度。</w:t>
      </w:r>
    </w:p>
    <w:p w14:paraId="7CEACBBE">
      <w:pPr>
        <w:spacing w:line="560" w:lineRule="exact"/>
        <w:ind w:firstLine="643" w:firstLineChars="200"/>
        <w:jc w:val="left"/>
        <w:rPr>
          <w:sz w:val="32"/>
          <w:szCs w:val="32"/>
        </w:rPr>
      </w:pPr>
      <w:r>
        <w:rPr>
          <w:rFonts w:hint="eastAsia" w:ascii="仿宋_GB2312" w:hAnsi="仿宋_GB2312" w:eastAsia="仿宋_GB2312" w:cs="仿宋_GB2312"/>
          <w:b/>
          <w:bCs/>
          <w:sz w:val="32"/>
          <w:szCs w:val="32"/>
        </w:rPr>
        <w:t>因素分析法：</w:t>
      </w:r>
      <w:r>
        <w:rPr>
          <w:rFonts w:hint="eastAsia" w:ascii="仿宋_GB2312" w:hAnsi="仿宋_GB2312" w:eastAsia="仿宋_GB2312" w:cs="仿宋_GB2312"/>
          <w:sz w:val="32"/>
          <w:szCs w:val="32"/>
        </w:rPr>
        <w:t>综合分析影响财政资金绩效目标实现以及实施效果的内部、外部因素，将影响预期投入和产出的各项因素罗列出来进行分析，计算投入产出比进行评价。</w:t>
      </w:r>
    </w:p>
    <w:p w14:paraId="62490C04">
      <w:pPr>
        <w:pStyle w:val="10"/>
        <w:ind w:firstLine="641"/>
        <w:rPr>
          <w:rFonts w:ascii="Times New Roman" w:hAnsi="Times New Roman" w:eastAsia="仿宋_GB2312"/>
          <w:kern w:val="2"/>
        </w:rPr>
      </w:pPr>
      <w:r>
        <w:rPr>
          <w:rFonts w:hint="eastAsia" w:ascii="Times New Roman" w:hAnsi="Times New Roman" w:eastAsia="仿宋_GB2312"/>
          <w:kern w:val="2"/>
        </w:rPr>
        <w:t>4.评价标准</w:t>
      </w:r>
    </w:p>
    <w:p w14:paraId="31C5BBF5">
      <w:pPr>
        <w:spacing w:line="560" w:lineRule="exact"/>
        <w:ind w:firstLine="640" w:firstLineChars="200"/>
        <w:rPr>
          <w:rFonts w:eastAsia="仿宋_GB2312"/>
          <w:sz w:val="32"/>
          <w:szCs w:val="32"/>
        </w:rPr>
      </w:pPr>
      <w:r>
        <w:rPr>
          <w:rFonts w:eastAsia="仿宋_GB2312"/>
          <w:sz w:val="32"/>
          <w:szCs w:val="32"/>
        </w:rPr>
        <w:t>绩效评价标准通常包括计划标准、行业标准、历史标准等，用于对绩效指标完成情况进行比较、分析、评价。本次评价主要采用了计划标准。</w:t>
      </w:r>
    </w:p>
    <w:p w14:paraId="6305F827">
      <w:pPr>
        <w:spacing w:line="560" w:lineRule="exact"/>
        <w:ind w:firstLine="643" w:firstLineChars="200"/>
        <w:rPr>
          <w:rFonts w:eastAsia="仿宋_GB2312"/>
          <w:sz w:val="32"/>
          <w:szCs w:val="32"/>
        </w:rPr>
      </w:pPr>
      <w:bookmarkStart w:id="0" w:name="_Toc31464"/>
      <w:bookmarkStart w:id="1" w:name="_Toc17882"/>
      <w:r>
        <w:rPr>
          <w:rFonts w:eastAsia="仿宋_GB2312"/>
          <w:b/>
          <w:bCs/>
          <w:sz w:val="32"/>
          <w:szCs w:val="32"/>
        </w:rPr>
        <w:t>计划标准：</w:t>
      </w:r>
      <w:r>
        <w:rPr>
          <w:rFonts w:eastAsia="仿宋_GB2312"/>
          <w:sz w:val="32"/>
          <w:szCs w:val="32"/>
        </w:rPr>
        <w:t>指以预先制定的目标、计划、预算、定额等作为评价标准。</w:t>
      </w:r>
      <w:bookmarkEnd w:id="0"/>
      <w:bookmarkEnd w:id="1"/>
    </w:p>
    <w:p w14:paraId="5EE81506">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（三）绩效评价工作过程</w:t>
      </w:r>
    </w:p>
    <w:p w14:paraId="341B8AD6">
      <w:pPr>
        <w:spacing w:line="560" w:lineRule="exact"/>
        <w:ind w:firstLine="643" w:firstLineChars="200"/>
        <w:rPr>
          <w:rFonts w:eastAsia="仿宋_GB2312"/>
          <w:sz w:val="32"/>
          <w:szCs w:val="32"/>
        </w:rPr>
      </w:pPr>
      <w:r>
        <w:rPr>
          <w:rFonts w:eastAsia="仿宋_GB2312"/>
          <w:b/>
          <w:bCs/>
          <w:sz w:val="32"/>
          <w:szCs w:val="32"/>
        </w:rPr>
        <w:t>1.前期准备。</w:t>
      </w:r>
      <w:r>
        <w:rPr>
          <w:rFonts w:eastAsia="仿宋_GB2312"/>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3A2B6A6D">
      <w:pPr>
        <w:spacing w:line="560" w:lineRule="exact"/>
        <w:ind w:firstLine="643" w:firstLineChars="200"/>
        <w:rPr>
          <w:rFonts w:eastAsia="仿宋_GB2312"/>
          <w:sz w:val="32"/>
          <w:szCs w:val="32"/>
        </w:rPr>
      </w:pPr>
      <w:r>
        <w:rPr>
          <w:rFonts w:eastAsia="仿宋_GB2312"/>
          <w:b/>
          <w:bCs/>
          <w:sz w:val="32"/>
          <w:szCs w:val="32"/>
        </w:rPr>
        <w:t>2.组织实施。</w:t>
      </w:r>
      <w:r>
        <w:rPr>
          <w:rFonts w:eastAsia="仿宋_GB2312"/>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9EF86FD">
      <w:pPr>
        <w:spacing w:line="560" w:lineRule="exact"/>
        <w:ind w:firstLine="643" w:firstLineChars="200"/>
        <w:rPr>
          <w:rFonts w:eastAsia="仿宋_GB2312"/>
          <w:sz w:val="32"/>
          <w:szCs w:val="32"/>
        </w:rPr>
      </w:pPr>
      <w:r>
        <w:rPr>
          <w:rFonts w:eastAsia="仿宋_GB2312"/>
          <w:b/>
          <w:bCs/>
          <w:sz w:val="32"/>
          <w:szCs w:val="32"/>
        </w:rPr>
        <w:t>3.分析评价。</w:t>
      </w:r>
      <w:r>
        <w:rPr>
          <w:rFonts w:eastAsia="仿宋_GB2312"/>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AF568D1">
      <w:pPr>
        <w:spacing w:line="560" w:lineRule="exact"/>
        <w:ind w:firstLine="640" w:firstLineChars="200"/>
        <w:rPr>
          <w:rFonts w:eastAsia="黑体"/>
          <w:bCs/>
          <w:sz w:val="32"/>
          <w:szCs w:val="32"/>
        </w:rPr>
      </w:pPr>
      <w:r>
        <w:rPr>
          <w:rFonts w:hint="eastAsia" w:eastAsia="黑体"/>
          <w:bCs/>
          <w:sz w:val="32"/>
          <w:szCs w:val="32"/>
        </w:rPr>
        <w:t>三、</w:t>
      </w:r>
      <w:r>
        <w:rPr>
          <w:rFonts w:eastAsia="黑体"/>
          <w:bCs/>
          <w:sz w:val="32"/>
          <w:szCs w:val="32"/>
        </w:rPr>
        <w:t>综合评价情况及评价结论（附相关评分表）</w:t>
      </w:r>
    </w:p>
    <w:p w14:paraId="0D6DB837">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（一）评价情况</w:t>
      </w:r>
    </w:p>
    <w:p w14:paraId="77B6F61A">
      <w:pPr>
        <w:spacing w:line="560" w:lineRule="exact"/>
        <w:ind w:firstLine="640" w:firstLineChars="200"/>
        <w:outlineLvl w:val="0"/>
        <w:rPr>
          <w:rFonts w:eastAsia="仿宋_GB2312"/>
          <w:kern w:val="28"/>
          <w:sz w:val="32"/>
          <w:szCs w:val="32"/>
        </w:rPr>
      </w:pPr>
      <w:r>
        <w:rPr>
          <w:rFonts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310D081D">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（二）评价结论</w:t>
      </w:r>
    </w:p>
    <w:p w14:paraId="2D8C61D0">
      <w:pPr>
        <w:spacing w:line="560" w:lineRule="exact"/>
        <w:ind w:firstLine="640" w:firstLineChars="200"/>
        <w:outlineLvl w:val="0"/>
        <w:rPr>
          <w:rFonts w:eastAsia="仿宋_GB2312"/>
          <w:kern w:val="28"/>
          <w:sz w:val="32"/>
          <w:szCs w:val="32"/>
        </w:rPr>
      </w:pPr>
      <w:r>
        <w:rPr>
          <w:rFonts w:eastAsia="仿宋_GB2312"/>
          <w:kern w:val="28"/>
          <w:sz w:val="32"/>
          <w:szCs w:val="32"/>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仿宋_GB2312"/>
          <w:kern w:val="28"/>
          <w:sz w:val="32"/>
          <w:szCs w:val="32"/>
        </w:rPr>
        <w:t>99.</w:t>
      </w:r>
      <w:r>
        <w:rPr>
          <w:rFonts w:hint="eastAsia" w:eastAsia="仿宋_GB2312"/>
          <w:kern w:val="28"/>
          <w:sz w:val="32"/>
          <w:szCs w:val="32"/>
          <w:lang w:val="en-US" w:eastAsia="zh-CN"/>
        </w:rPr>
        <w:t>4</w:t>
      </w:r>
      <w:r>
        <w:rPr>
          <w:rFonts w:hint="eastAsia" w:eastAsia="仿宋_GB2312"/>
          <w:kern w:val="28"/>
          <w:sz w:val="32"/>
          <w:szCs w:val="32"/>
        </w:rPr>
        <w:t>3</w:t>
      </w:r>
      <w:r>
        <w:rPr>
          <w:rFonts w:eastAsia="仿宋_GB2312"/>
          <w:kern w:val="28"/>
          <w:sz w:val="32"/>
          <w:szCs w:val="32"/>
        </w:rPr>
        <w:t>分，属于“优”。其中，项目决策类指标权重为20分，得分为20分，得分率为100%。项目过程类指标权重为20分，得分为</w:t>
      </w:r>
      <w:r>
        <w:rPr>
          <w:rFonts w:hint="eastAsia" w:eastAsia="仿宋_GB2312"/>
          <w:kern w:val="28"/>
          <w:sz w:val="32"/>
          <w:szCs w:val="32"/>
          <w:lang w:val="en-US" w:eastAsia="zh-CN"/>
        </w:rPr>
        <w:t>19.8</w:t>
      </w:r>
      <w:r>
        <w:rPr>
          <w:rFonts w:eastAsia="仿宋_GB2312"/>
          <w:kern w:val="28"/>
          <w:sz w:val="32"/>
          <w:szCs w:val="32"/>
        </w:rPr>
        <w:t>分，得分率为</w:t>
      </w:r>
      <w:r>
        <w:rPr>
          <w:rFonts w:hint="eastAsia" w:eastAsia="仿宋_GB2312"/>
          <w:kern w:val="28"/>
          <w:sz w:val="32"/>
          <w:szCs w:val="32"/>
          <w:lang w:val="en-US" w:eastAsia="zh-CN"/>
        </w:rPr>
        <w:t>99</w:t>
      </w:r>
      <w:r>
        <w:rPr>
          <w:rFonts w:eastAsia="仿宋_GB2312"/>
          <w:kern w:val="28"/>
          <w:sz w:val="32"/>
          <w:szCs w:val="32"/>
        </w:rPr>
        <w:t>%。项目产出类指标权重为</w:t>
      </w:r>
      <w:r>
        <w:rPr>
          <w:rFonts w:hint="eastAsia" w:eastAsia="仿宋_GB2312"/>
          <w:kern w:val="28"/>
          <w:sz w:val="32"/>
          <w:szCs w:val="32"/>
        </w:rPr>
        <w:t>3</w:t>
      </w:r>
      <w:r>
        <w:rPr>
          <w:rFonts w:eastAsia="仿宋_GB2312"/>
          <w:kern w:val="28"/>
          <w:sz w:val="32"/>
          <w:szCs w:val="32"/>
        </w:rPr>
        <w:t>0分，得分为</w:t>
      </w:r>
      <w:r>
        <w:rPr>
          <w:rFonts w:hint="eastAsia" w:eastAsia="仿宋_GB2312"/>
          <w:kern w:val="28"/>
          <w:sz w:val="32"/>
          <w:szCs w:val="32"/>
        </w:rPr>
        <w:t>3</w:t>
      </w:r>
      <w:r>
        <w:rPr>
          <w:rFonts w:eastAsia="仿宋_GB2312"/>
          <w:kern w:val="28"/>
          <w:sz w:val="32"/>
          <w:szCs w:val="32"/>
        </w:rPr>
        <w:t>0分，得分率为100%。</w:t>
      </w:r>
      <w:r>
        <w:rPr>
          <w:rFonts w:hint="eastAsia" w:eastAsia="仿宋_GB2312"/>
          <w:kern w:val="28"/>
          <w:sz w:val="32"/>
          <w:szCs w:val="32"/>
        </w:rPr>
        <w:t>项目成本类指标权重为10分，得分为9.63分,得分率为96.3%。</w:t>
      </w:r>
      <w:r>
        <w:rPr>
          <w:rFonts w:eastAsia="仿宋_GB2312"/>
          <w:kern w:val="28"/>
          <w:sz w:val="32"/>
          <w:szCs w:val="32"/>
        </w:rPr>
        <w:t>项目效益类指标权重为20分，得分为20分，得分率为100%。具体打分情况详见：附件1综合评分表。</w:t>
      </w:r>
    </w:p>
    <w:p w14:paraId="20FB493D">
      <w:pPr>
        <w:pStyle w:val="10"/>
      </w:pPr>
      <w: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5C6E35E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B5AF373">
            <w:pPr>
              <w:spacing w:line="560" w:lineRule="exact"/>
              <w:jc w:val="center"/>
              <w:rPr>
                <w:b/>
                <w:bCs/>
                <w:color w:val="000000"/>
                <w:sz w:val="22"/>
              </w:rPr>
            </w:pPr>
            <w:r>
              <w:rPr>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8C69DF5">
            <w:pPr>
              <w:spacing w:line="560" w:lineRule="exact"/>
              <w:jc w:val="center"/>
              <w:rPr>
                <w:b/>
                <w:bCs/>
                <w:color w:val="000000"/>
                <w:sz w:val="22"/>
              </w:rPr>
            </w:pPr>
            <w:r>
              <w:rPr>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112F09A">
            <w:pPr>
              <w:spacing w:line="560" w:lineRule="exact"/>
              <w:jc w:val="center"/>
              <w:rPr>
                <w:b/>
                <w:bCs/>
                <w:color w:val="000000"/>
                <w:sz w:val="22"/>
              </w:rPr>
            </w:pPr>
            <w:r>
              <w:rPr>
                <w:b/>
                <w:bCs/>
                <w:color w:val="000000"/>
                <w:sz w:val="22"/>
              </w:rPr>
              <w:t>得分</w:t>
            </w:r>
          </w:p>
        </w:tc>
      </w:tr>
      <w:tr w14:paraId="3D6B53F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E76583">
            <w:pPr>
              <w:spacing w:line="560" w:lineRule="exact"/>
              <w:jc w:val="center"/>
              <w:rPr>
                <w:color w:val="000000"/>
                <w:sz w:val="22"/>
              </w:rPr>
            </w:pPr>
            <w:r>
              <w:rPr>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00455C6">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52C480D6">
            <w:pPr>
              <w:spacing w:line="560" w:lineRule="exact"/>
              <w:jc w:val="center"/>
              <w:rPr>
                <w:color w:val="000000"/>
                <w:sz w:val="22"/>
              </w:rPr>
            </w:pPr>
            <w:r>
              <w:rPr>
                <w:color w:val="000000"/>
                <w:sz w:val="22"/>
              </w:rPr>
              <w:t>20</w:t>
            </w:r>
          </w:p>
        </w:tc>
      </w:tr>
      <w:tr w14:paraId="6913FC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BC90D0">
            <w:pPr>
              <w:spacing w:line="560" w:lineRule="exact"/>
              <w:jc w:val="center"/>
              <w:rPr>
                <w:color w:val="000000"/>
                <w:sz w:val="22"/>
              </w:rPr>
            </w:pPr>
            <w:r>
              <w:rPr>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FBE1014">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E847CC3">
            <w:pPr>
              <w:spacing w:line="560" w:lineRule="exact"/>
              <w:jc w:val="center"/>
              <w:rPr>
                <w:rFonts w:hint="default" w:eastAsia="宋体"/>
                <w:color w:val="000000"/>
                <w:sz w:val="22"/>
                <w:lang w:val="en-US" w:eastAsia="zh-CN"/>
              </w:rPr>
            </w:pPr>
            <w:r>
              <w:rPr>
                <w:rFonts w:hint="eastAsia"/>
                <w:color w:val="000000"/>
                <w:sz w:val="22"/>
                <w:lang w:val="en-US" w:eastAsia="zh-CN"/>
              </w:rPr>
              <w:t>19.8</w:t>
            </w:r>
          </w:p>
        </w:tc>
      </w:tr>
      <w:tr w14:paraId="3AF9B73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084FD7">
            <w:pPr>
              <w:spacing w:line="560" w:lineRule="exact"/>
              <w:jc w:val="center"/>
              <w:rPr>
                <w:color w:val="000000"/>
                <w:sz w:val="22"/>
              </w:rPr>
            </w:pPr>
            <w:r>
              <w:rPr>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129F3B5">
            <w:pPr>
              <w:spacing w:line="560" w:lineRule="exact"/>
              <w:jc w:val="center"/>
              <w:rPr>
                <w:rFonts w:hint="default" w:eastAsia="宋体"/>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66AD7A9D">
            <w:pPr>
              <w:spacing w:line="560" w:lineRule="exact"/>
              <w:jc w:val="center"/>
              <w:rPr>
                <w:rFonts w:hint="default" w:eastAsia="宋体"/>
                <w:color w:val="000000"/>
                <w:sz w:val="22"/>
                <w:lang w:val="en-US" w:eastAsia="zh-CN"/>
              </w:rPr>
            </w:pPr>
            <w:r>
              <w:rPr>
                <w:rFonts w:hint="eastAsia"/>
                <w:color w:val="000000"/>
                <w:sz w:val="22"/>
                <w:lang w:val="en-US" w:eastAsia="zh-CN"/>
              </w:rPr>
              <w:t>30</w:t>
            </w:r>
          </w:p>
        </w:tc>
      </w:tr>
      <w:tr w14:paraId="5ADE2FB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C4C677">
            <w:pPr>
              <w:spacing w:line="560" w:lineRule="exact"/>
              <w:jc w:val="center"/>
              <w:rPr>
                <w:color w:val="000000"/>
                <w:sz w:val="22"/>
              </w:rPr>
            </w:pPr>
            <w:r>
              <w:rPr>
                <w:rFonts w:hint="eastAsia"/>
                <w:color w:val="000000"/>
                <w:sz w:val="22"/>
              </w:rPr>
              <w:t>项目成本</w:t>
            </w:r>
          </w:p>
        </w:tc>
        <w:tc>
          <w:tcPr>
            <w:tcW w:w="2168" w:type="dxa"/>
            <w:tcBorders>
              <w:top w:val="nil"/>
              <w:left w:val="nil"/>
              <w:bottom w:val="single" w:color="auto" w:sz="4" w:space="0"/>
              <w:right w:val="single" w:color="auto" w:sz="4" w:space="0"/>
            </w:tcBorders>
            <w:shd w:val="clear" w:color="auto" w:fill="auto"/>
            <w:vAlign w:val="center"/>
          </w:tcPr>
          <w:p w14:paraId="1EE86E0C">
            <w:pPr>
              <w:spacing w:line="560" w:lineRule="exact"/>
              <w:jc w:val="center"/>
              <w:rPr>
                <w:color w:val="000000"/>
                <w:sz w:val="22"/>
              </w:rPr>
            </w:pPr>
            <w:r>
              <w:rPr>
                <w:rFonts w:hint="eastAsia"/>
                <w:color w:val="000000"/>
                <w:sz w:val="22"/>
              </w:rPr>
              <w:t>10</w:t>
            </w:r>
          </w:p>
        </w:tc>
        <w:tc>
          <w:tcPr>
            <w:tcW w:w="2278" w:type="dxa"/>
            <w:tcBorders>
              <w:top w:val="nil"/>
              <w:left w:val="nil"/>
              <w:bottom w:val="single" w:color="auto" w:sz="4" w:space="0"/>
              <w:right w:val="single" w:color="auto" w:sz="4" w:space="0"/>
            </w:tcBorders>
            <w:shd w:val="clear" w:color="auto" w:fill="auto"/>
            <w:vAlign w:val="center"/>
          </w:tcPr>
          <w:p w14:paraId="1EAEED26">
            <w:pPr>
              <w:spacing w:line="560" w:lineRule="exact"/>
              <w:jc w:val="center"/>
              <w:rPr>
                <w:color w:val="000000"/>
                <w:sz w:val="22"/>
              </w:rPr>
            </w:pPr>
            <w:r>
              <w:rPr>
                <w:rFonts w:hint="eastAsia"/>
                <w:color w:val="000000"/>
                <w:sz w:val="22"/>
              </w:rPr>
              <w:t>9.63</w:t>
            </w:r>
          </w:p>
        </w:tc>
      </w:tr>
      <w:tr w14:paraId="3A14102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E1BC94">
            <w:pPr>
              <w:spacing w:line="560" w:lineRule="exact"/>
              <w:jc w:val="center"/>
              <w:rPr>
                <w:color w:val="000000"/>
                <w:sz w:val="22"/>
              </w:rPr>
            </w:pPr>
            <w:r>
              <w:rPr>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FB6F531">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827D2BB">
            <w:pPr>
              <w:spacing w:line="560" w:lineRule="exact"/>
              <w:jc w:val="center"/>
              <w:rPr>
                <w:color w:val="000000"/>
                <w:sz w:val="22"/>
              </w:rPr>
            </w:pPr>
            <w:r>
              <w:rPr>
                <w:color w:val="000000"/>
                <w:sz w:val="22"/>
              </w:rPr>
              <w:t>20</w:t>
            </w:r>
          </w:p>
        </w:tc>
      </w:tr>
      <w:tr w14:paraId="1E70A5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35B549">
            <w:pPr>
              <w:spacing w:line="560" w:lineRule="exact"/>
              <w:jc w:val="center"/>
              <w:rPr>
                <w:b/>
                <w:bCs/>
                <w:color w:val="000000"/>
                <w:sz w:val="22"/>
              </w:rPr>
            </w:pPr>
            <w:r>
              <w:rPr>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F31BC9D">
            <w:pPr>
              <w:spacing w:line="560" w:lineRule="exact"/>
              <w:jc w:val="center"/>
              <w:rPr>
                <w:b/>
                <w:bCs/>
                <w:color w:val="000000"/>
                <w:sz w:val="22"/>
              </w:rPr>
            </w:pPr>
            <w:r>
              <w:rPr>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D6BFE59">
            <w:pPr>
              <w:spacing w:line="560" w:lineRule="exact"/>
              <w:jc w:val="center"/>
              <w:rPr>
                <w:b/>
                <w:bCs/>
                <w:color w:val="000000"/>
                <w:sz w:val="22"/>
              </w:rPr>
            </w:pPr>
            <w:r>
              <w:rPr>
                <w:rFonts w:hint="eastAsia"/>
                <w:b/>
                <w:bCs/>
                <w:color w:val="000000"/>
                <w:sz w:val="22"/>
              </w:rPr>
              <w:t>99.</w:t>
            </w:r>
            <w:r>
              <w:rPr>
                <w:rFonts w:hint="eastAsia"/>
                <w:b/>
                <w:bCs/>
                <w:color w:val="000000"/>
                <w:sz w:val="22"/>
                <w:lang w:val="en-US" w:eastAsia="zh-CN"/>
              </w:rPr>
              <w:t>4</w:t>
            </w:r>
            <w:r>
              <w:rPr>
                <w:rFonts w:hint="eastAsia"/>
                <w:b/>
                <w:bCs/>
                <w:color w:val="000000"/>
                <w:sz w:val="22"/>
              </w:rPr>
              <w:t>3</w:t>
            </w:r>
          </w:p>
        </w:tc>
      </w:tr>
    </w:tbl>
    <w:p w14:paraId="548EB229">
      <w:pPr>
        <w:spacing w:line="560" w:lineRule="exact"/>
        <w:ind w:firstLine="640" w:firstLineChars="200"/>
        <w:rPr>
          <w:rFonts w:eastAsia="黑体"/>
          <w:sz w:val="32"/>
          <w:szCs w:val="32"/>
        </w:rPr>
      </w:pPr>
      <w:r>
        <w:rPr>
          <w:rFonts w:hint="eastAsia" w:eastAsia="黑体"/>
          <w:bCs/>
          <w:sz w:val="32"/>
          <w:szCs w:val="32"/>
        </w:rPr>
        <w:t>四、绩效评价指标分析</w:t>
      </w:r>
    </w:p>
    <w:p w14:paraId="6F69F91E">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（一）项目决策情况</w:t>
      </w:r>
    </w:p>
    <w:p w14:paraId="0403BDD4">
      <w:pPr>
        <w:spacing w:line="56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项目决策类指标包括项目立项、绩效目标和资金投入三方面的内容，由6个三级指标构成，权重分值为20分，实际得分20分，得分率为100%。</w:t>
      </w:r>
    </w:p>
    <w:p w14:paraId="3DC102D1">
      <w:pPr>
        <w:pStyle w:val="19"/>
        <w:spacing w:line="560" w:lineRule="exact"/>
        <w:ind w:firstLine="640"/>
        <w:rPr>
          <w:rFonts w:eastAsia="仿宋_GB2312"/>
          <w:b/>
          <w:bCs/>
          <w:sz w:val="32"/>
          <w:szCs w:val="32"/>
        </w:rPr>
      </w:pPr>
      <w:r>
        <w:rPr>
          <w:rFonts w:eastAsia="仿宋_GB2312"/>
          <w:b/>
          <w:bCs/>
          <w:sz w:val="32"/>
          <w:szCs w:val="32"/>
        </w:rPr>
        <w:t>1.项目立项</w:t>
      </w:r>
    </w:p>
    <w:p w14:paraId="3AA04A59">
      <w:pPr>
        <w:spacing w:line="560" w:lineRule="exact"/>
        <w:ind w:firstLine="643" w:firstLineChars="200"/>
        <w:outlineLvl w:val="0"/>
        <w:rPr>
          <w:rFonts w:eastAsia="仿宋_GB2312"/>
          <w:b/>
          <w:bCs/>
          <w:sz w:val="32"/>
          <w:szCs w:val="32"/>
        </w:rPr>
      </w:pPr>
      <w:r>
        <w:rPr>
          <w:rFonts w:eastAsia="仿宋_GB2312"/>
          <w:b/>
          <w:bCs/>
          <w:sz w:val="32"/>
          <w:szCs w:val="32"/>
        </w:rPr>
        <w:t>（1）立项依据充分性</w:t>
      </w:r>
    </w:p>
    <w:p w14:paraId="63D795F5">
      <w:pPr>
        <w:spacing w:line="56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446B947">
      <w:pPr>
        <w:pStyle w:val="19"/>
        <w:spacing w:line="560" w:lineRule="exact"/>
        <w:ind w:firstLine="640"/>
        <w:rPr>
          <w:rFonts w:eastAsia="仿宋_GB2312"/>
          <w:b/>
          <w:bCs/>
          <w:sz w:val="32"/>
          <w:szCs w:val="32"/>
        </w:rPr>
      </w:pPr>
      <w:r>
        <w:rPr>
          <w:rFonts w:eastAsia="仿宋_GB2312"/>
          <w:b/>
          <w:bCs/>
          <w:sz w:val="32"/>
          <w:szCs w:val="32"/>
        </w:rPr>
        <w:t>（2）立项程序规范性</w:t>
      </w:r>
    </w:p>
    <w:p w14:paraId="15D3AF3F">
      <w:pPr>
        <w:spacing w:line="56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9AC61D4">
      <w:pPr>
        <w:pStyle w:val="19"/>
        <w:spacing w:line="560" w:lineRule="exact"/>
        <w:ind w:firstLine="640"/>
        <w:rPr>
          <w:rFonts w:eastAsia="仿宋_GB2312"/>
          <w:b/>
          <w:bCs/>
          <w:sz w:val="32"/>
          <w:szCs w:val="32"/>
        </w:rPr>
      </w:pPr>
      <w:r>
        <w:rPr>
          <w:rFonts w:eastAsia="仿宋_GB2312"/>
          <w:b/>
          <w:bCs/>
          <w:sz w:val="32"/>
          <w:szCs w:val="32"/>
        </w:rPr>
        <w:t>2.绩效目标</w:t>
      </w:r>
    </w:p>
    <w:p w14:paraId="58737AC5">
      <w:pPr>
        <w:pStyle w:val="19"/>
        <w:spacing w:line="560" w:lineRule="exact"/>
        <w:ind w:firstLine="640"/>
        <w:rPr>
          <w:rFonts w:eastAsia="仿宋_GB2312"/>
          <w:b/>
          <w:bCs/>
          <w:sz w:val="32"/>
          <w:szCs w:val="32"/>
        </w:rPr>
      </w:pPr>
      <w:r>
        <w:rPr>
          <w:rFonts w:eastAsia="仿宋_GB2312"/>
          <w:b/>
          <w:bCs/>
          <w:sz w:val="32"/>
          <w:szCs w:val="32"/>
        </w:rPr>
        <w:t>（1）绩效目标合理性</w:t>
      </w:r>
    </w:p>
    <w:p w14:paraId="2CBDCB2D">
      <w:pPr>
        <w:spacing w:line="56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929A83A">
      <w:pPr>
        <w:pStyle w:val="19"/>
        <w:spacing w:line="560" w:lineRule="exact"/>
        <w:ind w:firstLine="640"/>
        <w:rPr>
          <w:rFonts w:eastAsia="仿宋_GB2312"/>
          <w:b/>
          <w:bCs/>
          <w:sz w:val="32"/>
          <w:szCs w:val="32"/>
        </w:rPr>
      </w:pPr>
      <w:r>
        <w:rPr>
          <w:rFonts w:eastAsia="仿宋_GB2312"/>
          <w:b/>
          <w:bCs/>
          <w:sz w:val="32"/>
          <w:szCs w:val="32"/>
        </w:rPr>
        <w:t>（2）绩效指标明确性</w:t>
      </w:r>
    </w:p>
    <w:p w14:paraId="2E245345">
      <w:pPr>
        <w:spacing w:line="56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01017E0B">
      <w:pPr>
        <w:pStyle w:val="19"/>
        <w:spacing w:line="560" w:lineRule="exact"/>
        <w:ind w:firstLine="640"/>
        <w:rPr>
          <w:rFonts w:eastAsia="仿宋_GB2312"/>
          <w:b/>
          <w:bCs/>
          <w:sz w:val="32"/>
          <w:szCs w:val="32"/>
        </w:rPr>
      </w:pPr>
      <w:r>
        <w:rPr>
          <w:rFonts w:eastAsia="仿宋_GB2312"/>
          <w:b/>
          <w:bCs/>
          <w:sz w:val="32"/>
          <w:szCs w:val="32"/>
        </w:rPr>
        <w:t>3.资金投入</w:t>
      </w:r>
    </w:p>
    <w:p w14:paraId="4E709DC3">
      <w:pPr>
        <w:pStyle w:val="19"/>
        <w:spacing w:line="560" w:lineRule="exact"/>
        <w:ind w:firstLine="640"/>
        <w:rPr>
          <w:rFonts w:eastAsia="仿宋_GB2312"/>
          <w:b/>
          <w:bCs/>
          <w:sz w:val="32"/>
          <w:szCs w:val="32"/>
        </w:rPr>
      </w:pPr>
      <w:r>
        <w:rPr>
          <w:rFonts w:eastAsia="仿宋_GB2312"/>
          <w:b/>
          <w:bCs/>
          <w:sz w:val="32"/>
          <w:szCs w:val="32"/>
        </w:rPr>
        <w:t>（1）预算编制科学性</w:t>
      </w:r>
    </w:p>
    <w:p w14:paraId="4ED4E907">
      <w:pPr>
        <w:spacing w:line="560" w:lineRule="exact"/>
        <w:ind w:firstLine="640" w:firstLineChars="200"/>
        <w:outlineLvl w:val="0"/>
        <w:rPr>
          <w:rFonts w:eastAsia="仿宋_GB2312"/>
          <w:sz w:val="32"/>
          <w:szCs w:val="32"/>
        </w:rPr>
      </w:pPr>
      <w:r>
        <w:rPr>
          <w:rFonts w:eastAsia="仿宋_GB2312"/>
          <w:sz w:val="32"/>
          <w:szCs w:val="32"/>
        </w:rPr>
        <w:t>预算编制经过科学论证，提供充分的测算依据佐证资料，预算内容与项目内容相匹配。项目投资额与工作任务相匹配。</w:t>
      </w:r>
    </w:p>
    <w:p w14:paraId="23252ABC">
      <w:pPr>
        <w:pStyle w:val="19"/>
        <w:spacing w:line="560" w:lineRule="exact"/>
        <w:ind w:firstLine="640"/>
        <w:rPr>
          <w:rFonts w:eastAsia="仿宋_GB2312"/>
          <w:b/>
          <w:bCs/>
          <w:sz w:val="32"/>
          <w:szCs w:val="32"/>
        </w:rPr>
      </w:pPr>
      <w:r>
        <w:rPr>
          <w:rFonts w:eastAsia="仿宋_GB2312"/>
          <w:b/>
          <w:bCs/>
          <w:sz w:val="32"/>
          <w:szCs w:val="32"/>
        </w:rPr>
        <w:t>（2）资金分配合理性</w:t>
      </w:r>
    </w:p>
    <w:p w14:paraId="50F50E06">
      <w:pPr>
        <w:spacing w:line="560" w:lineRule="exact"/>
        <w:ind w:firstLine="640" w:firstLineChars="200"/>
        <w:outlineLvl w:val="0"/>
        <w:rPr>
          <w:rFonts w:eastAsia="仿宋_GB2312"/>
          <w:sz w:val="32"/>
          <w:szCs w:val="32"/>
        </w:rPr>
      </w:pPr>
      <w:r>
        <w:rPr>
          <w:rFonts w:eastAsia="仿宋_GB2312"/>
          <w:sz w:val="32"/>
          <w:szCs w:val="32"/>
        </w:rPr>
        <w:t>资金分配额度与项目单位实际工作内容相适应，资金分配额度合理，资金分配依据充分。</w:t>
      </w:r>
    </w:p>
    <w:p w14:paraId="287CDD57">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（二）项目过程情况</w:t>
      </w:r>
    </w:p>
    <w:p w14:paraId="0FEED0D4">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项目过程类指标包括资金管理和组织实施两方面的内容，有5个三级指标构成，权重分值为20分，实际得分</w:t>
      </w:r>
      <w:r>
        <w:rPr>
          <w:rFonts w:hint="eastAsia" w:ascii="仿宋_GB2312" w:hAnsi="仿宋_GB2312" w:eastAsia="仿宋_GB2312" w:cs="仿宋_GB2312"/>
          <w:sz w:val="32"/>
          <w:szCs w:val="32"/>
          <w:lang w:val="en-US" w:eastAsia="zh-CN"/>
        </w:rPr>
        <w:t>18.8</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99</w:t>
      </w:r>
      <w:r>
        <w:rPr>
          <w:rFonts w:hint="eastAsia" w:ascii="仿宋_GB2312" w:hAnsi="仿宋_GB2312" w:eastAsia="仿宋_GB2312" w:cs="仿宋_GB2312"/>
          <w:sz w:val="32"/>
          <w:szCs w:val="32"/>
        </w:rPr>
        <w:t>%。</w:t>
      </w:r>
    </w:p>
    <w:p w14:paraId="2D2E4C5D">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3438FE3">
      <w:pPr>
        <w:pStyle w:val="19"/>
        <w:spacing w:line="560" w:lineRule="exact"/>
        <w:ind w:firstLine="640"/>
        <w:rPr>
          <w:rFonts w:eastAsia="仿宋_GB2312"/>
          <w:b/>
          <w:bCs/>
          <w:sz w:val="32"/>
          <w:szCs w:val="32"/>
        </w:rPr>
      </w:pPr>
      <w:r>
        <w:rPr>
          <w:rFonts w:eastAsia="仿宋_GB2312"/>
          <w:b/>
          <w:bCs/>
          <w:sz w:val="32"/>
          <w:szCs w:val="32"/>
        </w:rPr>
        <w:t>1.资金管理</w:t>
      </w:r>
    </w:p>
    <w:p w14:paraId="42A69FD1">
      <w:pPr>
        <w:spacing w:line="560" w:lineRule="exact"/>
        <w:ind w:firstLine="643" w:firstLineChars="200"/>
        <w:outlineLvl w:val="0"/>
        <w:rPr>
          <w:rFonts w:eastAsia="仿宋_GB2312"/>
          <w:b/>
          <w:bCs/>
          <w:sz w:val="32"/>
          <w:szCs w:val="32"/>
        </w:rPr>
      </w:pPr>
      <w:r>
        <w:rPr>
          <w:rFonts w:eastAsia="仿宋_GB2312"/>
          <w:b/>
          <w:bCs/>
          <w:sz w:val="32"/>
          <w:szCs w:val="32"/>
        </w:rPr>
        <w:t>（1）资金到位率</w:t>
      </w:r>
    </w:p>
    <w:p w14:paraId="18F98E50">
      <w:pPr>
        <w:spacing w:line="560" w:lineRule="exact"/>
        <w:ind w:firstLine="640" w:firstLineChars="200"/>
        <w:outlineLvl w:val="0"/>
        <w:rPr>
          <w:rFonts w:eastAsia="仿宋_GB2312"/>
          <w:sz w:val="32"/>
          <w:szCs w:val="32"/>
        </w:rPr>
      </w:pPr>
      <w:r>
        <w:rPr>
          <w:rFonts w:eastAsia="仿宋_GB2312"/>
          <w:sz w:val="32"/>
          <w:szCs w:val="32"/>
        </w:rPr>
        <w:t>本项目总投资13.56万元，财政资金及时足额到位，到位率100%，预算资金按计划进度执行。</w:t>
      </w:r>
    </w:p>
    <w:p w14:paraId="1A89271C">
      <w:pPr>
        <w:spacing w:line="560" w:lineRule="exact"/>
        <w:ind w:firstLine="643" w:firstLineChars="200"/>
        <w:outlineLvl w:val="0"/>
        <w:rPr>
          <w:rFonts w:eastAsia="仿宋_GB2312"/>
          <w:b/>
          <w:bCs/>
          <w:sz w:val="32"/>
          <w:szCs w:val="32"/>
        </w:rPr>
      </w:pPr>
      <w:r>
        <w:rPr>
          <w:rFonts w:eastAsia="仿宋_GB2312"/>
          <w:b/>
          <w:bCs/>
          <w:sz w:val="32"/>
          <w:szCs w:val="32"/>
        </w:rPr>
        <w:t>（2）预算执行率</w:t>
      </w:r>
    </w:p>
    <w:p w14:paraId="22449413">
      <w:pPr>
        <w:spacing w:line="56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13.06万元，预算执行率为96.31%。偏差原因：按照国家及财政过紧日子的要求，严肃财经纪律，严格控制支出成本，但是在支出执行执行的过程中，缺乏对项目执行过程的及时监控和评估，没有及时发现资金结余问题并采取措施。改进措施：建立有效的监控和评价机制，及时发现问题并进行调整和改进。</w:t>
      </w:r>
    </w:p>
    <w:p w14:paraId="6A7FE1F9">
      <w:pPr>
        <w:spacing w:line="560" w:lineRule="exact"/>
        <w:ind w:firstLine="643" w:firstLineChars="200"/>
        <w:outlineLvl w:val="0"/>
        <w:rPr>
          <w:rFonts w:eastAsia="仿宋_GB2312"/>
          <w:b/>
          <w:bCs/>
          <w:sz w:val="32"/>
          <w:szCs w:val="32"/>
        </w:rPr>
      </w:pPr>
      <w:r>
        <w:rPr>
          <w:rFonts w:eastAsia="仿宋_GB2312"/>
          <w:b/>
          <w:bCs/>
          <w:sz w:val="32"/>
          <w:szCs w:val="32"/>
        </w:rPr>
        <w:t>（3）资金使用合规性</w:t>
      </w:r>
    </w:p>
    <w:p w14:paraId="0BD56E61">
      <w:pPr>
        <w:spacing w:line="560" w:lineRule="exact"/>
        <w:ind w:firstLine="640" w:firstLineChars="200"/>
        <w:outlineLvl w:val="0"/>
        <w:rPr>
          <w:rFonts w:eastAsia="仿宋_GB2312"/>
          <w:sz w:val="32"/>
          <w:szCs w:val="32"/>
        </w:rPr>
      </w:pPr>
      <w:r>
        <w:rPr>
          <w:rFonts w:eastAsia="仿宋_GB2312"/>
          <w:sz w:val="32"/>
          <w:szCs w:val="32"/>
        </w:rPr>
        <w:t>严格按照《政府财务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F58A548">
      <w:pPr>
        <w:pStyle w:val="19"/>
        <w:spacing w:line="560" w:lineRule="exact"/>
        <w:ind w:firstLine="643" w:firstLineChars="200"/>
        <w:rPr>
          <w:rFonts w:eastAsia="仿宋_GB2312"/>
          <w:b/>
          <w:bCs/>
          <w:sz w:val="32"/>
          <w:szCs w:val="32"/>
        </w:rPr>
      </w:pPr>
      <w:r>
        <w:rPr>
          <w:rFonts w:eastAsia="仿宋_GB2312"/>
          <w:b/>
          <w:bCs/>
          <w:sz w:val="32"/>
          <w:szCs w:val="32"/>
        </w:rPr>
        <w:t>2.组织实施</w:t>
      </w:r>
    </w:p>
    <w:p w14:paraId="780D06EC">
      <w:pPr>
        <w:spacing w:line="560" w:lineRule="exact"/>
        <w:ind w:firstLine="643" w:firstLineChars="200"/>
        <w:outlineLvl w:val="0"/>
        <w:rPr>
          <w:rFonts w:eastAsia="仿宋_GB2312"/>
          <w:b/>
          <w:bCs/>
          <w:sz w:val="32"/>
          <w:szCs w:val="32"/>
        </w:rPr>
      </w:pPr>
      <w:r>
        <w:rPr>
          <w:rFonts w:eastAsia="仿宋_GB2312"/>
          <w:b/>
          <w:bCs/>
          <w:sz w:val="32"/>
          <w:szCs w:val="32"/>
        </w:rPr>
        <w:t>（1）管理制度健全性</w:t>
      </w:r>
    </w:p>
    <w:p w14:paraId="0FBC0F97">
      <w:pPr>
        <w:spacing w:line="560" w:lineRule="exact"/>
        <w:ind w:firstLine="640" w:firstLineChars="200"/>
        <w:outlineLvl w:val="0"/>
        <w:rPr>
          <w:rFonts w:eastAsia="仿宋_GB2312"/>
          <w:sz w:val="32"/>
          <w:szCs w:val="32"/>
        </w:rPr>
      </w:pPr>
      <w:r>
        <w:rPr>
          <w:rFonts w:eastAsia="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16DB88B">
      <w:pPr>
        <w:spacing w:line="560" w:lineRule="exact"/>
        <w:ind w:firstLine="643" w:firstLineChars="200"/>
        <w:outlineLvl w:val="0"/>
        <w:rPr>
          <w:rFonts w:eastAsia="仿宋_GB2312"/>
          <w:b/>
          <w:bCs/>
          <w:sz w:val="32"/>
          <w:szCs w:val="32"/>
        </w:rPr>
      </w:pPr>
      <w:r>
        <w:rPr>
          <w:rFonts w:eastAsia="仿宋_GB2312"/>
          <w:b/>
          <w:bCs/>
          <w:sz w:val="32"/>
          <w:szCs w:val="32"/>
        </w:rPr>
        <w:t>（2）制度执行有效性</w:t>
      </w:r>
    </w:p>
    <w:p w14:paraId="3D9407AE">
      <w:pPr>
        <w:spacing w:line="560" w:lineRule="exact"/>
        <w:ind w:firstLine="640" w:firstLineChars="200"/>
        <w:outlineLvl w:val="0"/>
        <w:rPr>
          <w:rFonts w:eastAsia="仿宋_GB2312"/>
          <w:sz w:val="32"/>
          <w:szCs w:val="32"/>
        </w:rPr>
      </w:pPr>
      <w:r>
        <w:rPr>
          <w:rFonts w:eastAsia="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1E3CDF86">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（三）项目产出情况</w:t>
      </w:r>
    </w:p>
    <w:p w14:paraId="46F453F2">
      <w:pPr>
        <w:spacing w:line="560" w:lineRule="exact"/>
        <w:ind w:firstLine="640" w:firstLineChars="200"/>
        <w:outlineLvl w:val="0"/>
        <w:rPr>
          <w:rFonts w:eastAsia="仿宋_GB2312"/>
          <w:sz w:val="32"/>
          <w:szCs w:val="32"/>
        </w:rPr>
      </w:pPr>
      <w:r>
        <w:rPr>
          <w:rFonts w:eastAsia="仿宋_GB2312"/>
          <w:sz w:val="32"/>
          <w:szCs w:val="32"/>
        </w:rPr>
        <w:t>项目产出类指标包括产出数量、产出质量、产出时效三方面的内容，由8个三级指标构成，权重分为</w:t>
      </w:r>
      <w:r>
        <w:rPr>
          <w:rFonts w:hint="eastAsia" w:eastAsia="仿宋_GB2312"/>
          <w:sz w:val="32"/>
          <w:szCs w:val="32"/>
          <w:lang w:val="en-US" w:eastAsia="zh-CN"/>
        </w:rPr>
        <w:t>30</w:t>
      </w:r>
      <w:r>
        <w:rPr>
          <w:rFonts w:eastAsia="仿宋_GB2312"/>
          <w:sz w:val="32"/>
          <w:szCs w:val="32"/>
        </w:rPr>
        <w:t>分，实际得分</w:t>
      </w:r>
      <w:r>
        <w:rPr>
          <w:rFonts w:hint="eastAsia" w:eastAsia="仿宋_GB2312"/>
          <w:sz w:val="32"/>
          <w:szCs w:val="32"/>
          <w:lang w:val="en-US" w:eastAsia="zh-CN"/>
        </w:rPr>
        <w:t>30</w:t>
      </w:r>
      <w:r>
        <w:rPr>
          <w:rFonts w:eastAsia="仿宋_GB2312"/>
          <w:sz w:val="32"/>
          <w:szCs w:val="32"/>
        </w:rPr>
        <w:t>分，得分率为</w:t>
      </w:r>
      <w:r>
        <w:rPr>
          <w:rFonts w:hint="eastAsia" w:eastAsia="仿宋_GB2312"/>
          <w:sz w:val="32"/>
          <w:szCs w:val="32"/>
          <w:lang w:val="en-US" w:eastAsia="zh-CN"/>
        </w:rPr>
        <w:t>100</w:t>
      </w:r>
      <w:r>
        <w:rPr>
          <w:rFonts w:eastAsia="仿宋_GB2312"/>
          <w:sz w:val="32"/>
          <w:szCs w:val="32"/>
        </w:rPr>
        <w:t>%。具体产出指标完成情况如下：</w:t>
      </w:r>
    </w:p>
    <w:p w14:paraId="65A4C52F">
      <w:pPr>
        <w:spacing w:line="560" w:lineRule="exact"/>
        <w:ind w:firstLine="640" w:firstLineChars="200"/>
        <w:outlineLvl w:val="0"/>
        <w:rPr>
          <w:rFonts w:eastAsia="仿宋_GB2312"/>
          <w:color w:val="FF0000"/>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794867BA">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sz w:val="32"/>
          <w:szCs w:val="32"/>
        </w:rPr>
        <w:t>指标1：为民办实事数量目标值≥3件，实际完成值3件，完成率100%；</w:t>
      </w:r>
    </w:p>
    <w:p w14:paraId="695F0DB9">
      <w:pPr>
        <w:spacing w:line="560" w:lineRule="exact"/>
        <w:ind w:firstLine="640" w:firstLineChars="200"/>
        <w:outlineLvl w:val="0"/>
        <w:rPr>
          <w:rFonts w:eastAsia="仿宋_GB2312"/>
          <w:sz w:val="32"/>
          <w:szCs w:val="32"/>
        </w:rPr>
      </w:pPr>
      <w:r>
        <w:rPr>
          <w:rFonts w:eastAsia="仿宋_GB2312"/>
          <w:sz w:val="32"/>
          <w:szCs w:val="32"/>
        </w:rPr>
        <w:t>指标2：</w:t>
      </w:r>
      <w:r>
        <w:rPr>
          <w:rFonts w:hint="eastAsia" w:eastAsia="仿宋_GB2312"/>
          <w:sz w:val="32"/>
          <w:szCs w:val="32"/>
          <w:lang w:eastAsia="zh-CN"/>
        </w:rPr>
        <w:t>基层</w:t>
      </w:r>
      <w:r>
        <w:rPr>
          <w:rFonts w:eastAsia="仿宋_GB2312"/>
          <w:sz w:val="32"/>
          <w:szCs w:val="32"/>
        </w:rPr>
        <w:t>工作队人员数量目标值≥4人，实际完成值4人，完成率100%。</w:t>
      </w:r>
    </w:p>
    <w:p w14:paraId="1FC096EF">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61CA8BB5">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lang w:eastAsia="zh-CN"/>
        </w:rPr>
        <w:t>基层</w:t>
      </w:r>
      <w:r>
        <w:rPr>
          <w:rFonts w:eastAsia="仿宋_GB2312"/>
          <w:sz w:val="32"/>
          <w:szCs w:val="32"/>
        </w:rPr>
        <w:t>工作资金使用规范率目标值≥100%，实际完成值100%，完成率100%；</w:t>
      </w:r>
    </w:p>
    <w:p w14:paraId="5BBD3CCA">
      <w:pPr>
        <w:spacing w:line="560" w:lineRule="exact"/>
        <w:ind w:firstLine="640" w:firstLineChars="200"/>
        <w:outlineLvl w:val="0"/>
        <w:rPr>
          <w:rFonts w:eastAsia="仿宋_GB2312"/>
          <w:sz w:val="32"/>
          <w:szCs w:val="32"/>
        </w:rPr>
      </w:pPr>
      <w:r>
        <w:rPr>
          <w:rFonts w:eastAsia="仿宋_GB2312"/>
          <w:sz w:val="32"/>
          <w:szCs w:val="32"/>
        </w:rPr>
        <w:t>指标2：每季度走访慰问村民的覆盖率目标值≥95%，实际完成值100%，完成率105.26%，偏差原因：指标设置不科学，对指标及履职工作情况没有清晰认真，根据年初工作要求每季度走访慰问村民的覆盖率达到100%，为完成绩效指标，设置目标值≥95%，低于实际工作要求。改进措施：科学准确充分设置绩效指标，根据年初工作计划及要求合理设置绩效指标，既保证资金支出取得实效工作，又确保绩效指标能发挥监控管理作用。</w:t>
      </w:r>
    </w:p>
    <w:p w14:paraId="6128A765">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41587050">
      <w:pPr>
        <w:spacing w:line="560" w:lineRule="exact"/>
        <w:ind w:firstLine="640" w:firstLineChars="200"/>
        <w:outlineLvl w:val="0"/>
        <w:rPr>
          <w:rFonts w:eastAsia="仿宋_GB2312"/>
          <w:sz w:val="32"/>
          <w:szCs w:val="32"/>
        </w:rPr>
      </w:pPr>
      <w:r>
        <w:rPr>
          <w:rFonts w:eastAsia="仿宋_GB2312"/>
          <w:sz w:val="32"/>
          <w:szCs w:val="32"/>
        </w:rPr>
        <w:t>指标1：每件为民办实事及时率目标值≥95%，实际完成值100，完成率105.26%，偏差原因：指标设置不科学，对指标及履职工作情况没有清晰认真，根据年初工作计划及时开展为民办实事工作，为完成绩效指标，设置目标值≥95%，低于实际工作要求。改进措施：科学准确充分设置绩效指标，根据年初工作计划及要求合理设置绩效指标，既保证资金支出取得实效工作，又确保绩效指标能发挥监控管理作用；</w:t>
      </w:r>
    </w:p>
    <w:p w14:paraId="3E5D0FA2">
      <w:pPr>
        <w:spacing w:line="560" w:lineRule="exact"/>
        <w:ind w:firstLine="640" w:firstLineChars="200"/>
        <w:outlineLvl w:val="0"/>
        <w:rPr>
          <w:rFonts w:eastAsia="仿宋_GB2312"/>
          <w:sz w:val="32"/>
          <w:szCs w:val="32"/>
        </w:rPr>
      </w:pPr>
      <w:r>
        <w:rPr>
          <w:rFonts w:eastAsia="仿宋_GB2312"/>
          <w:sz w:val="32"/>
          <w:szCs w:val="32"/>
        </w:rPr>
        <w:t>指标2：节假日走访慰问村民的及时率目标值≥95%，实际完成值100，完成率105.26%，偏差原因：指标设置不科学，对指标及履职工作情况没有清晰认真，根据年初工作计划节假日及时走访慰问村民，为完成绩效指标，设置目标值≥95%，低于实际工作要求。改进措施：科学准确充分设置绩效指标，根据年初工作计划及要求合理设置绩效指标，既保证资金支出取得实效工作，又确保绩效指标能发挥监控管理作用。</w:t>
      </w:r>
    </w:p>
    <w:p w14:paraId="1360060E">
      <w:pPr>
        <w:spacing w:line="560" w:lineRule="exact"/>
        <w:ind w:firstLine="643" w:firstLineChars="200"/>
        <w:outlineLvl w:val="0"/>
        <w:rPr>
          <w:rFonts w:eastAsia="仿宋_GB2312"/>
          <w:b/>
          <w:bCs/>
          <w:sz w:val="32"/>
          <w:szCs w:val="32"/>
        </w:rPr>
      </w:pPr>
      <w:r>
        <w:rPr>
          <w:rFonts w:eastAsia="仿宋_GB2312"/>
          <w:b/>
          <w:bCs/>
          <w:sz w:val="32"/>
          <w:szCs w:val="32"/>
        </w:rPr>
        <w:t>项目成本情况</w:t>
      </w:r>
    </w:p>
    <w:p w14:paraId="468E6141">
      <w:pPr>
        <w:spacing w:line="560" w:lineRule="exact"/>
        <w:ind w:firstLine="640"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sz w:val="32"/>
          <w:szCs w:val="32"/>
        </w:rPr>
        <w:t>项目成本类指标包括经济成本、社会成本、生态成本三方面的内容，由3个三级指标构成，权重分为10分，实际得分9.63分，得分率为96.3%。具体产出指标完成情况如下：</w:t>
      </w:r>
    </w:p>
    <w:p w14:paraId="36C6EADA">
      <w:pPr>
        <w:spacing w:line="560" w:lineRule="exact"/>
        <w:ind w:firstLine="640" w:firstLineChars="200"/>
        <w:outlineLvl w:val="0"/>
        <w:rPr>
          <w:rFonts w:eastAsia="仿宋_GB2312"/>
          <w:sz w:val="32"/>
          <w:szCs w:val="32"/>
        </w:rPr>
      </w:pPr>
      <w:r>
        <w:rPr>
          <w:rFonts w:eastAsia="仿宋_GB2312"/>
          <w:sz w:val="32"/>
          <w:szCs w:val="32"/>
        </w:rPr>
        <w:t>经济成本指标：</w:t>
      </w:r>
    </w:p>
    <w:p w14:paraId="623E9FC0">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lang w:eastAsia="zh-CN"/>
        </w:rPr>
        <w:t>基层</w:t>
      </w:r>
      <w:r>
        <w:rPr>
          <w:rFonts w:eastAsia="仿宋_GB2312"/>
          <w:sz w:val="32"/>
          <w:szCs w:val="32"/>
        </w:rPr>
        <w:t>工作队经费目标值≤2万元，实际完成值1.8万元，完成率90%。偏差原因：按照国家及财政过紧日子的要求，严肃财经纪律，严格控制支出成本，但是在支出执行执行的过程中，缺乏对项目执行过程的及时监控和评估，没有及时发现资金结余问题并采取措施。改进措施：建立有效的监控和评价机制，及时发现问题并进行调整和改进。</w:t>
      </w:r>
    </w:p>
    <w:p w14:paraId="6F9C17E7">
      <w:pPr>
        <w:spacing w:line="560" w:lineRule="exact"/>
        <w:ind w:firstLine="640" w:firstLineChars="200"/>
        <w:outlineLvl w:val="0"/>
        <w:rPr>
          <w:rFonts w:eastAsia="仿宋_GB2312"/>
          <w:sz w:val="32"/>
          <w:szCs w:val="32"/>
        </w:rPr>
      </w:pPr>
      <w:r>
        <w:rPr>
          <w:rFonts w:eastAsia="仿宋_GB2312"/>
          <w:sz w:val="32"/>
          <w:szCs w:val="32"/>
        </w:rPr>
        <w:t>指标2：</w:t>
      </w:r>
      <w:r>
        <w:rPr>
          <w:rFonts w:hint="eastAsia" w:eastAsia="仿宋_GB2312"/>
          <w:sz w:val="32"/>
          <w:szCs w:val="32"/>
          <w:lang w:eastAsia="zh-CN"/>
        </w:rPr>
        <w:t>基层</w:t>
      </w:r>
      <w:r>
        <w:rPr>
          <w:rFonts w:eastAsia="仿宋_GB2312"/>
          <w:sz w:val="32"/>
          <w:szCs w:val="32"/>
        </w:rPr>
        <w:t>工作队经费目标值≤12万元，实际完成值11.24万元，完成率93.67%，偏差原因：按照国家及财政过紧日子的要求，严肃财经纪律，严格控制支出成本，但是在支出执行执行的过程中，缺乏对项目执行过程的及时监控和评估，没有及时发现资金结余问题并采取措施。改进措施：建立有效的监控和评价机制，及时发现问题并进行调整和改进。</w:t>
      </w:r>
    </w:p>
    <w:p w14:paraId="35FA7BEC">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（四）项目效益情况</w:t>
      </w:r>
    </w:p>
    <w:p w14:paraId="413C4EC6">
      <w:pPr>
        <w:spacing w:line="56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项目效益类指标包括项目实施效益和满意度两方面的内容，由3个三级指标构成，权重分为</w:t>
      </w:r>
      <w:r>
        <w:rPr>
          <w:rFonts w:hint="eastAsia" w:eastAsia="仿宋_GB2312"/>
          <w:sz w:val="32"/>
          <w:szCs w:val="32"/>
          <w:lang w:val="en-US" w:eastAsia="zh-CN"/>
        </w:rPr>
        <w:t>2</w:t>
      </w:r>
      <w:r>
        <w:rPr>
          <w:rFonts w:eastAsia="仿宋_GB2312"/>
          <w:sz w:val="32"/>
          <w:szCs w:val="32"/>
        </w:rPr>
        <w:t>0分，实际得分</w:t>
      </w:r>
      <w:r>
        <w:rPr>
          <w:rFonts w:hint="eastAsia" w:eastAsia="仿宋_GB2312"/>
          <w:sz w:val="32"/>
          <w:szCs w:val="32"/>
          <w:lang w:val="en-US" w:eastAsia="zh-CN"/>
        </w:rPr>
        <w:t>2</w:t>
      </w:r>
      <w:r>
        <w:rPr>
          <w:rFonts w:eastAsia="仿宋_GB2312"/>
          <w:sz w:val="32"/>
          <w:szCs w:val="32"/>
        </w:rPr>
        <w:t>0分，得分率为100%。具体效益指标及满意度指标完成情况如下：</w:t>
      </w:r>
    </w:p>
    <w:p w14:paraId="19C2F720">
      <w:pPr>
        <w:spacing w:line="560" w:lineRule="exact"/>
        <w:ind w:firstLine="643" w:firstLineChars="200"/>
        <w:outlineLvl w:val="0"/>
        <w:rPr>
          <w:rFonts w:eastAsia="仿宋_GB2312"/>
          <w:b/>
          <w:bCs/>
          <w:sz w:val="32"/>
          <w:szCs w:val="32"/>
        </w:rPr>
      </w:pPr>
      <w:r>
        <w:rPr>
          <w:rFonts w:eastAsia="仿宋_GB2312"/>
          <w:b/>
          <w:bCs/>
          <w:sz w:val="32"/>
          <w:szCs w:val="32"/>
        </w:rPr>
        <w:t>1.实施效益</w:t>
      </w:r>
    </w:p>
    <w:p w14:paraId="10B9E8BA">
      <w:pPr>
        <w:spacing w:line="560" w:lineRule="exact"/>
        <w:ind w:firstLine="640" w:firstLineChars="200"/>
        <w:outlineLvl w:val="0"/>
        <w:rPr>
          <w:rFonts w:eastAsia="仿宋_GB2312"/>
          <w:sz w:val="32"/>
          <w:szCs w:val="32"/>
        </w:rPr>
      </w:pPr>
      <w:r>
        <w:rPr>
          <w:rFonts w:eastAsia="仿宋_GB2312"/>
          <w:sz w:val="32"/>
          <w:szCs w:val="32"/>
        </w:rPr>
        <w:t>①社会效益指标：</w:t>
      </w:r>
    </w:p>
    <w:p w14:paraId="1F869333">
      <w:pPr>
        <w:spacing w:line="560" w:lineRule="exact"/>
        <w:ind w:firstLine="640" w:firstLineChars="200"/>
        <w:outlineLvl w:val="0"/>
        <w:rPr>
          <w:rFonts w:eastAsia="仿宋_GB2312"/>
          <w:sz w:val="32"/>
          <w:szCs w:val="32"/>
        </w:rPr>
      </w:pPr>
      <w:r>
        <w:rPr>
          <w:rFonts w:eastAsia="仿宋_GB2312"/>
          <w:sz w:val="32"/>
          <w:szCs w:val="32"/>
        </w:rPr>
        <w:t>指标1：政策宣传普及率目标值≥90%，实际完成值100%，完成率111.11%，偏差原因：指标设置不科学，对指标及履职工作情况没有清晰认真，根据年初工作计划政策宣传普及率100%，为完成绩效指标，设置目标值≥95%，低于实际工作要求。改进措施：科学准确充分设置绩效指标，根据年初工作计划及要求合理设置绩效指标，既保证资金支出取得实效工作，又确保绩效指标能发挥监控管理作用。</w:t>
      </w:r>
    </w:p>
    <w:p w14:paraId="42663475">
      <w:pPr>
        <w:spacing w:line="560" w:lineRule="exact"/>
        <w:ind w:firstLine="640" w:firstLineChars="200"/>
        <w:rPr>
          <w:rFonts w:eastAsia="仿宋_GB2312"/>
          <w:color w:val="2B2B2B"/>
          <w:kern w:val="0"/>
          <w:sz w:val="32"/>
          <w:szCs w:val="32"/>
        </w:rPr>
      </w:pPr>
      <w:r>
        <w:rPr>
          <w:rFonts w:eastAsia="仿宋_GB2312"/>
          <w:sz w:val="32"/>
          <w:szCs w:val="32"/>
        </w:rPr>
        <w:t>指标2：村容村貌目标值有效改善，实际完成值有效改善，完成率100%，</w:t>
      </w:r>
    </w:p>
    <w:p w14:paraId="4CE3778E">
      <w:pPr>
        <w:spacing w:line="560" w:lineRule="exact"/>
        <w:ind w:firstLine="643" w:firstLineChars="200"/>
        <w:outlineLvl w:val="0"/>
        <w:rPr>
          <w:rFonts w:eastAsia="仿宋_GB2312"/>
          <w:b/>
          <w:bCs/>
          <w:sz w:val="32"/>
          <w:szCs w:val="32"/>
        </w:rPr>
      </w:pPr>
      <w:r>
        <w:rPr>
          <w:rFonts w:eastAsia="仿宋_GB2312"/>
          <w:b/>
          <w:bCs/>
          <w:sz w:val="32"/>
          <w:szCs w:val="32"/>
        </w:rPr>
        <w:t>2.满意度</w:t>
      </w:r>
    </w:p>
    <w:p w14:paraId="3B0F4673">
      <w:pPr>
        <w:spacing w:line="560" w:lineRule="exact"/>
        <w:ind w:firstLine="640" w:firstLineChars="200"/>
        <w:outlineLvl w:val="0"/>
        <w:rPr>
          <w:rFonts w:eastAsia="仿宋_GB2312"/>
          <w:sz w:val="32"/>
          <w:szCs w:val="32"/>
        </w:rPr>
      </w:pPr>
      <w:r>
        <w:rPr>
          <w:rFonts w:eastAsia="仿宋_GB2312"/>
          <w:sz w:val="32"/>
          <w:szCs w:val="32"/>
        </w:rPr>
        <w:t>满意度指标：</w:t>
      </w:r>
    </w:p>
    <w:p w14:paraId="5A931E74">
      <w:pPr>
        <w:spacing w:line="560" w:lineRule="exact"/>
        <w:ind w:firstLine="640" w:firstLineChars="200"/>
        <w:outlineLvl w:val="0"/>
        <w:rPr>
          <w:rFonts w:eastAsia="仿宋_GB2312"/>
          <w:sz w:val="32"/>
          <w:szCs w:val="32"/>
        </w:rPr>
      </w:pPr>
      <w:r>
        <w:rPr>
          <w:rFonts w:eastAsia="仿宋_GB2312"/>
          <w:sz w:val="32"/>
          <w:szCs w:val="32"/>
        </w:rPr>
        <w:t>指标1：村民对</w:t>
      </w:r>
      <w:r>
        <w:rPr>
          <w:rFonts w:hint="eastAsia" w:eastAsia="仿宋_GB2312"/>
          <w:sz w:val="32"/>
          <w:szCs w:val="32"/>
          <w:lang w:eastAsia="zh-CN"/>
        </w:rPr>
        <w:t>基层</w:t>
      </w:r>
      <w:r>
        <w:rPr>
          <w:rFonts w:eastAsia="仿宋_GB2312"/>
          <w:sz w:val="32"/>
          <w:szCs w:val="32"/>
        </w:rPr>
        <w:t>工作</w:t>
      </w:r>
      <w:r>
        <w:rPr>
          <w:rFonts w:hint="eastAsia" w:eastAsia="仿宋_GB2312"/>
          <w:sz w:val="32"/>
          <w:szCs w:val="32"/>
          <w:lang w:val="en-US" w:eastAsia="zh-CN"/>
        </w:rPr>
        <w:t>队</w:t>
      </w:r>
      <w:r>
        <w:rPr>
          <w:rFonts w:eastAsia="仿宋_GB2312"/>
          <w:sz w:val="32"/>
          <w:szCs w:val="32"/>
        </w:rPr>
        <w:t>满意度目标值≥90%，实际完成值100%，完成率111.11%，偏差原因：指标设置不科学，对指标设置及村民对</w:t>
      </w:r>
      <w:r>
        <w:rPr>
          <w:rFonts w:hint="eastAsia" w:eastAsia="仿宋_GB2312"/>
          <w:sz w:val="32"/>
          <w:szCs w:val="32"/>
        </w:rPr>
        <w:t>基层</w:t>
      </w:r>
      <w:r>
        <w:rPr>
          <w:rFonts w:eastAsia="仿宋_GB2312"/>
          <w:sz w:val="32"/>
          <w:szCs w:val="32"/>
        </w:rPr>
        <w:t>工作认可度没有清晰认真，根据上年村民对</w:t>
      </w:r>
      <w:r>
        <w:rPr>
          <w:rFonts w:hint="eastAsia" w:eastAsia="仿宋_GB2312"/>
          <w:sz w:val="32"/>
          <w:szCs w:val="32"/>
        </w:rPr>
        <w:t>基层</w:t>
      </w:r>
      <w:r>
        <w:rPr>
          <w:rFonts w:eastAsia="仿宋_GB2312"/>
          <w:sz w:val="32"/>
          <w:szCs w:val="32"/>
        </w:rPr>
        <w:t>工作</w:t>
      </w:r>
      <w:r>
        <w:rPr>
          <w:rFonts w:hint="eastAsia" w:eastAsia="仿宋_GB2312"/>
          <w:sz w:val="32"/>
          <w:szCs w:val="32"/>
          <w:lang w:val="en-US" w:eastAsia="zh-CN"/>
        </w:rPr>
        <w:t>队</w:t>
      </w:r>
      <w:r>
        <w:rPr>
          <w:rFonts w:eastAsia="仿宋_GB2312"/>
          <w:sz w:val="32"/>
          <w:szCs w:val="32"/>
        </w:rPr>
        <w:t>满意度100%，为完成绩效指标，设置目标值≥95%，低于实际工作要求。改进措施：科学准确充分设置绩效指标，根据年初工作计划及要求合理设置绩效指标，既保证资金支出取得实效工作，又确保绩效指标能发挥监控管理作用。</w:t>
      </w:r>
    </w:p>
    <w:p w14:paraId="0D29D126">
      <w:pPr>
        <w:spacing w:line="560" w:lineRule="exact"/>
        <w:ind w:firstLine="640" w:firstLineChars="200"/>
        <w:rPr>
          <w:rFonts w:eastAsia="黑体"/>
          <w:bCs/>
          <w:sz w:val="32"/>
          <w:szCs w:val="32"/>
        </w:rPr>
      </w:pPr>
      <w:r>
        <w:rPr>
          <w:rFonts w:hint="eastAsia" w:eastAsia="黑体"/>
          <w:bCs/>
          <w:sz w:val="32"/>
          <w:szCs w:val="32"/>
        </w:rPr>
        <w:t>五、主要经验及做法、存在的问题及原因分析</w:t>
      </w:r>
    </w:p>
    <w:p w14:paraId="42099AD3">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（一）主要经验及做法</w:t>
      </w:r>
    </w:p>
    <w:p w14:paraId="25A96E24">
      <w:pPr>
        <w:pStyle w:val="10"/>
        <w:ind w:firstLine="640"/>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40418F5">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（二）存在的问题及原因分析</w:t>
      </w:r>
    </w:p>
    <w:p w14:paraId="77B31DEE">
      <w:pPr>
        <w:pStyle w:val="10"/>
        <w:ind w:firstLine="640"/>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482E8CCE">
      <w:pPr>
        <w:pStyle w:val="10"/>
        <w:ind w:firstLine="640"/>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绩效评价在指标设定上存在偏离的现象。对绩效目标的设定和各项指标的理解、认识到位，导致项目绩效目标设定偏离实际，现有绩效评价不能够准确反映项目真实性，绩效监控能力较低。</w:t>
      </w:r>
    </w:p>
    <w:p w14:paraId="166DC948">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77900F4B">
      <w:pPr>
        <w:pStyle w:val="10"/>
        <w:ind w:firstLine="640"/>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绩效管理工作培训，进一步夯实业务基础，提高我单位绩效人员水多进行有关绩效管理工作方面的培训,积极组织第三方开展平。</w:t>
      </w:r>
    </w:p>
    <w:p w14:paraId="5571F429">
      <w:pPr>
        <w:spacing w:line="560" w:lineRule="exact"/>
        <w:ind w:firstLine="640" w:firstLineChars="200"/>
        <w:rPr>
          <w:rFonts w:eastAsia="黑体"/>
          <w:sz w:val="32"/>
          <w:szCs w:val="32"/>
        </w:rPr>
      </w:pPr>
      <w:r>
        <w:rPr>
          <w:rFonts w:hint="eastAsia" w:eastAsia="黑体"/>
          <w:sz w:val="32"/>
          <w:szCs w:val="32"/>
        </w:rPr>
        <w:t>七、其他需</w:t>
      </w:r>
      <w:bookmarkStart w:id="2" w:name="page8"/>
      <w:bookmarkEnd w:id="2"/>
      <w:r>
        <w:rPr>
          <w:rFonts w:hint="eastAsia" w:eastAsia="黑体"/>
          <w:sz w:val="32"/>
          <w:szCs w:val="32"/>
        </w:rPr>
        <w:t>要说明的问题</w:t>
      </w:r>
    </w:p>
    <w:p w14:paraId="7D4A892D">
      <w:pPr>
        <w:pStyle w:val="10"/>
        <w:ind w:firstLine="640"/>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一是该项目在财政的指导和帮助下，项目在资金申请前置条件的落实上，发挥了积极的“花钱必问效，无效必问责”的项目绩效管理和实施的理念引导。</w:t>
      </w:r>
    </w:p>
    <w:p w14:paraId="0FF51DBF">
      <w:pPr>
        <w:pStyle w:val="10"/>
        <w:ind w:firstLine="640"/>
        <w:rPr>
          <w:rFonts w:ascii="仿宋_GB2312" w:hAnsi="仿宋_GB2312" w:eastAsia="仿宋_GB2312" w:cs="仿宋_GB2312"/>
          <w:b w:val="0"/>
          <w:bCs w:val="0"/>
          <w:kern w:val="2"/>
        </w:rPr>
        <w:sectPr>
          <w:pgSz w:w="11906" w:h="16838"/>
          <w:pgMar w:top="2098" w:right="1587" w:bottom="1871" w:left="1587" w:header="851" w:footer="992" w:gutter="0"/>
          <w:cols w:space="425" w:num="1"/>
          <w:docGrid w:type="lines" w:linePitch="312" w:charSpace="0"/>
        </w:sectPr>
      </w:pPr>
      <w:r>
        <w:rPr>
          <w:rFonts w:hint="eastAsia" w:ascii="仿宋_GB2312" w:hAnsi="仿宋_GB2312" w:eastAsia="仿宋_GB2312" w:cs="仿宋_GB2312"/>
          <w:b w:val="0"/>
          <w:bCs w:val="0"/>
          <w:kern w:val="2"/>
        </w:rPr>
        <w:t>二是项目在实施的过程中进行了绩效的全过程管理，资金使用流程严谨合规，确保资金用途显效、高效。</w:t>
      </w:r>
    </w:p>
    <w:p w14:paraId="36DF82D5">
      <w:pPr>
        <w:spacing w:line="600" w:lineRule="exact"/>
        <w:rPr>
          <w:rFonts w:eastAsia="黑体"/>
          <w:b/>
          <w:sz w:val="32"/>
          <w:szCs w:val="32"/>
        </w:rPr>
      </w:pPr>
      <w:r>
        <w:rPr>
          <w:rFonts w:eastAsia="黑体"/>
          <w:b/>
          <w:sz w:val="32"/>
          <w:szCs w:val="32"/>
        </w:rPr>
        <w:t>附件1</w:t>
      </w:r>
      <w:bookmarkStart w:id="5" w:name="_GoBack"/>
      <w:bookmarkEnd w:id="5"/>
    </w:p>
    <w:p w14:paraId="13762F03">
      <w:pPr>
        <w:pStyle w:val="19"/>
        <w:ind w:firstLine="562"/>
        <w:jc w:val="center"/>
        <w:rPr>
          <w:rFonts w:eastAsia="仿宋_GB2312"/>
          <w:sz w:val="32"/>
          <w:szCs w:val="32"/>
        </w:rPr>
      </w:pPr>
      <w:bookmarkStart w:id="3" w:name="_Toc30064_WPSOffice_Level1"/>
      <w:bookmarkStart w:id="4" w:name="_Toc26499_WPSOffice_Level2"/>
      <w:r>
        <w:rPr>
          <w:rFonts w:hint="eastAsia" w:ascii="宋体" w:hAnsi="宋体" w:cs="宋体"/>
          <w:b/>
          <w:bCs/>
          <w:sz w:val="32"/>
          <w:szCs w:val="32"/>
        </w:rPr>
        <w:t>基层</w:t>
      </w:r>
      <w:r>
        <w:rPr>
          <w:rFonts w:ascii="宋体" w:hAnsi="宋体" w:cs="宋体"/>
          <w:b/>
          <w:bCs/>
          <w:sz w:val="32"/>
          <w:szCs w:val="32"/>
        </w:rPr>
        <w:t>工作</w:t>
      </w:r>
      <w:r>
        <w:rPr>
          <w:rFonts w:hint="eastAsia" w:ascii="宋体" w:hAnsi="宋体" w:cs="宋体"/>
          <w:b/>
          <w:bCs/>
          <w:sz w:val="32"/>
          <w:szCs w:val="32"/>
          <w:lang w:val="en-US" w:eastAsia="zh-CN"/>
        </w:rPr>
        <w:t>队工作经费</w:t>
      </w:r>
      <w:r>
        <w:rPr>
          <w:rFonts w:eastAsia="仿宋_GB2312"/>
          <w:b/>
          <w:bCs/>
          <w:sz w:val="32"/>
          <w:szCs w:val="32"/>
        </w:rPr>
        <w:t>项目绩效评价指标体系及综合评分表</w:t>
      </w:r>
      <w:bookmarkEnd w:id="3"/>
      <w:bookmarkEnd w:id="4"/>
    </w:p>
    <w:tbl>
      <w:tblPr>
        <w:tblStyle w:val="14"/>
        <w:tblW w:w="4726"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3"/>
        <w:gridCol w:w="766"/>
        <w:gridCol w:w="873"/>
        <w:gridCol w:w="2776"/>
        <w:gridCol w:w="6377"/>
        <w:gridCol w:w="710"/>
        <w:gridCol w:w="1062"/>
      </w:tblGrid>
      <w:tr w14:paraId="5E784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11" w:type="pct"/>
            <w:shd w:val="clear" w:color="auto" w:fill="auto"/>
            <w:vAlign w:val="center"/>
          </w:tcPr>
          <w:p w14:paraId="2811E146">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一级指标</w:t>
            </w:r>
          </w:p>
        </w:tc>
        <w:tc>
          <w:tcPr>
            <w:tcW w:w="286" w:type="pct"/>
            <w:shd w:val="clear" w:color="auto" w:fill="auto"/>
            <w:vAlign w:val="center"/>
          </w:tcPr>
          <w:p w14:paraId="717C2FCC">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二级指标</w:t>
            </w:r>
          </w:p>
        </w:tc>
        <w:tc>
          <w:tcPr>
            <w:tcW w:w="326" w:type="pct"/>
            <w:shd w:val="clear" w:color="auto" w:fill="auto"/>
            <w:vAlign w:val="center"/>
          </w:tcPr>
          <w:p w14:paraId="770E6C9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三级指标</w:t>
            </w:r>
          </w:p>
        </w:tc>
        <w:tc>
          <w:tcPr>
            <w:tcW w:w="1036" w:type="pct"/>
            <w:shd w:val="clear" w:color="auto" w:fill="auto"/>
            <w:vAlign w:val="center"/>
          </w:tcPr>
          <w:p w14:paraId="2E094AB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指标解释</w:t>
            </w:r>
          </w:p>
        </w:tc>
        <w:tc>
          <w:tcPr>
            <w:tcW w:w="2380" w:type="pct"/>
            <w:shd w:val="clear" w:color="auto" w:fill="auto"/>
            <w:vAlign w:val="center"/>
          </w:tcPr>
          <w:p w14:paraId="0C1F72B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指标说明</w:t>
            </w:r>
          </w:p>
        </w:tc>
        <w:tc>
          <w:tcPr>
            <w:tcW w:w="265" w:type="pct"/>
            <w:shd w:val="clear" w:color="auto" w:fill="auto"/>
            <w:vAlign w:val="center"/>
          </w:tcPr>
          <w:p w14:paraId="56984E2A">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权重</w:t>
            </w:r>
          </w:p>
        </w:tc>
        <w:tc>
          <w:tcPr>
            <w:tcW w:w="396" w:type="pct"/>
            <w:shd w:val="clear" w:color="auto" w:fill="auto"/>
            <w:vAlign w:val="center"/>
          </w:tcPr>
          <w:p w14:paraId="0DC6DED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得分</w:t>
            </w:r>
          </w:p>
        </w:tc>
      </w:tr>
      <w:tr w14:paraId="5911A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19" w:hRule="atLeast"/>
          <w:jc w:val="center"/>
        </w:trPr>
        <w:tc>
          <w:tcPr>
            <w:tcW w:w="311" w:type="pct"/>
            <w:vMerge w:val="restart"/>
            <w:shd w:val="clear" w:color="auto" w:fill="auto"/>
            <w:vAlign w:val="center"/>
          </w:tcPr>
          <w:p w14:paraId="0CFD1124">
            <w:pPr>
              <w:widowControl/>
              <w:spacing w:line="0" w:lineRule="atLeast"/>
              <w:jc w:val="center"/>
              <w:rPr>
                <w:rFonts w:eastAsia="仿宋_GB2312"/>
                <w:color w:val="000000"/>
                <w:kern w:val="0"/>
                <w:sz w:val="22"/>
                <w:szCs w:val="22"/>
              </w:rPr>
            </w:pPr>
          </w:p>
          <w:p w14:paraId="22126D61">
            <w:pPr>
              <w:widowControl/>
              <w:spacing w:line="0" w:lineRule="atLeast"/>
              <w:jc w:val="center"/>
              <w:rPr>
                <w:rFonts w:eastAsia="仿宋_GB2312"/>
                <w:color w:val="000000"/>
                <w:kern w:val="0"/>
                <w:sz w:val="22"/>
                <w:szCs w:val="22"/>
              </w:rPr>
            </w:pPr>
          </w:p>
          <w:p w14:paraId="4158A368">
            <w:pPr>
              <w:widowControl/>
              <w:spacing w:line="0" w:lineRule="atLeast"/>
              <w:jc w:val="center"/>
              <w:rPr>
                <w:rFonts w:eastAsia="仿宋_GB2312"/>
                <w:color w:val="000000"/>
                <w:kern w:val="0"/>
                <w:sz w:val="22"/>
                <w:szCs w:val="22"/>
              </w:rPr>
            </w:pPr>
          </w:p>
          <w:p w14:paraId="03818A0F">
            <w:pPr>
              <w:widowControl/>
              <w:spacing w:line="0" w:lineRule="atLeast"/>
              <w:jc w:val="center"/>
              <w:rPr>
                <w:rFonts w:eastAsia="仿宋_GB2312"/>
                <w:color w:val="000000"/>
                <w:kern w:val="0"/>
                <w:sz w:val="22"/>
                <w:szCs w:val="22"/>
              </w:rPr>
            </w:pPr>
          </w:p>
          <w:p w14:paraId="73CF1868">
            <w:pPr>
              <w:widowControl/>
              <w:spacing w:line="0" w:lineRule="atLeast"/>
              <w:jc w:val="center"/>
              <w:rPr>
                <w:rFonts w:eastAsia="仿宋_GB2312"/>
                <w:color w:val="000000"/>
                <w:kern w:val="0"/>
                <w:sz w:val="22"/>
                <w:szCs w:val="22"/>
              </w:rPr>
            </w:pPr>
          </w:p>
          <w:p w14:paraId="0867CEE6">
            <w:pPr>
              <w:widowControl/>
              <w:spacing w:line="0" w:lineRule="atLeast"/>
              <w:jc w:val="center"/>
              <w:rPr>
                <w:rFonts w:eastAsia="仿宋_GB2312"/>
                <w:color w:val="000000"/>
                <w:kern w:val="0"/>
                <w:sz w:val="22"/>
                <w:szCs w:val="22"/>
              </w:rPr>
            </w:pPr>
          </w:p>
          <w:p w14:paraId="14BADADB">
            <w:pPr>
              <w:widowControl/>
              <w:spacing w:line="0" w:lineRule="atLeast"/>
              <w:jc w:val="center"/>
              <w:rPr>
                <w:rFonts w:eastAsia="仿宋_GB2312"/>
                <w:color w:val="000000"/>
                <w:kern w:val="0"/>
                <w:sz w:val="22"/>
                <w:szCs w:val="22"/>
              </w:rPr>
            </w:pPr>
            <w:r>
              <w:rPr>
                <w:rFonts w:eastAsia="仿宋_GB2312"/>
                <w:color w:val="000000"/>
                <w:kern w:val="0"/>
                <w:sz w:val="22"/>
                <w:szCs w:val="22"/>
              </w:rPr>
              <w:t>决策　</w:t>
            </w:r>
          </w:p>
        </w:tc>
        <w:tc>
          <w:tcPr>
            <w:tcW w:w="286" w:type="pct"/>
            <w:vMerge w:val="restart"/>
            <w:shd w:val="clear" w:color="auto" w:fill="auto"/>
            <w:vAlign w:val="center"/>
          </w:tcPr>
          <w:p w14:paraId="69797881">
            <w:pPr>
              <w:widowControl/>
              <w:spacing w:line="0" w:lineRule="atLeast"/>
              <w:jc w:val="center"/>
              <w:rPr>
                <w:rFonts w:eastAsia="仿宋_GB2312"/>
                <w:color w:val="000000"/>
                <w:kern w:val="0"/>
                <w:sz w:val="22"/>
                <w:szCs w:val="22"/>
              </w:rPr>
            </w:pPr>
            <w:r>
              <w:rPr>
                <w:rFonts w:eastAsia="仿宋_GB2312"/>
                <w:color w:val="000000"/>
                <w:kern w:val="0"/>
                <w:sz w:val="22"/>
                <w:szCs w:val="22"/>
              </w:rPr>
              <w:t>项目立项　</w:t>
            </w:r>
          </w:p>
        </w:tc>
        <w:tc>
          <w:tcPr>
            <w:tcW w:w="326" w:type="pct"/>
            <w:shd w:val="clear" w:color="auto" w:fill="auto"/>
            <w:vAlign w:val="center"/>
          </w:tcPr>
          <w:p w14:paraId="7B7E0040">
            <w:pPr>
              <w:widowControl/>
              <w:spacing w:line="0" w:lineRule="atLeast"/>
              <w:jc w:val="center"/>
              <w:rPr>
                <w:rFonts w:eastAsia="仿宋_GB2312"/>
                <w:color w:val="000000"/>
                <w:kern w:val="0"/>
                <w:sz w:val="22"/>
                <w:szCs w:val="22"/>
              </w:rPr>
            </w:pPr>
            <w:r>
              <w:rPr>
                <w:rFonts w:eastAsia="仿宋_GB2312"/>
                <w:color w:val="000000"/>
                <w:kern w:val="0"/>
                <w:sz w:val="22"/>
                <w:szCs w:val="22"/>
              </w:rPr>
              <w:t>立项依据</w:t>
            </w:r>
          </w:p>
          <w:p w14:paraId="252B8152">
            <w:pPr>
              <w:widowControl/>
              <w:spacing w:line="0" w:lineRule="atLeast"/>
              <w:jc w:val="center"/>
              <w:rPr>
                <w:rFonts w:eastAsia="仿宋_GB2312"/>
                <w:color w:val="000000"/>
                <w:kern w:val="0"/>
                <w:sz w:val="22"/>
                <w:szCs w:val="22"/>
              </w:rPr>
            </w:pPr>
            <w:r>
              <w:rPr>
                <w:rFonts w:eastAsia="仿宋_GB2312"/>
                <w:color w:val="000000"/>
                <w:kern w:val="0"/>
                <w:sz w:val="22"/>
                <w:szCs w:val="22"/>
              </w:rPr>
              <w:t>充分性</w:t>
            </w:r>
          </w:p>
        </w:tc>
        <w:tc>
          <w:tcPr>
            <w:tcW w:w="1036" w:type="pct"/>
            <w:shd w:val="clear" w:color="auto" w:fill="auto"/>
            <w:vAlign w:val="center"/>
          </w:tcPr>
          <w:p w14:paraId="05BA2479">
            <w:pPr>
              <w:widowControl/>
              <w:spacing w:line="0" w:lineRule="atLeast"/>
              <w:rPr>
                <w:rFonts w:eastAsia="仿宋_GB2312"/>
                <w:color w:val="000000"/>
                <w:kern w:val="0"/>
                <w:sz w:val="22"/>
                <w:szCs w:val="22"/>
              </w:rPr>
            </w:pPr>
            <w:r>
              <w:rPr>
                <w:rFonts w:eastAsia="仿宋_GB2312"/>
                <w:color w:val="000000"/>
                <w:kern w:val="0"/>
                <w:sz w:val="22"/>
                <w:szCs w:val="22"/>
              </w:rPr>
              <w:t>项目立项是否符合法律法规、相关政策、发展规划以及部门职责，用以反映和考核项目立项依据情况。</w:t>
            </w:r>
          </w:p>
        </w:tc>
        <w:tc>
          <w:tcPr>
            <w:tcW w:w="2380" w:type="pct"/>
            <w:shd w:val="clear" w:color="auto" w:fill="auto"/>
            <w:vAlign w:val="center"/>
          </w:tcPr>
          <w:p w14:paraId="0059B71F">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项目立项是否符合国家法律法规、国民经济发展规划和相关政策；</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项目立项是否符合行业发展规划和政策要求；</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项目立项是否与部门职责范围相符，属于部门履职所需；</w:t>
            </w:r>
            <w:r>
              <w:rPr>
                <w:rFonts w:eastAsia="仿宋_GB2312"/>
                <w:color w:val="000000"/>
                <w:kern w:val="0"/>
                <w:sz w:val="22"/>
                <w:szCs w:val="22"/>
              </w:rPr>
              <w:br w:type="textWrapping"/>
            </w:r>
            <w:r>
              <w:rPr>
                <w:rFonts w:hint="eastAsia" w:ascii="宋体" w:hAnsi="宋体" w:cs="宋体"/>
                <w:color w:val="000000"/>
                <w:kern w:val="0"/>
                <w:sz w:val="22"/>
                <w:szCs w:val="22"/>
              </w:rPr>
              <w:t>④</w:t>
            </w:r>
            <w:r>
              <w:rPr>
                <w:rFonts w:eastAsia="仿宋_GB2312"/>
                <w:color w:val="000000"/>
                <w:kern w:val="0"/>
                <w:sz w:val="22"/>
                <w:szCs w:val="22"/>
              </w:rPr>
              <w:t>项目是否属于公共财政支持范围，是否符合中央、地方事权支出责任划分原则；</w:t>
            </w:r>
            <w:r>
              <w:rPr>
                <w:rFonts w:eastAsia="仿宋_GB2312"/>
                <w:color w:val="000000"/>
                <w:kern w:val="0"/>
                <w:sz w:val="22"/>
                <w:szCs w:val="22"/>
              </w:rPr>
              <w:br w:type="textWrapping"/>
            </w:r>
            <w:r>
              <w:rPr>
                <w:rFonts w:hint="eastAsia" w:ascii="宋体" w:hAnsi="宋体" w:cs="宋体"/>
                <w:color w:val="000000"/>
                <w:kern w:val="0"/>
                <w:sz w:val="22"/>
                <w:szCs w:val="22"/>
              </w:rPr>
              <w:t>⑤</w:t>
            </w:r>
            <w:r>
              <w:rPr>
                <w:rFonts w:eastAsia="仿宋_GB2312"/>
                <w:color w:val="000000"/>
                <w:kern w:val="0"/>
                <w:sz w:val="22"/>
                <w:szCs w:val="22"/>
              </w:rPr>
              <w:t>项目是否与相关部门同类项目或部门内部相关项目重复。</w:t>
            </w:r>
          </w:p>
        </w:tc>
        <w:tc>
          <w:tcPr>
            <w:tcW w:w="265" w:type="pct"/>
            <w:shd w:val="clear" w:color="auto" w:fill="auto"/>
            <w:vAlign w:val="center"/>
          </w:tcPr>
          <w:p w14:paraId="76A0F839">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396" w:type="pct"/>
            <w:shd w:val="clear" w:color="auto" w:fill="auto"/>
            <w:vAlign w:val="center"/>
          </w:tcPr>
          <w:p w14:paraId="1920EE15">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r>
      <w:tr w14:paraId="59059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11" w:type="pct"/>
            <w:vMerge w:val="continue"/>
            <w:shd w:val="clear" w:color="auto" w:fill="auto"/>
            <w:vAlign w:val="center"/>
          </w:tcPr>
          <w:p w14:paraId="29904915">
            <w:pPr>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46A577F9">
            <w:pPr>
              <w:widowControl/>
              <w:spacing w:line="0" w:lineRule="atLeast"/>
              <w:jc w:val="center"/>
              <w:rPr>
                <w:rFonts w:eastAsia="仿宋_GB2312"/>
                <w:color w:val="000000"/>
                <w:kern w:val="0"/>
                <w:sz w:val="22"/>
                <w:szCs w:val="22"/>
              </w:rPr>
            </w:pPr>
          </w:p>
        </w:tc>
        <w:tc>
          <w:tcPr>
            <w:tcW w:w="326" w:type="pct"/>
            <w:shd w:val="clear" w:color="auto" w:fill="auto"/>
            <w:vAlign w:val="center"/>
          </w:tcPr>
          <w:p w14:paraId="4EAE188A">
            <w:pPr>
              <w:widowControl/>
              <w:spacing w:line="0" w:lineRule="atLeast"/>
              <w:jc w:val="center"/>
              <w:rPr>
                <w:rFonts w:eastAsia="仿宋_GB2312"/>
                <w:color w:val="000000"/>
                <w:kern w:val="0"/>
                <w:sz w:val="22"/>
                <w:szCs w:val="22"/>
              </w:rPr>
            </w:pPr>
            <w:r>
              <w:rPr>
                <w:rFonts w:eastAsia="仿宋_GB2312"/>
                <w:color w:val="000000"/>
                <w:kern w:val="0"/>
                <w:sz w:val="22"/>
                <w:szCs w:val="22"/>
              </w:rPr>
              <w:t>立项程序</w:t>
            </w:r>
          </w:p>
          <w:p w14:paraId="629D5BC4">
            <w:pPr>
              <w:widowControl/>
              <w:spacing w:line="0" w:lineRule="atLeast"/>
              <w:jc w:val="center"/>
              <w:rPr>
                <w:rFonts w:eastAsia="仿宋_GB2312"/>
                <w:color w:val="000000"/>
                <w:kern w:val="0"/>
                <w:sz w:val="22"/>
                <w:szCs w:val="22"/>
              </w:rPr>
            </w:pPr>
            <w:r>
              <w:rPr>
                <w:rFonts w:eastAsia="仿宋_GB2312"/>
                <w:color w:val="000000"/>
                <w:kern w:val="0"/>
                <w:sz w:val="22"/>
                <w:szCs w:val="22"/>
              </w:rPr>
              <w:t>规范性</w:t>
            </w:r>
          </w:p>
        </w:tc>
        <w:tc>
          <w:tcPr>
            <w:tcW w:w="1036" w:type="pct"/>
            <w:shd w:val="clear" w:color="auto" w:fill="auto"/>
            <w:vAlign w:val="center"/>
          </w:tcPr>
          <w:p w14:paraId="1F577761">
            <w:pPr>
              <w:widowControl/>
              <w:spacing w:line="0" w:lineRule="atLeast"/>
              <w:rPr>
                <w:rFonts w:eastAsia="仿宋_GB2312"/>
                <w:color w:val="000000"/>
                <w:kern w:val="0"/>
                <w:sz w:val="22"/>
                <w:szCs w:val="22"/>
              </w:rPr>
            </w:pPr>
            <w:r>
              <w:rPr>
                <w:rFonts w:eastAsia="仿宋_GB2312"/>
                <w:color w:val="000000"/>
                <w:kern w:val="0"/>
                <w:sz w:val="22"/>
                <w:szCs w:val="22"/>
              </w:rPr>
              <w:t>项目申请、设立过程是否符合相关要求，用以反映和考核项目立项的规范情况。</w:t>
            </w:r>
          </w:p>
        </w:tc>
        <w:tc>
          <w:tcPr>
            <w:tcW w:w="2380" w:type="pct"/>
            <w:shd w:val="clear" w:color="auto" w:fill="auto"/>
            <w:vAlign w:val="center"/>
          </w:tcPr>
          <w:p w14:paraId="748CCB81">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项目是否按照规定的程序申请设立；</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审批文件、材料是否符合相关要求；</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事前是否已经过必要的可行性研究、专家论证、风险评估、绩效评估、集体决策。</w:t>
            </w:r>
          </w:p>
        </w:tc>
        <w:tc>
          <w:tcPr>
            <w:tcW w:w="265" w:type="pct"/>
            <w:shd w:val="clear" w:color="auto" w:fill="auto"/>
            <w:vAlign w:val="center"/>
          </w:tcPr>
          <w:p w14:paraId="43DF85F3">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396" w:type="pct"/>
            <w:shd w:val="clear" w:color="auto" w:fill="auto"/>
            <w:vAlign w:val="center"/>
          </w:tcPr>
          <w:p w14:paraId="743DED8F">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r>
      <w:tr w14:paraId="385B7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11" w:type="pct"/>
            <w:vMerge w:val="continue"/>
            <w:shd w:val="clear" w:color="auto" w:fill="auto"/>
            <w:vAlign w:val="center"/>
          </w:tcPr>
          <w:p w14:paraId="1AAAFE38">
            <w:pPr>
              <w:spacing w:line="0" w:lineRule="atLeast"/>
              <w:jc w:val="center"/>
              <w:rPr>
                <w:rFonts w:eastAsia="仿宋_GB2312"/>
                <w:color w:val="000000"/>
                <w:kern w:val="0"/>
                <w:sz w:val="22"/>
                <w:szCs w:val="22"/>
              </w:rPr>
            </w:pPr>
          </w:p>
        </w:tc>
        <w:tc>
          <w:tcPr>
            <w:tcW w:w="286" w:type="pct"/>
            <w:vMerge w:val="restart"/>
            <w:shd w:val="clear" w:color="auto" w:fill="auto"/>
            <w:vAlign w:val="center"/>
          </w:tcPr>
          <w:p w14:paraId="7D583B46">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　</w:t>
            </w:r>
          </w:p>
        </w:tc>
        <w:tc>
          <w:tcPr>
            <w:tcW w:w="326" w:type="pct"/>
            <w:shd w:val="clear" w:color="auto" w:fill="auto"/>
            <w:vAlign w:val="center"/>
          </w:tcPr>
          <w:p w14:paraId="3827D798">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w:t>
            </w:r>
          </w:p>
          <w:p w14:paraId="7B3022D5">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1036" w:type="pct"/>
            <w:shd w:val="clear" w:color="auto" w:fill="auto"/>
            <w:vAlign w:val="center"/>
          </w:tcPr>
          <w:p w14:paraId="0E248CA9">
            <w:pPr>
              <w:widowControl/>
              <w:spacing w:line="0" w:lineRule="atLeast"/>
              <w:rPr>
                <w:rFonts w:eastAsia="仿宋_GB2312"/>
                <w:color w:val="000000"/>
                <w:kern w:val="0"/>
                <w:sz w:val="22"/>
                <w:szCs w:val="22"/>
              </w:rPr>
            </w:pPr>
            <w:r>
              <w:rPr>
                <w:rFonts w:eastAsia="仿宋_GB2312"/>
                <w:color w:val="000000"/>
                <w:kern w:val="0"/>
                <w:sz w:val="22"/>
                <w:szCs w:val="22"/>
              </w:rPr>
              <w:t>项目所设定的绩效目标是否依据充分，是否符合客观实际，用以反映和考核项目绩效目标与项目实施的相符情况。</w:t>
            </w:r>
          </w:p>
        </w:tc>
        <w:tc>
          <w:tcPr>
            <w:tcW w:w="2380" w:type="pct"/>
            <w:shd w:val="clear" w:color="auto" w:fill="auto"/>
            <w:vAlign w:val="center"/>
          </w:tcPr>
          <w:p w14:paraId="614D5912">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（如未设定预算绩效目标，也可考核其他工作任务目标）</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项目是否有绩效目标；</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项目绩效目标与实际工作内容是否具有相关性；</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项目预期产出效益和效果是否符合正常的业绩水平；</w:t>
            </w:r>
          </w:p>
          <w:p w14:paraId="02980038">
            <w:pPr>
              <w:widowControl/>
              <w:spacing w:line="0" w:lineRule="atLeast"/>
              <w:jc w:val="left"/>
              <w:rPr>
                <w:rFonts w:eastAsia="仿宋_GB2312"/>
                <w:color w:val="000000"/>
                <w:kern w:val="0"/>
                <w:sz w:val="22"/>
                <w:szCs w:val="22"/>
              </w:rPr>
            </w:pPr>
            <w:r>
              <w:rPr>
                <w:rFonts w:hint="eastAsia" w:ascii="宋体" w:hAnsi="宋体" w:cs="宋体"/>
                <w:color w:val="000000"/>
                <w:kern w:val="0"/>
                <w:sz w:val="22"/>
                <w:szCs w:val="22"/>
              </w:rPr>
              <w:t>④</w:t>
            </w:r>
            <w:r>
              <w:rPr>
                <w:rFonts w:eastAsia="仿宋_GB2312"/>
                <w:color w:val="000000"/>
                <w:kern w:val="0"/>
                <w:sz w:val="22"/>
                <w:szCs w:val="22"/>
              </w:rPr>
              <w:t>是否与预算确定的项目投资额或资金量相匹配。</w:t>
            </w:r>
          </w:p>
        </w:tc>
        <w:tc>
          <w:tcPr>
            <w:tcW w:w="265" w:type="pct"/>
            <w:shd w:val="clear" w:color="auto" w:fill="auto"/>
            <w:vAlign w:val="center"/>
          </w:tcPr>
          <w:p w14:paraId="2DA992AA">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396" w:type="pct"/>
            <w:shd w:val="clear" w:color="auto" w:fill="auto"/>
            <w:vAlign w:val="center"/>
          </w:tcPr>
          <w:p w14:paraId="652AF519">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r>
      <w:tr w14:paraId="7A703B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11" w:type="pct"/>
            <w:vMerge w:val="continue"/>
            <w:shd w:val="clear" w:color="auto" w:fill="auto"/>
            <w:vAlign w:val="center"/>
          </w:tcPr>
          <w:p w14:paraId="6D8FE380">
            <w:pPr>
              <w:widowControl/>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0A19E3DA">
            <w:pPr>
              <w:widowControl/>
              <w:spacing w:line="0" w:lineRule="atLeast"/>
              <w:jc w:val="center"/>
              <w:rPr>
                <w:rFonts w:eastAsia="仿宋_GB2312"/>
                <w:color w:val="000000"/>
                <w:kern w:val="0"/>
                <w:sz w:val="22"/>
                <w:szCs w:val="22"/>
              </w:rPr>
            </w:pPr>
          </w:p>
        </w:tc>
        <w:tc>
          <w:tcPr>
            <w:tcW w:w="326" w:type="pct"/>
            <w:shd w:val="clear" w:color="auto" w:fill="auto"/>
            <w:vAlign w:val="center"/>
          </w:tcPr>
          <w:p w14:paraId="4F2586DD">
            <w:pPr>
              <w:widowControl/>
              <w:spacing w:line="0" w:lineRule="atLeast"/>
              <w:jc w:val="center"/>
              <w:rPr>
                <w:rFonts w:eastAsia="仿宋_GB2312"/>
                <w:color w:val="000000"/>
                <w:kern w:val="0"/>
                <w:sz w:val="22"/>
                <w:szCs w:val="22"/>
              </w:rPr>
            </w:pPr>
            <w:r>
              <w:rPr>
                <w:rFonts w:eastAsia="仿宋_GB2312"/>
                <w:color w:val="000000"/>
                <w:kern w:val="0"/>
                <w:sz w:val="22"/>
                <w:szCs w:val="22"/>
              </w:rPr>
              <w:t>绩效指标</w:t>
            </w:r>
          </w:p>
          <w:p w14:paraId="426E5B4C">
            <w:pPr>
              <w:widowControl/>
              <w:spacing w:line="0" w:lineRule="atLeast"/>
              <w:jc w:val="center"/>
              <w:rPr>
                <w:rFonts w:eastAsia="仿宋_GB2312"/>
                <w:color w:val="000000"/>
                <w:kern w:val="0"/>
                <w:sz w:val="22"/>
                <w:szCs w:val="22"/>
              </w:rPr>
            </w:pPr>
            <w:r>
              <w:rPr>
                <w:rFonts w:eastAsia="仿宋_GB2312"/>
                <w:color w:val="000000"/>
                <w:kern w:val="0"/>
                <w:sz w:val="22"/>
                <w:szCs w:val="22"/>
              </w:rPr>
              <w:t>明确性</w:t>
            </w:r>
          </w:p>
        </w:tc>
        <w:tc>
          <w:tcPr>
            <w:tcW w:w="1036" w:type="pct"/>
            <w:shd w:val="clear" w:color="auto" w:fill="auto"/>
            <w:vAlign w:val="center"/>
          </w:tcPr>
          <w:p w14:paraId="508F5685">
            <w:pPr>
              <w:widowControl/>
              <w:spacing w:line="0" w:lineRule="atLeast"/>
              <w:rPr>
                <w:rFonts w:eastAsia="仿宋_GB2312"/>
                <w:color w:val="000000"/>
                <w:kern w:val="0"/>
                <w:sz w:val="22"/>
                <w:szCs w:val="22"/>
              </w:rPr>
            </w:pPr>
            <w:r>
              <w:rPr>
                <w:rFonts w:eastAsia="仿宋_GB2312"/>
                <w:color w:val="000000"/>
                <w:kern w:val="0"/>
                <w:sz w:val="22"/>
                <w:szCs w:val="22"/>
              </w:rPr>
              <w:t>依据绩效目标设定的绩效指标是否清晰、细化、可衡量等，用以反映和考核项目绩效目标的明细化情况。</w:t>
            </w:r>
          </w:p>
        </w:tc>
        <w:tc>
          <w:tcPr>
            <w:tcW w:w="2380" w:type="pct"/>
            <w:shd w:val="clear" w:color="auto" w:fill="auto"/>
            <w:vAlign w:val="center"/>
          </w:tcPr>
          <w:p w14:paraId="56BE0F03">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是否将项目绩效目标细化分解为具体的绩效指标；</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是否通过清晰、可衡量的指标值予以体现；</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是否与项目目标任务数或计划数相对应。</w:t>
            </w:r>
            <w:r>
              <w:rPr>
                <w:rFonts w:eastAsia="仿宋_GB2312"/>
                <w:color w:val="000000"/>
                <w:kern w:val="0"/>
                <w:sz w:val="22"/>
                <w:szCs w:val="22"/>
              </w:rPr>
              <w:br w:type="textWrapping"/>
            </w:r>
          </w:p>
        </w:tc>
        <w:tc>
          <w:tcPr>
            <w:tcW w:w="265" w:type="pct"/>
            <w:shd w:val="clear" w:color="auto" w:fill="auto"/>
            <w:vAlign w:val="center"/>
          </w:tcPr>
          <w:p w14:paraId="4E946BD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396" w:type="pct"/>
            <w:shd w:val="clear" w:color="auto" w:fill="auto"/>
            <w:vAlign w:val="center"/>
          </w:tcPr>
          <w:p w14:paraId="15029DCD">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r>
      <w:tr w14:paraId="6980D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11" w:type="pct"/>
            <w:vMerge w:val="continue"/>
            <w:shd w:val="clear" w:color="auto" w:fill="auto"/>
            <w:vAlign w:val="center"/>
          </w:tcPr>
          <w:p w14:paraId="2F40D7F1">
            <w:pPr>
              <w:spacing w:line="0" w:lineRule="atLeast"/>
              <w:jc w:val="center"/>
              <w:rPr>
                <w:rFonts w:eastAsia="仿宋_GB2312"/>
                <w:color w:val="000000"/>
                <w:kern w:val="0"/>
                <w:sz w:val="22"/>
                <w:szCs w:val="22"/>
              </w:rPr>
            </w:pPr>
          </w:p>
        </w:tc>
        <w:tc>
          <w:tcPr>
            <w:tcW w:w="286" w:type="pct"/>
            <w:vMerge w:val="restart"/>
            <w:shd w:val="clear" w:color="auto" w:fill="auto"/>
            <w:vAlign w:val="center"/>
          </w:tcPr>
          <w:p w14:paraId="04B2E413">
            <w:pPr>
              <w:widowControl/>
              <w:spacing w:line="0" w:lineRule="atLeast"/>
              <w:jc w:val="center"/>
              <w:rPr>
                <w:rFonts w:eastAsia="仿宋_GB2312"/>
                <w:color w:val="000000"/>
                <w:kern w:val="0"/>
                <w:sz w:val="22"/>
                <w:szCs w:val="22"/>
              </w:rPr>
            </w:pPr>
            <w:r>
              <w:rPr>
                <w:rFonts w:eastAsia="仿宋_GB2312"/>
                <w:color w:val="000000"/>
                <w:kern w:val="0"/>
                <w:sz w:val="22"/>
                <w:szCs w:val="22"/>
              </w:rPr>
              <w:t>资金投入</w:t>
            </w:r>
          </w:p>
          <w:p w14:paraId="101D3BC1">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326" w:type="pct"/>
            <w:shd w:val="clear" w:color="auto" w:fill="auto"/>
            <w:vAlign w:val="center"/>
          </w:tcPr>
          <w:p w14:paraId="69F36E4C">
            <w:pPr>
              <w:widowControl/>
              <w:spacing w:line="0" w:lineRule="atLeast"/>
              <w:jc w:val="center"/>
              <w:rPr>
                <w:rFonts w:eastAsia="仿宋_GB2312"/>
                <w:color w:val="000000"/>
                <w:kern w:val="0"/>
                <w:sz w:val="22"/>
                <w:szCs w:val="22"/>
              </w:rPr>
            </w:pPr>
            <w:r>
              <w:rPr>
                <w:rFonts w:eastAsia="仿宋_GB2312"/>
                <w:color w:val="000000"/>
                <w:kern w:val="0"/>
                <w:sz w:val="22"/>
                <w:szCs w:val="22"/>
              </w:rPr>
              <w:t>预算编制</w:t>
            </w:r>
          </w:p>
          <w:p w14:paraId="2BB5C7B2">
            <w:pPr>
              <w:widowControl/>
              <w:spacing w:line="0" w:lineRule="atLeast"/>
              <w:jc w:val="center"/>
              <w:rPr>
                <w:rFonts w:eastAsia="仿宋_GB2312"/>
                <w:color w:val="000000"/>
                <w:kern w:val="0"/>
                <w:sz w:val="22"/>
                <w:szCs w:val="22"/>
              </w:rPr>
            </w:pPr>
            <w:r>
              <w:rPr>
                <w:rFonts w:eastAsia="仿宋_GB2312"/>
                <w:color w:val="000000"/>
                <w:kern w:val="0"/>
                <w:sz w:val="22"/>
                <w:szCs w:val="22"/>
              </w:rPr>
              <w:t>科学性</w:t>
            </w:r>
          </w:p>
        </w:tc>
        <w:tc>
          <w:tcPr>
            <w:tcW w:w="1036" w:type="pct"/>
            <w:shd w:val="clear" w:color="auto" w:fill="auto"/>
            <w:vAlign w:val="center"/>
          </w:tcPr>
          <w:p w14:paraId="3E6EFCDF">
            <w:pPr>
              <w:widowControl/>
              <w:spacing w:line="0" w:lineRule="atLeast"/>
              <w:rPr>
                <w:rFonts w:eastAsia="仿宋_GB2312"/>
                <w:color w:val="000000"/>
                <w:kern w:val="0"/>
                <w:sz w:val="22"/>
                <w:szCs w:val="22"/>
              </w:rPr>
            </w:pPr>
            <w:r>
              <w:rPr>
                <w:rFonts w:eastAsia="仿宋_GB2312"/>
                <w:color w:val="000000"/>
                <w:kern w:val="0"/>
                <w:sz w:val="22"/>
                <w:szCs w:val="22"/>
              </w:rPr>
              <w:t>项目预算编制是否经过科学论证、有明确标准，资金额度与年度目标是否相适应，用以反映和考核项目预算编制的科学性、合理性情况。</w:t>
            </w:r>
          </w:p>
        </w:tc>
        <w:tc>
          <w:tcPr>
            <w:tcW w:w="2380" w:type="pct"/>
            <w:shd w:val="clear" w:color="auto" w:fill="auto"/>
            <w:vAlign w:val="center"/>
          </w:tcPr>
          <w:p w14:paraId="69A62E1A">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预算编制是否经过科学论证；</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预算内容与项目内容是否匹配；</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预算额度测算依据是否充分，是否按照标准编制；</w:t>
            </w:r>
            <w:r>
              <w:rPr>
                <w:rFonts w:eastAsia="仿宋_GB2312"/>
                <w:color w:val="000000"/>
                <w:kern w:val="0"/>
                <w:sz w:val="22"/>
                <w:szCs w:val="22"/>
              </w:rPr>
              <w:br w:type="textWrapping"/>
            </w:r>
            <w:r>
              <w:rPr>
                <w:rFonts w:hint="eastAsia" w:ascii="宋体" w:hAnsi="宋体" w:cs="宋体"/>
                <w:color w:val="000000"/>
                <w:kern w:val="0"/>
                <w:sz w:val="22"/>
                <w:szCs w:val="22"/>
              </w:rPr>
              <w:t>④</w:t>
            </w:r>
            <w:r>
              <w:rPr>
                <w:rFonts w:eastAsia="仿宋_GB2312"/>
                <w:color w:val="000000"/>
                <w:kern w:val="0"/>
                <w:sz w:val="22"/>
                <w:szCs w:val="22"/>
              </w:rPr>
              <w:t>预算确定的项目投资额或资金量是否与工作任务相匹配。</w:t>
            </w:r>
          </w:p>
        </w:tc>
        <w:tc>
          <w:tcPr>
            <w:tcW w:w="265" w:type="pct"/>
            <w:shd w:val="clear" w:color="auto" w:fill="auto"/>
            <w:vAlign w:val="center"/>
          </w:tcPr>
          <w:p w14:paraId="5CB1AF18">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1EF0042B">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20E71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11" w:type="pct"/>
            <w:vMerge w:val="continue"/>
            <w:shd w:val="clear" w:color="auto" w:fill="auto"/>
            <w:vAlign w:val="center"/>
          </w:tcPr>
          <w:p w14:paraId="68326C03">
            <w:pPr>
              <w:widowControl/>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2AF4F22B">
            <w:pPr>
              <w:widowControl/>
              <w:spacing w:line="0" w:lineRule="atLeast"/>
              <w:jc w:val="center"/>
              <w:rPr>
                <w:rFonts w:eastAsia="仿宋_GB2312"/>
                <w:color w:val="000000"/>
                <w:kern w:val="0"/>
                <w:sz w:val="22"/>
                <w:szCs w:val="22"/>
              </w:rPr>
            </w:pPr>
          </w:p>
        </w:tc>
        <w:tc>
          <w:tcPr>
            <w:tcW w:w="326" w:type="pct"/>
            <w:shd w:val="clear" w:color="auto" w:fill="auto"/>
            <w:vAlign w:val="center"/>
          </w:tcPr>
          <w:p w14:paraId="03C46165">
            <w:pPr>
              <w:widowControl/>
              <w:spacing w:line="0" w:lineRule="atLeast"/>
              <w:jc w:val="center"/>
              <w:rPr>
                <w:rFonts w:eastAsia="仿宋_GB2312"/>
                <w:color w:val="000000"/>
                <w:kern w:val="0"/>
                <w:sz w:val="22"/>
                <w:szCs w:val="22"/>
              </w:rPr>
            </w:pPr>
            <w:r>
              <w:rPr>
                <w:rFonts w:eastAsia="仿宋_GB2312"/>
                <w:color w:val="000000"/>
                <w:kern w:val="0"/>
                <w:sz w:val="22"/>
                <w:szCs w:val="22"/>
              </w:rPr>
              <w:t>资金分配</w:t>
            </w:r>
          </w:p>
          <w:p w14:paraId="0D28D4E9">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1036" w:type="pct"/>
            <w:shd w:val="clear" w:color="auto" w:fill="auto"/>
            <w:vAlign w:val="center"/>
          </w:tcPr>
          <w:p w14:paraId="00F21C7E">
            <w:pPr>
              <w:widowControl/>
              <w:spacing w:line="0" w:lineRule="atLeast"/>
              <w:rPr>
                <w:rFonts w:eastAsia="仿宋_GB2312"/>
                <w:color w:val="000000"/>
                <w:kern w:val="0"/>
                <w:sz w:val="22"/>
                <w:szCs w:val="22"/>
              </w:rPr>
            </w:pPr>
            <w:r>
              <w:rPr>
                <w:rFonts w:eastAsia="仿宋_GB2312"/>
                <w:color w:val="000000"/>
                <w:kern w:val="0"/>
                <w:sz w:val="22"/>
                <w:szCs w:val="22"/>
              </w:rPr>
              <w:t>项目预算资金分配是否有测算依据，与补助单位或地方实际是否相适应，用以反映和考核项目预算资金分配的科学性、合理性情况。</w:t>
            </w:r>
          </w:p>
        </w:tc>
        <w:tc>
          <w:tcPr>
            <w:tcW w:w="2380" w:type="pct"/>
            <w:shd w:val="clear" w:color="auto" w:fill="auto"/>
            <w:vAlign w:val="center"/>
          </w:tcPr>
          <w:p w14:paraId="3EF73E53">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预算资金分配依据是否充分；</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资金分配额度是否合理，与项目单位或地方实际是否相适应。</w:t>
            </w:r>
          </w:p>
        </w:tc>
        <w:tc>
          <w:tcPr>
            <w:tcW w:w="265" w:type="pct"/>
            <w:shd w:val="clear" w:color="auto" w:fill="auto"/>
            <w:vAlign w:val="center"/>
          </w:tcPr>
          <w:p w14:paraId="5288A1AD">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640B6AC4">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07A5B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11" w:type="pct"/>
            <w:vMerge w:val="restart"/>
            <w:shd w:val="clear" w:color="auto" w:fill="auto"/>
            <w:vAlign w:val="center"/>
          </w:tcPr>
          <w:p w14:paraId="7B5321AC">
            <w:pPr>
              <w:spacing w:line="0" w:lineRule="atLeast"/>
              <w:jc w:val="center"/>
              <w:rPr>
                <w:rFonts w:eastAsia="仿宋_GB2312"/>
                <w:color w:val="000000"/>
                <w:kern w:val="0"/>
                <w:sz w:val="22"/>
                <w:szCs w:val="22"/>
              </w:rPr>
            </w:pPr>
          </w:p>
          <w:p w14:paraId="7D89A0DA">
            <w:pPr>
              <w:spacing w:line="0" w:lineRule="atLeast"/>
              <w:jc w:val="center"/>
              <w:rPr>
                <w:rFonts w:eastAsia="仿宋_GB2312"/>
                <w:color w:val="000000"/>
                <w:kern w:val="0"/>
                <w:sz w:val="22"/>
                <w:szCs w:val="22"/>
              </w:rPr>
            </w:pPr>
          </w:p>
          <w:p w14:paraId="631074C3">
            <w:pPr>
              <w:spacing w:line="0" w:lineRule="atLeast"/>
              <w:jc w:val="center"/>
              <w:rPr>
                <w:rFonts w:eastAsia="仿宋_GB2312"/>
                <w:color w:val="000000"/>
                <w:kern w:val="0"/>
                <w:sz w:val="22"/>
                <w:szCs w:val="22"/>
              </w:rPr>
            </w:pPr>
          </w:p>
          <w:p w14:paraId="1A6C8DCD">
            <w:pPr>
              <w:spacing w:line="0" w:lineRule="atLeast"/>
              <w:jc w:val="center"/>
              <w:rPr>
                <w:rFonts w:eastAsia="仿宋_GB2312"/>
                <w:color w:val="000000"/>
                <w:kern w:val="0"/>
                <w:sz w:val="22"/>
                <w:szCs w:val="22"/>
              </w:rPr>
            </w:pPr>
          </w:p>
          <w:p w14:paraId="565F4DD1">
            <w:pPr>
              <w:spacing w:line="0" w:lineRule="atLeast"/>
              <w:jc w:val="center"/>
              <w:rPr>
                <w:rFonts w:eastAsia="仿宋_GB2312"/>
                <w:color w:val="000000"/>
                <w:kern w:val="0"/>
                <w:sz w:val="22"/>
                <w:szCs w:val="22"/>
              </w:rPr>
            </w:pPr>
          </w:p>
          <w:p w14:paraId="7CBE8182">
            <w:pPr>
              <w:spacing w:line="0" w:lineRule="atLeast"/>
              <w:jc w:val="center"/>
              <w:rPr>
                <w:rFonts w:eastAsia="仿宋_GB2312"/>
                <w:color w:val="000000"/>
                <w:kern w:val="0"/>
                <w:sz w:val="22"/>
                <w:szCs w:val="22"/>
              </w:rPr>
            </w:pPr>
          </w:p>
          <w:p w14:paraId="3C6B8093">
            <w:pPr>
              <w:spacing w:line="0" w:lineRule="atLeast"/>
              <w:jc w:val="center"/>
              <w:rPr>
                <w:rFonts w:eastAsia="仿宋_GB2312"/>
                <w:color w:val="000000"/>
                <w:kern w:val="0"/>
                <w:sz w:val="22"/>
                <w:szCs w:val="22"/>
              </w:rPr>
            </w:pPr>
          </w:p>
          <w:p w14:paraId="2258B531">
            <w:pPr>
              <w:spacing w:line="0" w:lineRule="atLeast"/>
              <w:jc w:val="center"/>
              <w:rPr>
                <w:rFonts w:eastAsia="仿宋_GB2312"/>
                <w:color w:val="000000"/>
                <w:kern w:val="0"/>
                <w:sz w:val="22"/>
                <w:szCs w:val="22"/>
              </w:rPr>
            </w:pPr>
          </w:p>
          <w:p w14:paraId="5A8F8FFB">
            <w:pPr>
              <w:spacing w:line="0" w:lineRule="atLeast"/>
              <w:jc w:val="center"/>
              <w:rPr>
                <w:rFonts w:eastAsia="仿宋_GB2312"/>
                <w:color w:val="000000"/>
                <w:kern w:val="0"/>
                <w:sz w:val="22"/>
                <w:szCs w:val="22"/>
              </w:rPr>
            </w:pPr>
          </w:p>
          <w:p w14:paraId="67938036">
            <w:pPr>
              <w:spacing w:line="0" w:lineRule="atLeast"/>
              <w:jc w:val="center"/>
              <w:rPr>
                <w:rFonts w:eastAsia="仿宋_GB2312"/>
                <w:color w:val="000000"/>
                <w:kern w:val="0"/>
                <w:sz w:val="22"/>
                <w:szCs w:val="22"/>
              </w:rPr>
            </w:pPr>
          </w:p>
          <w:p w14:paraId="069671ED">
            <w:pPr>
              <w:spacing w:line="0" w:lineRule="atLeast"/>
              <w:jc w:val="center"/>
              <w:rPr>
                <w:rFonts w:eastAsia="仿宋_GB2312"/>
                <w:color w:val="000000"/>
                <w:kern w:val="0"/>
                <w:sz w:val="22"/>
                <w:szCs w:val="22"/>
              </w:rPr>
            </w:pPr>
          </w:p>
          <w:p w14:paraId="64702727">
            <w:pPr>
              <w:spacing w:line="0" w:lineRule="atLeast"/>
              <w:jc w:val="center"/>
              <w:rPr>
                <w:rFonts w:eastAsia="仿宋_GB2312"/>
                <w:color w:val="000000"/>
                <w:kern w:val="0"/>
                <w:sz w:val="22"/>
                <w:szCs w:val="22"/>
              </w:rPr>
            </w:pPr>
          </w:p>
          <w:p w14:paraId="2B7E2B66">
            <w:pPr>
              <w:spacing w:line="0" w:lineRule="atLeast"/>
              <w:jc w:val="center"/>
              <w:rPr>
                <w:rFonts w:eastAsia="仿宋_GB2312"/>
                <w:color w:val="000000"/>
                <w:kern w:val="0"/>
                <w:sz w:val="22"/>
                <w:szCs w:val="22"/>
              </w:rPr>
            </w:pPr>
          </w:p>
          <w:p w14:paraId="7281DEB1">
            <w:pPr>
              <w:spacing w:line="0" w:lineRule="atLeast"/>
              <w:jc w:val="center"/>
              <w:rPr>
                <w:rFonts w:eastAsia="仿宋_GB2312"/>
                <w:color w:val="000000"/>
                <w:kern w:val="0"/>
                <w:sz w:val="22"/>
                <w:szCs w:val="22"/>
              </w:rPr>
            </w:pPr>
          </w:p>
          <w:p w14:paraId="75508D33">
            <w:pPr>
              <w:spacing w:line="0" w:lineRule="atLeast"/>
              <w:jc w:val="center"/>
              <w:rPr>
                <w:rFonts w:eastAsia="仿宋_GB2312"/>
                <w:color w:val="000000"/>
                <w:kern w:val="0"/>
                <w:sz w:val="22"/>
                <w:szCs w:val="22"/>
              </w:rPr>
            </w:pPr>
          </w:p>
          <w:p w14:paraId="042667B5">
            <w:pPr>
              <w:spacing w:line="0" w:lineRule="atLeast"/>
              <w:jc w:val="center"/>
              <w:rPr>
                <w:rFonts w:eastAsia="仿宋_GB2312"/>
                <w:color w:val="000000"/>
                <w:kern w:val="0"/>
                <w:sz w:val="22"/>
                <w:szCs w:val="22"/>
              </w:rPr>
            </w:pPr>
            <w:r>
              <w:rPr>
                <w:rFonts w:eastAsia="仿宋_GB2312"/>
                <w:color w:val="000000"/>
                <w:kern w:val="0"/>
                <w:sz w:val="22"/>
                <w:szCs w:val="22"/>
              </w:rPr>
              <w:t>过程</w:t>
            </w:r>
          </w:p>
          <w:p w14:paraId="782AB4DD">
            <w:pPr>
              <w:widowControl/>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286" w:type="pct"/>
            <w:vMerge w:val="restart"/>
            <w:shd w:val="clear" w:color="auto" w:fill="auto"/>
            <w:vAlign w:val="center"/>
          </w:tcPr>
          <w:p w14:paraId="14CFE95B">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326" w:type="pct"/>
            <w:shd w:val="clear" w:color="auto" w:fill="auto"/>
            <w:vAlign w:val="center"/>
          </w:tcPr>
          <w:p w14:paraId="583AB2AD">
            <w:pPr>
              <w:widowControl/>
              <w:spacing w:line="0" w:lineRule="atLeast"/>
              <w:jc w:val="center"/>
              <w:rPr>
                <w:rFonts w:eastAsia="仿宋_GB2312"/>
                <w:color w:val="000000"/>
                <w:kern w:val="0"/>
                <w:sz w:val="22"/>
                <w:szCs w:val="22"/>
              </w:rPr>
            </w:pPr>
            <w:r>
              <w:rPr>
                <w:rFonts w:eastAsia="仿宋_GB2312"/>
                <w:color w:val="000000"/>
                <w:kern w:val="0"/>
                <w:sz w:val="22"/>
                <w:szCs w:val="22"/>
              </w:rPr>
              <w:t>资金到位率</w:t>
            </w:r>
          </w:p>
        </w:tc>
        <w:tc>
          <w:tcPr>
            <w:tcW w:w="1036" w:type="pct"/>
            <w:shd w:val="clear" w:color="auto" w:fill="auto"/>
            <w:vAlign w:val="center"/>
          </w:tcPr>
          <w:p w14:paraId="5B2D0E51">
            <w:pPr>
              <w:widowControl/>
              <w:spacing w:line="0" w:lineRule="atLeast"/>
              <w:rPr>
                <w:rFonts w:eastAsia="仿宋_GB2312"/>
                <w:color w:val="000000"/>
                <w:kern w:val="0"/>
                <w:sz w:val="22"/>
                <w:szCs w:val="22"/>
              </w:rPr>
            </w:pPr>
            <w:r>
              <w:rPr>
                <w:rFonts w:eastAsia="仿宋_GB2312"/>
                <w:color w:val="000000"/>
                <w:kern w:val="0"/>
                <w:sz w:val="22"/>
                <w:szCs w:val="22"/>
              </w:rPr>
              <w:t>实际到位资金与预算资金的比率，用以反映和考核资金落实情况对项目实施的总体保障程度。</w:t>
            </w:r>
          </w:p>
        </w:tc>
        <w:tc>
          <w:tcPr>
            <w:tcW w:w="2380" w:type="pct"/>
            <w:shd w:val="clear" w:color="auto" w:fill="auto"/>
            <w:vAlign w:val="center"/>
          </w:tcPr>
          <w:p w14:paraId="53261888">
            <w:pPr>
              <w:widowControl/>
              <w:spacing w:line="0" w:lineRule="atLeast"/>
              <w:rPr>
                <w:rFonts w:eastAsia="仿宋_GB2312"/>
                <w:color w:val="000000"/>
                <w:kern w:val="0"/>
                <w:sz w:val="22"/>
                <w:szCs w:val="22"/>
              </w:rPr>
            </w:pPr>
            <w:r>
              <w:rPr>
                <w:rFonts w:eastAsia="仿宋_GB2312"/>
                <w:color w:val="000000"/>
                <w:kern w:val="0"/>
                <w:sz w:val="22"/>
                <w:szCs w:val="22"/>
              </w:rPr>
              <w:t>资金到位率=（实际到位资金/预算资金）×100%。</w:t>
            </w:r>
          </w:p>
          <w:p w14:paraId="7086EE3A">
            <w:pPr>
              <w:widowControl/>
              <w:spacing w:line="0" w:lineRule="atLeast"/>
              <w:rPr>
                <w:rFonts w:eastAsia="仿宋_GB2312"/>
                <w:color w:val="000000"/>
                <w:kern w:val="0"/>
                <w:sz w:val="22"/>
                <w:szCs w:val="22"/>
              </w:rPr>
            </w:pPr>
            <w:r>
              <w:rPr>
                <w:rFonts w:eastAsia="仿宋_GB2312"/>
                <w:color w:val="000000"/>
                <w:kern w:val="0"/>
                <w:sz w:val="22"/>
                <w:szCs w:val="22"/>
              </w:rPr>
              <w:t>实际到位资金：一定时期（本年度或项目期）内落实到具体项目的资金。</w:t>
            </w:r>
          </w:p>
          <w:p w14:paraId="50C3545C">
            <w:pPr>
              <w:widowControl/>
              <w:spacing w:line="0" w:lineRule="atLeast"/>
              <w:rPr>
                <w:rFonts w:eastAsia="仿宋_GB2312"/>
                <w:color w:val="000000"/>
                <w:kern w:val="0"/>
                <w:sz w:val="22"/>
                <w:szCs w:val="22"/>
              </w:rPr>
            </w:pPr>
            <w:r>
              <w:rPr>
                <w:rFonts w:eastAsia="仿宋_GB2312"/>
                <w:color w:val="000000"/>
                <w:kern w:val="0"/>
                <w:sz w:val="22"/>
                <w:szCs w:val="22"/>
              </w:rPr>
              <w:t>预算资金：一定时期（本年度或项目期）内预算安排到具体项目的资金。</w:t>
            </w:r>
          </w:p>
        </w:tc>
        <w:tc>
          <w:tcPr>
            <w:tcW w:w="265" w:type="pct"/>
            <w:shd w:val="clear" w:color="auto" w:fill="auto"/>
            <w:vAlign w:val="center"/>
          </w:tcPr>
          <w:p w14:paraId="3BA5F0DD">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7EFF9DD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4E981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11" w:type="pct"/>
            <w:vMerge w:val="continue"/>
            <w:shd w:val="clear" w:color="auto" w:fill="auto"/>
            <w:vAlign w:val="center"/>
          </w:tcPr>
          <w:p w14:paraId="34438937">
            <w:pPr>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408C0422">
            <w:pPr>
              <w:spacing w:line="0" w:lineRule="atLeast"/>
              <w:jc w:val="center"/>
              <w:rPr>
                <w:rFonts w:eastAsia="仿宋_GB2312"/>
                <w:color w:val="000000"/>
                <w:kern w:val="0"/>
                <w:sz w:val="22"/>
                <w:szCs w:val="22"/>
              </w:rPr>
            </w:pPr>
          </w:p>
        </w:tc>
        <w:tc>
          <w:tcPr>
            <w:tcW w:w="326" w:type="pct"/>
            <w:shd w:val="clear" w:color="auto" w:fill="auto"/>
            <w:vAlign w:val="center"/>
          </w:tcPr>
          <w:p w14:paraId="7A699DA2">
            <w:pPr>
              <w:widowControl/>
              <w:spacing w:line="0" w:lineRule="atLeast"/>
              <w:jc w:val="center"/>
              <w:rPr>
                <w:rFonts w:eastAsia="仿宋_GB2312"/>
                <w:color w:val="000000"/>
                <w:kern w:val="0"/>
                <w:sz w:val="22"/>
                <w:szCs w:val="22"/>
              </w:rPr>
            </w:pPr>
            <w:r>
              <w:rPr>
                <w:rFonts w:eastAsia="仿宋_GB2312"/>
                <w:color w:val="000000"/>
                <w:kern w:val="0"/>
                <w:sz w:val="22"/>
                <w:szCs w:val="22"/>
              </w:rPr>
              <w:t>预算执行率</w:t>
            </w:r>
          </w:p>
        </w:tc>
        <w:tc>
          <w:tcPr>
            <w:tcW w:w="1036" w:type="pct"/>
            <w:shd w:val="clear" w:color="auto" w:fill="auto"/>
            <w:vAlign w:val="center"/>
          </w:tcPr>
          <w:p w14:paraId="2A37BE95">
            <w:pPr>
              <w:widowControl/>
              <w:spacing w:line="0" w:lineRule="atLeast"/>
              <w:rPr>
                <w:rFonts w:eastAsia="仿宋_GB2312"/>
                <w:color w:val="000000"/>
                <w:kern w:val="0"/>
                <w:sz w:val="22"/>
                <w:szCs w:val="22"/>
              </w:rPr>
            </w:pPr>
            <w:r>
              <w:rPr>
                <w:rFonts w:eastAsia="仿宋_GB2312"/>
                <w:color w:val="000000"/>
                <w:kern w:val="0"/>
                <w:sz w:val="22"/>
                <w:szCs w:val="22"/>
              </w:rPr>
              <w:t>项目预算资金是否按照计划执行，用以反映或考核项目预算执行情况。</w:t>
            </w:r>
          </w:p>
        </w:tc>
        <w:tc>
          <w:tcPr>
            <w:tcW w:w="2380" w:type="pct"/>
            <w:shd w:val="clear" w:color="auto" w:fill="auto"/>
            <w:vAlign w:val="center"/>
          </w:tcPr>
          <w:p w14:paraId="451F847A">
            <w:pPr>
              <w:widowControl/>
              <w:spacing w:line="0" w:lineRule="atLeast"/>
              <w:rPr>
                <w:rFonts w:eastAsia="仿宋_GB2312"/>
                <w:color w:val="000000"/>
                <w:kern w:val="0"/>
                <w:sz w:val="22"/>
                <w:szCs w:val="22"/>
              </w:rPr>
            </w:pPr>
            <w:r>
              <w:rPr>
                <w:rFonts w:eastAsia="仿宋_GB2312"/>
                <w:color w:val="000000"/>
                <w:kern w:val="0"/>
                <w:sz w:val="22"/>
                <w:szCs w:val="22"/>
              </w:rPr>
              <w:t>预算执行率=（实际支出资金/实际到位资金）×100%。</w:t>
            </w:r>
            <w:r>
              <w:rPr>
                <w:rFonts w:eastAsia="仿宋_GB2312"/>
                <w:color w:val="000000"/>
                <w:kern w:val="0"/>
                <w:sz w:val="22"/>
                <w:szCs w:val="22"/>
              </w:rPr>
              <w:br w:type="textWrapping"/>
            </w:r>
            <w:r>
              <w:rPr>
                <w:rFonts w:eastAsia="仿宋_GB2312"/>
                <w:color w:val="000000"/>
                <w:kern w:val="0"/>
                <w:sz w:val="22"/>
                <w:szCs w:val="22"/>
              </w:rPr>
              <w:t>实际支出资金：一定时期（本年度或项目期）内项目实际拨付的资金。</w:t>
            </w:r>
          </w:p>
        </w:tc>
        <w:tc>
          <w:tcPr>
            <w:tcW w:w="265" w:type="pct"/>
            <w:shd w:val="clear" w:color="auto" w:fill="auto"/>
            <w:vAlign w:val="center"/>
          </w:tcPr>
          <w:p w14:paraId="19854747">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3024C6ED">
            <w:pPr>
              <w:widowControl/>
              <w:spacing w:line="0" w:lineRule="atLeast"/>
              <w:jc w:val="center"/>
              <w:rPr>
                <w:rFonts w:hint="default" w:eastAsia="仿宋_GB2312"/>
                <w:b/>
                <w:bCs/>
                <w:color w:val="000000"/>
                <w:kern w:val="0"/>
                <w:sz w:val="22"/>
                <w:szCs w:val="22"/>
                <w:lang w:val="en-US" w:eastAsia="zh-CN"/>
              </w:rPr>
            </w:pPr>
            <w:r>
              <w:rPr>
                <w:rFonts w:hint="eastAsia" w:eastAsia="仿宋_GB2312"/>
                <w:b/>
                <w:bCs/>
                <w:color w:val="000000"/>
                <w:kern w:val="0"/>
                <w:sz w:val="22"/>
                <w:szCs w:val="22"/>
                <w:lang w:val="en-US" w:eastAsia="zh-CN"/>
              </w:rPr>
              <w:t>3.8</w:t>
            </w:r>
          </w:p>
        </w:tc>
      </w:tr>
      <w:tr w14:paraId="32462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11" w:type="pct"/>
            <w:vMerge w:val="continue"/>
            <w:shd w:val="clear" w:color="auto" w:fill="auto"/>
            <w:vAlign w:val="center"/>
          </w:tcPr>
          <w:p w14:paraId="744BAE14">
            <w:pPr>
              <w:spacing w:line="0" w:lineRule="atLeast"/>
              <w:jc w:val="center"/>
              <w:rPr>
                <w:rFonts w:eastAsia="仿宋_GB2312"/>
                <w:color w:val="000000"/>
                <w:kern w:val="0"/>
                <w:sz w:val="22"/>
                <w:szCs w:val="22"/>
              </w:rPr>
            </w:pPr>
          </w:p>
        </w:tc>
        <w:tc>
          <w:tcPr>
            <w:tcW w:w="286" w:type="pct"/>
            <w:shd w:val="clear" w:color="auto" w:fill="auto"/>
            <w:vAlign w:val="center"/>
          </w:tcPr>
          <w:p w14:paraId="4E91E8DB">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326" w:type="pct"/>
            <w:shd w:val="clear" w:color="auto" w:fill="auto"/>
            <w:vAlign w:val="center"/>
          </w:tcPr>
          <w:p w14:paraId="5E007785">
            <w:pPr>
              <w:widowControl/>
              <w:spacing w:line="0" w:lineRule="atLeast"/>
              <w:jc w:val="center"/>
              <w:rPr>
                <w:rFonts w:eastAsia="仿宋_GB2312"/>
                <w:color w:val="000000"/>
                <w:kern w:val="0"/>
                <w:sz w:val="22"/>
                <w:szCs w:val="22"/>
              </w:rPr>
            </w:pPr>
            <w:r>
              <w:rPr>
                <w:rFonts w:eastAsia="仿宋_GB2312"/>
                <w:color w:val="000000"/>
                <w:kern w:val="0"/>
                <w:sz w:val="22"/>
                <w:szCs w:val="22"/>
              </w:rPr>
              <w:t>资金使用</w:t>
            </w:r>
          </w:p>
          <w:p w14:paraId="203CB63F">
            <w:pPr>
              <w:widowControl/>
              <w:spacing w:line="0" w:lineRule="atLeast"/>
              <w:jc w:val="center"/>
              <w:rPr>
                <w:rFonts w:eastAsia="仿宋_GB2312"/>
                <w:color w:val="000000"/>
                <w:kern w:val="0"/>
                <w:sz w:val="22"/>
                <w:szCs w:val="22"/>
              </w:rPr>
            </w:pPr>
            <w:r>
              <w:rPr>
                <w:rFonts w:eastAsia="仿宋_GB2312"/>
                <w:color w:val="000000"/>
                <w:kern w:val="0"/>
                <w:sz w:val="22"/>
                <w:szCs w:val="22"/>
              </w:rPr>
              <w:t>合规性</w:t>
            </w:r>
          </w:p>
        </w:tc>
        <w:tc>
          <w:tcPr>
            <w:tcW w:w="1036" w:type="pct"/>
            <w:shd w:val="clear" w:color="auto" w:fill="auto"/>
            <w:vAlign w:val="center"/>
          </w:tcPr>
          <w:p w14:paraId="32E4A814">
            <w:pPr>
              <w:widowControl/>
              <w:spacing w:line="0" w:lineRule="atLeast"/>
              <w:rPr>
                <w:rFonts w:eastAsia="仿宋_GB2312"/>
                <w:color w:val="000000"/>
                <w:kern w:val="0"/>
                <w:sz w:val="22"/>
                <w:szCs w:val="22"/>
              </w:rPr>
            </w:pPr>
            <w:r>
              <w:rPr>
                <w:rFonts w:eastAsia="仿宋_GB2312"/>
                <w:color w:val="000000"/>
                <w:kern w:val="0"/>
                <w:sz w:val="22"/>
                <w:szCs w:val="22"/>
              </w:rPr>
              <w:t>项目资金使用是否符合相关的财务管理制度规定，用以反映和考核项目资金的规范运行情况。</w:t>
            </w:r>
          </w:p>
        </w:tc>
        <w:tc>
          <w:tcPr>
            <w:tcW w:w="2380" w:type="pct"/>
            <w:shd w:val="clear" w:color="auto" w:fill="auto"/>
            <w:vAlign w:val="center"/>
          </w:tcPr>
          <w:p w14:paraId="2C4041FB">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是否符合国家财经法规和财务管理制度以及有关专项资金管理办法的规定；</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资金的拨付是否有完整的审批程序和手续；</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是否符合项目预算批复或合同规定的用途；</w:t>
            </w:r>
            <w:r>
              <w:rPr>
                <w:rFonts w:eastAsia="仿宋_GB2312"/>
                <w:color w:val="000000"/>
                <w:kern w:val="0"/>
                <w:sz w:val="22"/>
                <w:szCs w:val="22"/>
              </w:rPr>
              <w:br w:type="textWrapping"/>
            </w:r>
            <w:r>
              <w:rPr>
                <w:rFonts w:hint="eastAsia" w:ascii="宋体" w:hAnsi="宋体" w:cs="宋体"/>
                <w:color w:val="000000"/>
                <w:kern w:val="0"/>
                <w:sz w:val="22"/>
                <w:szCs w:val="22"/>
              </w:rPr>
              <w:t>④</w:t>
            </w:r>
            <w:r>
              <w:rPr>
                <w:rFonts w:eastAsia="仿宋_GB2312"/>
                <w:color w:val="000000"/>
                <w:kern w:val="0"/>
                <w:sz w:val="22"/>
                <w:szCs w:val="22"/>
              </w:rPr>
              <w:t>是否存在截留、挤占、挪用、虚列支出等情况。</w:t>
            </w:r>
          </w:p>
        </w:tc>
        <w:tc>
          <w:tcPr>
            <w:tcW w:w="265" w:type="pct"/>
            <w:shd w:val="clear" w:color="auto" w:fill="auto"/>
            <w:vAlign w:val="center"/>
          </w:tcPr>
          <w:p w14:paraId="6021FF02">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4D3C74CC">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71CE0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11" w:type="pct"/>
            <w:vMerge w:val="continue"/>
            <w:shd w:val="clear" w:color="auto" w:fill="auto"/>
            <w:vAlign w:val="center"/>
          </w:tcPr>
          <w:p w14:paraId="58C1D8C8">
            <w:pPr>
              <w:spacing w:line="0" w:lineRule="atLeast"/>
              <w:jc w:val="center"/>
              <w:rPr>
                <w:rFonts w:eastAsia="仿宋_GB2312"/>
                <w:color w:val="000000"/>
                <w:kern w:val="0"/>
                <w:sz w:val="22"/>
                <w:szCs w:val="22"/>
              </w:rPr>
            </w:pPr>
          </w:p>
        </w:tc>
        <w:tc>
          <w:tcPr>
            <w:tcW w:w="286" w:type="pct"/>
            <w:vMerge w:val="restart"/>
            <w:shd w:val="clear" w:color="auto" w:fill="auto"/>
            <w:vAlign w:val="center"/>
          </w:tcPr>
          <w:p w14:paraId="335D958D">
            <w:pPr>
              <w:widowControl/>
              <w:spacing w:line="0" w:lineRule="atLeast"/>
              <w:jc w:val="center"/>
              <w:rPr>
                <w:rFonts w:eastAsia="仿宋_GB2312"/>
                <w:color w:val="000000"/>
                <w:kern w:val="0"/>
                <w:sz w:val="22"/>
                <w:szCs w:val="22"/>
              </w:rPr>
            </w:pPr>
            <w:r>
              <w:rPr>
                <w:rFonts w:eastAsia="仿宋_GB2312"/>
                <w:color w:val="000000"/>
                <w:kern w:val="0"/>
                <w:sz w:val="22"/>
                <w:szCs w:val="22"/>
              </w:rPr>
              <w:t>组织实施</w:t>
            </w:r>
          </w:p>
          <w:p w14:paraId="771C5599">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326" w:type="pct"/>
            <w:shd w:val="clear" w:color="auto" w:fill="auto"/>
            <w:vAlign w:val="center"/>
          </w:tcPr>
          <w:p w14:paraId="531F7E1D">
            <w:pPr>
              <w:widowControl/>
              <w:spacing w:line="0" w:lineRule="atLeast"/>
              <w:jc w:val="center"/>
              <w:rPr>
                <w:rFonts w:eastAsia="仿宋_GB2312"/>
                <w:color w:val="000000"/>
                <w:kern w:val="0"/>
                <w:sz w:val="22"/>
                <w:szCs w:val="22"/>
              </w:rPr>
            </w:pPr>
            <w:r>
              <w:rPr>
                <w:rFonts w:eastAsia="仿宋_GB2312"/>
                <w:color w:val="000000"/>
                <w:kern w:val="0"/>
                <w:sz w:val="22"/>
                <w:szCs w:val="22"/>
              </w:rPr>
              <w:t>管理制度</w:t>
            </w:r>
          </w:p>
          <w:p w14:paraId="02757D75">
            <w:pPr>
              <w:widowControl/>
              <w:spacing w:line="0" w:lineRule="atLeast"/>
              <w:jc w:val="center"/>
              <w:rPr>
                <w:rFonts w:eastAsia="仿宋_GB2312"/>
                <w:color w:val="000000"/>
                <w:kern w:val="0"/>
                <w:sz w:val="22"/>
                <w:szCs w:val="22"/>
              </w:rPr>
            </w:pPr>
            <w:r>
              <w:rPr>
                <w:rFonts w:eastAsia="仿宋_GB2312"/>
                <w:color w:val="000000"/>
                <w:kern w:val="0"/>
                <w:sz w:val="22"/>
                <w:szCs w:val="22"/>
              </w:rPr>
              <w:t>健全性</w:t>
            </w:r>
          </w:p>
        </w:tc>
        <w:tc>
          <w:tcPr>
            <w:tcW w:w="1036" w:type="pct"/>
            <w:shd w:val="clear" w:color="auto" w:fill="auto"/>
            <w:vAlign w:val="center"/>
          </w:tcPr>
          <w:p w14:paraId="152EC4AE">
            <w:pPr>
              <w:widowControl/>
              <w:spacing w:line="0" w:lineRule="atLeast"/>
              <w:rPr>
                <w:rFonts w:eastAsia="仿宋_GB2312"/>
                <w:color w:val="000000"/>
                <w:kern w:val="0"/>
                <w:sz w:val="22"/>
                <w:szCs w:val="22"/>
              </w:rPr>
            </w:pPr>
            <w:r>
              <w:rPr>
                <w:rFonts w:eastAsia="仿宋_GB2312"/>
                <w:color w:val="000000"/>
                <w:kern w:val="0"/>
                <w:sz w:val="22"/>
                <w:szCs w:val="22"/>
              </w:rPr>
              <w:t>项目实施单位的财务和业务管理制度是否健全，用以反映和考核财务和业务管理制度对项目顺利实施的保障情况。</w:t>
            </w:r>
          </w:p>
        </w:tc>
        <w:tc>
          <w:tcPr>
            <w:tcW w:w="2380" w:type="pct"/>
            <w:shd w:val="clear" w:color="auto" w:fill="auto"/>
            <w:vAlign w:val="center"/>
          </w:tcPr>
          <w:p w14:paraId="6EA73F43">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是否已制定或具有相应的财务和业务管理制度；</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财务和业务管理制度是否合法、合规、完整。</w:t>
            </w:r>
          </w:p>
        </w:tc>
        <w:tc>
          <w:tcPr>
            <w:tcW w:w="265" w:type="pct"/>
            <w:shd w:val="clear" w:color="auto" w:fill="auto"/>
            <w:vAlign w:val="center"/>
          </w:tcPr>
          <w:p w14:paraId="75262DFB">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69D3ABE9">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3230B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11" w:type="pct"/>
            <w:vMerge w:val="continue"/>
            <w:shd w:val="clear" w:color="auto" w:fill="auto"/>
            <w:vAlign w:val="center"/>
          </w:tcPr>
          <w:p w14:paraId="23C6BE91">
            <w:pPr>
              <w:widowControl/>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69847462">
            <w:pPr>
              <w:widowControl/>
              <w:spacing w:line="0" w:lineRule="atLeast"/>
              <w:jc w:val="center"/>
              <w:rPr>
                <w:rFonts w:eastAsia="仿宋_GB2312"/>
                <w:color w:val="000000"/>
                <w:kern w:val="0"/>
                <w:sz w:val="22"/>
                <w:szCs w:val="22"/>
              </w:rPr>
            </w:pPr>
          </w:p>
        </w:tc>
        <w:tc>
          <w:tcPr>
            <w:tcW w:w="326" w:type="pct"/>
            <w:shd w:val="clear" w:color="auto" w:fill="auto"/>
            <w:vAlign w:val="center"/>
          </w:tcPr>
          <w:p w14:paraId="247660B3">
            <w:pPr>
              <w:widowControl/>
              <w:spacing w:line="0" w:lineRule="atLeast"/>
              <w:jc w:val="center"/>
              <w:rPr>
                <w:rFonts w:eastAsia="仿宋_GB2312"/>
                <w:color w:val="000000"/>
                <w:kern w:val="0"/>
                <w:sz w:val="22"/>
                <w:szCs w:val="22"/>
              </w:rPr>
            </w:pPr>
            <w:r>
              <w:rPr>
                <w:rFonts w:eastAsia="仿宋_GB2312"/>
                <w:color w:val="000000"/>
                <w:kern w:val="0"/>
                <w:sz w:val="22"/>
                <w:szCs w:val="22"/>
              </w:rPr>
              <w:t>制度执行</w:t>
            </w:r>
          </w:p>
          <w:p w14:paraId="7330E6E9">
            <w:pPr>
              <w:widowControl/>
              <w:spacing w:line="0" w:lineRule="atLeast"/>
              <w:jc w:val="center"/>
              <w:rPr>
                <w:rFonts w:eastAsia="仿宋_GB2312"/>
                <w:color w:val="000000"/>
                <w:kern w:val="0"/>
                <w:sz w:val="22"/>
                <w:szCs w:val="22"/>
              </w:rPr>
            </w:pPr>
            <w:r>
              <w:rPr>
                <w:rFonts w:eastAsia="仿宋_GB2312"/>
                <w:color w:val="000000"/>
                <w:kern w:val="0"/>
                <w:sz w:val="22"/>
                <w:szCs w:val="22"/>
              </w:rPr>
              <w:t>有效性</w:t>
            </w:r>
          </w:p>
        </w:tc>
        <w:tc>
          <w:tcPr>
            <w:tcW w:w="1036" w:type="pct"/>
            <w:shd w:val="clear" w:color="auto" w:fill="auto"/>
            <w:vAlign w:val="center"/>
          </w:tcPr>
          <w:p w14:paraId="31D25761">
            <w:pPr>
              <w:widowControl/>
              <w:spacing w:line="0" w:lineRule="atLeast"/>
              <w:rPr>
                <w:rFonts w:eastAsia="仿宋_GB2312"/>
                <w:color w:val="000000"/>
                <w:kern w:val="0"/>
                <w:sz w:val="22"/>
                <w:szCs w:val="22"/>
              </w:rPr>
            </w:pPr>
            <w:r>
              <w:rPr>
                <w:rFonts w:eastAsia="仿宋_GB2312"/>
                <w:color w:val="000000"/>
                <w:kern w:val="0"/>
                <w:sz w:val="22"/>
                <w:szCs w:val="22"/>
              </w:rPr>
              <w:t>项目实施是否符合相关管理规定，用以反映和考核相关管理制度的有效执行情况。</w:t>
            </w:r>
          </w:p>
        </w:tc>
        <w:tc>
          <w:tcPr>
            <w:tcW w:w="2380" w:type="pct"/>
            <w:shd w:val="clear" w:color="auto" w:fill="auto"/>
            <w:vAlign w:val="center"/>
          </w:tcPr>
          <w:p w14:paraId="20DD8616">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hint="eastAsia" w:ascii="宋体" w:hAnsi="宋体" w:cs="宋体"/>
                <w:color w:val="000000"/>
                <w:kern w:val="0"/>
                <w:sz w:val="22"/>
                <w:szCs w:val="22"/>
              </w:rPr>
              <w:t>①</w:t>
            </w:r>
            <w:r>
              <w:rPr>
                <w:rFonts w:eastAsia="仿宋_GB2312"/>
                <w:color w:val="000000"/>
                <w:kern w:val="0"/>
                <w:sz w:val="22"/>
                <w:szCs w:val="22"/>
              </w:rPr>
              <w:t>是否遵守相关法律法规和相关管理规定；</w:t>
            </w:r>
            <w:r>
              <w:rPr>
                <w:rFonts w:eastAsia="仿宋_GB2312"/>
                <w:color w:val="000000"/>
                <w:kern w:val="0"/>
                <w:sz w:val="22"/>
                <w:szCs w:val="22"/>
              </w:rPr>
              <w:br w:type="textWrapping"/>
            </w:r>
            <w:r>
              <w:rPr>
                <w:rFonts w:hint="eastAsia" w:ascii="宋体" w:hAnsi="宋体" w:cs="宋体"/>
                <w:color w:val="000000"/>
                <w:kern w:val="0"/>
                <w:sz w:val="22"/>
                <w:szCs w:val="22"/>
              </w:rPr>
              <w:t>②</w:t>
            </w:r>
            <w:r>
              <w:rPr>
                <w:rFonts w:eastAsia="仿宋_GB2312"/>
                <w:color w:val="000000"/>
                <w:kern w:val="0"/>
                <w:sz w:val="22"/>
                <w:szCs w:val="22"/>
              </w:rPr>
              <w:t>项目调整及支出调整手续是否完备；</w:t>
            </w:r>
            <w:r>
              <w:rPr>
                <w:rFonts w:eastAsia="仿宋_GB2312"/>
                <w:color w:val="000000"/>
                <w:kern w:val="0"/>
                <w:sz w:val="22"/>
                <w:szCs w:val="22"/>
              </w:rPr>
              <w:br w:type="textWrapping"/>
            </w:r>
            <w:r>
              <w:rPr>
                <w:rFonts w:hint="eastAsia" w:ascii="宋体" w:hAnsi="宋体" w:cs="宋体"/>
                <w:color w:val="000000"/>
                <w:kern w:val="0"/>
                <w:sz w:val="22"/>
                <w:szCs w:val="22"/>
              </w:rPr>
              <w:t>③</w:t>
            </w:r>
            <w:r>
              <w:rPr>
                <w:rFonts w:eastAsia="仿宋_GB2312"/>
                <w:color w:val="000000"/>
                <w:kern w:val="0"/>
                <w:sz w:val="22"/>
                <w:szCs w:val="22"/>
              </w:rPr>
              <w:t>项目合同书、验收报告、技术鉴定等资料是否齐全并及时归档；</w:t>
            </w:r>
            <w:r>
              <w:rPr>
                <w:rFonts w:eastAsia="仿宋_GB2312"/>
                <w:color w:val="000000"/>
                <w:kern w:val="0"/>
                <w:sz w:val="22"/>
                <w:szCs w:val="22"/>
              </w:rPr>
              <w:br w:type="textWrapping"/>
            </w:r>
            <w:r>
              <w:rPr>
                <w:rFonts w:hint="eastAsia" w:ascii="宋体" w:hAnsi="宋体" w:cs="宋体"/>
                <w:color w:val="000000"/>
                <w:kern w:val="0"/>
                <w:sz w:val="22"/>
                <w:szCs w:val="22"/>
              </w:rPr>
              <w:t>④</w:t>
            </w:r>
            <w:r>
              <w:rPr>
                <w:rFonts w:eastAsia="仿宋_GB2312"/>
                <w:color w:val="000000"/>
                <w:kern w:val="0"/>
                <w:sz w:val="22"/>
                <w:szCs w:val="22"/>
              </w:rPr>
              <w:t>项目实施的人员条件、场地设备、信息支撑等是否落实到位。</w:t>
            </w:r>
          </w:p>
        </w:tc>
        <w:tc>
          <w:tcPr>
            <w:tcW w:w="265" w:type="pct"/>
            <w:shd w:val="clear" w:color="auto" w:fill="auto"/>
            <w:vAlign w:val="center"/>
          </w:tcPr>
          <w:p w14:paraId="508C2BDE">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396" w:type="pct"/>
            <w:shd w:val="clear" w:color="auto" w:fill="auto"/>
            <w:vAlign w:val="center"/>
          </w:tcPr>
          <w:p w14:paraId="552D6887">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r>
      <w:tr w14:paraId="291DE6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11" w:type="pct"/>
            <w:vMerge w:val="restart"/>
            <w:shd w:val="clear" w:color="auto" w:fill="auto"/>
            <w:vAlign w:val="center"/>
          </w:tcPr>
          <w:p w14:paraId="6DE53418">
            <w:pPr>
              <w:widowControl/>
              <w:spacing w:line="0" w:lineRule="atLeast"/>
              <w:jc w:val="center"/>
              <w:rPr>
                <w:rFonts w:eastAsia="仿宋_GB2312"/>
                <w:color w:val="000000"/>
                <w:kern w:val="0"/>
                <w:sz w:val="22"/>
                <w:szCs w:val="22"/>
              </w:rPr>
            </w:pPr>
            <w:r>
              <w:rPr>
                <w:rFonts w:eastAsia="仿宋_GB2312"/>
                <w:color w:val="000000"/>
                <w:kern w:val="0"/>
                <w:sz w:val="22"/>
                <w:szCs w:val="22"/>
              </w:rPr>
              <w:t>产出</w:t>
            </w:r>
          </w:p>
        </w:tc>
        <w:tc>
          <w:tcPr>
            <w:tcW w:w="286" w:type="pct"/>
            <w:shd w:val="clear" w:color="auto" w:fill="auto"/>
            <w:vAlign w:val="center"/>
          </w:tcPr>
          <w:p w14:paraId="186D5E6C">
            <w:pPr>
              <w:widowControl/>
              <w:spacing w:line="0" w:lineRule="atLeast"/>
              <w:jc w:val="center"/>
              <w:rPr>
                <w:rFonts w:eastAsia="仿宋_GB2312"/>
                <w:color w:val="000000"/>
                <w:kern w:val="0"/>
                <w:sz w:val="22"/>
                <w:szCs w:val="22"/>
              </w:rPr>
            </w:pPr>
            <w:r>
              <w:rPr>
                <w:rFonts w:eastAsia="仿宋_GB2312"/>
                <w:color w:val="000000"/>
                <w:kern w:val="0"/>
                <w:sz w:val="22"/>
                <w:szCs w:val="22"/>
              </w:rPr>
              <w:t>产出数量</w:t>
            </w:r>
          </w:p>
        </w:tc>
        <w:tc>
          <w:tcPr>
            <w:tcW w:w="326" w:type="pct"/>
            <w:shd w:val="clear" w:color="auto" w:fill="auto"/>
            <w:vAlign w:val="center"/>
          </w:tcPr>
          <w:p w14:paraId="3696F34D">
            <w:pPr>
              <w:widowControl/>
              <w:spacing w:line="0" w:lineRule="atLeast"/>
              <w:jc w:val="center"/>
              <w:rPr>
                <w:rFonts w:eastAsia="仿宋_GB2312"/>
                <w:color w:val="000000"/>
                <w:kern w:val="0"/>
                <w:sz w:val="22"/>
                <w:szCs w:val="22"/>
              </w:rPr>
            </w:pPr>
            <w:r>
              <w:rPr>
                <w:rFonts w:eastAsia="仿宋_GB2312"/>
                <w:color w:val="000000"/>
                <w:kern w:val="0"/>
                <w:sz w:val="22"/>
                <w:szCs w:val="22"/>
              </w:rPr>
              <w:t>实际完成率</w:t>
            </w:r>
          </w:p>
        </w:tc>
        <w:tc>
          <w:tcPr>
            <w:tcW w:w="1036" w:type="pct"/>
            <w:shd w:val="clear" w:color="auto" w:fill="auto"/>
            <w:vAlign w:val="center"/>
          </w:tcPr>
          <w:p w14:paraId="08489238">
            <w:pPr>
              <w:widowControl/>
              <w:spacing w:line="0" w:lineRule="atLeast"/>
              <w:rPr>
                <w:rFonts w:eastAsia="仿宋_GB2312"/>
                <w:color w:val="000000"/>
                <w:kern w:val="0"/>
                <w:sz w:val="22"/>
                <w:szCs w:val="22"/>
              </w:rPr>
            </w:pPr>
            <w:r>
              <w:rPr>
                <w:rFonts w:eastAsia="仿宋_GB2312"/>
                <w:color w:val="000000"/>
                <w:kern w:val="0"/>
                <w:sz w:val="22"/>
                <w:szCs w:val="22"/>
              </w:rPr>
              <w:t>项目实施的实际产出数与计划产出数的比率，用以反映和考核项目产出数量目标的实现程度。</w:t>
            </w:r>
          </w:p>
        </w:tc>
        <w:tc>
          <w:tcPr>
            <w:tcW w:w="2380" w:type="pct"/>
            <w:shd w:val="clear" w:color="auto" w:fill="auto"/>
            <w:vAlign w:val="center"/>
          </w:tcPr>
          <w:p w14:paraId="445356C7">
            <w:pPr>
              <w:widowControl/>
              <w:spacing w:line="0" w:lineRule="atLeast"/>
              <w:rPr>
                <w:rFonts w:eastAsia="仿宋_GB2312"/>
                <w:color w:val="000000"/>
                <w:kern w:val="0"/>
                <w:sz w:val="22"/>
                <w:szCs w:val="22"/>
              </w:rPr>
            </w:pPr>
            <w:r>
              <w:rPr>
                <w:rFonts w:eastAsia="仿宋_GB2312"/>
                <w:color w:val="000000"/>
                <w:kern w:val="0"/>
                <w:sz w:val="22"/>
                <w:szCs w:val="22"/>
              </w:rPr>
              <w:t>实际完成率=（实际产出数/计划产出数）×100%。</w:t>
            </w:r>
            <w:r>
              <w:rPr>
                <w:rFonts w:eastAsia="仿宋_GB2312"/>
                <w:color w:val="000000"/>
                <w:kern w:val="0"/>
                <w:sz w:val="22"/>
                <w:szCs w:val="22"/>
              </w:rPr>
              <w:br w:type="textWrapping"/>
            </w:r>
            <w:r>
              <w:rPr>
                <w:rFonts w:eastAsia="仿宋_GB2312"/>
                <w:color w:val="000000"/>
                <w:kern w:val="0"/>
                <w:sz w:val="22"/>
                <w:szCs w:val="22"/>
              </w:rPr>
              <w:t>实际产出数：一定时期（本年度或项目期）内项目实际产出的产品或提供的服务数量。</w:t>
            </w:r>
            <w:r>
              <w:rPr>
                <w:rFonts w:eastAsia="仿宋_GB2312"/>
                <w:color w:val="000000"/>
                <w:kern w:val="0"/>
                <w:sz w:val="22"/>
                <w:szCs w:val="22"/>
              </w:rPr>
              <w:br w:type="textWrapping"/>
            </w:r>
            <w:r>
              <w:rPr>
                <w:rFonts w:eastAsia="仿宋_GB2312"/>
                <w:color w:val="000000"/>
                <w:kern w:val="0"/>
                <w:sz w:val="22"/>
                <w:szCs w:val="22"/>
              </w:rPr>
              <w:t>计划产出数：项目绩效目标确定的在一定时期（本年度或项目期）内计划产出的产品或提供的服务数量。</w:t>
            </w:r>
          </w:p>
        </w:tc>
        <w:tc>
          <w:tcPr>
            <w:tcW w:w="265" w:type="pct"/>
            <w:shd w:val="clear" w:color="auto" w:fill="auto"/>
            <w:vAlign w:val="center"/>
          </w:tcPr>
          <w:p w14:paraId="25D3F13B">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359BE119">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r>
      <w:tr w14:paraId="3F99A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11" w:type="pct"/>
            <w:vMerge w:val="continue"/>
            <w:shd w:val="clear" w:color="auto" w:fill="auto"/>
            <w:vAlign w:val="center"/>
          </w:tcPr>
          <w:p w14:paraId="29A712A5">
            <w:pPr>
              <w:widowControl/>
              <w:spacing w:line="0" w:lineRule="atLeast"/>
              <w:jc w:val="center"/>
              <w:rPr>
                <w:rFonts w:eastAsia="仿宋_GB2312"/>
                <w:color w:val="000000"/>
                <w:kern w:val="0"/>
                <w:sz w:val="22"/>
                <w:szCs w:val="22"/>
              </w:rPr>
            </w:pPr>
          </w:p>
        </w:tc>
        <w:tc>
          <w:tcPr>
            <w:tcW w:w="286" w:type="pct"/>
            <w:shd w:val="clear" w:color="auto" w:fill="auto"/>
            <w:vAlign w:val="center"/>
          </w:tcPr>
          <w:p w14:paraId="4A1A1EE9">
            <w:pPr>
              <w:widowControl/>
              <w:spacing w:line="0" w:lineRule="atLeast"/>
              <w:jc w:val="center"/>
              <w:rPr>
                <w:rFonts w:eastAsia="仿宋_GB2312"/>
                <w:color w:val="000000"/>
                <w:kern w:val="0"/>
                <w:sz w:val="22"/>
                <w:szCs w:val="22"/>
              </w:rPr>
            </w:pPr>
            <w:r>
              <w:rPr>
                <w:rFonts w:eastAsia="仿宋_GB2312"/>
                <w:color w:val="000000"/>
                <w:kern w:val="0"/>
                <w:sz w:val="22"/>
                <w:szCs w:val="22"/>
              </w:rPr>
              <w:t>产出质量</w:t>
            </w:r>
          </w:p>
        </w:tc>
        <w:tc>
          <w:tcPr>
            <w:tcW w:w="326" w:type="pct"/>
            <w:shd w:val="clear" w:color="auto" w:fill="auto"/>
            <w:vAlign w:val="center"/>
          </w:tcPr>
          <w:p w14:paraId="12385C57">
            <w:pPr>
              <w:widowControl/>
              <w:spacing w:line="0" w:lineRule="atLeast"/>
              <w:jc w:val="center"/>
              <w:rPr>
                <w:rFonts w:eastAsia="仿宋_GB2312"/>
                <w:color w:val="000000"/>
                <w:kern w:val="0"/>
                <w:sz w:val="22"/>
                <w:szCs w:val="22"/>
              </w:rPr>
            </w:pPr>
            <w:r>
              <w:rPr>
                <w:rFonts w:eastAsia="仿宋_GB2312"/>
                <w:color w:val="000000"/>
                <w:kern w:val="0"/>
                <w:sz w:val="22"/>
                <w:szCs w:val="22"/>
              </w:rPr>
              <w:t>质量达标率</w:t>
            </w:r>
          </w:p>
        </w:tc>
        <w:tc>
          <w:tcPr>
            <w:tcW w:w="1036" w:type="pct"/>
            <w:shd w:val="clear" w:color="auto" w:fill="auto"/>
            <w:vAlign w:val="center"/>
          </w:tcPr>
          <w:p w14:paraId="61BB17EB">
            <w:pPr>
              <w:widowControl/>
              <w:spacing w:line="0" w:lineRule="atLeast"/>
              <w:rPr>
                <w:rFonts w:eastAsia="仿宋_GB2312"/>
                <w:color w:val="000000"/>
                <w:kern w:val="0"/>
                <w:sz w:val="22"/>
                <w:szCs w:val="22"/>
              </w:rPr>
            </w:pPr>
            <w:r>
              <w:rPr>
                <w:rFonts w:eastAsia="仿宋_GB2312"/>
                <w:color w:val="000000"/>
                <w:kern w:val="0"/>
                <w:sz w:val="22"/>
                <w:szCs w:val="22"/>
              </w:rPr>
              <w:t>项目完成的质量达标产出数与实际产出数的比率，用以反映和考核项目产出质量目标的实现程度。</w:t>
            </w:r>
          </w:p>
        </w:tc>
        <w:tc>
          <w:tcPr>
            <w:tcW w:w="2380" w:type="pct"/>
            <w:shd w:val="clear" w:color="auto" w:fill="auto"/>
            <w:vAlign w:val="center"/>
          </w:tcPr>
          <w:p w14:paraId="181F77A4">
            <w:pPr>
              <w:widowControl/>
              <w:spacing w:line="0" w:lineRule="atLeast"/>
              <w:rPr>
                <w:rFonts w:eastAsia="仿宋_GB2312"/>
                <w:color w:val="000000"/>
                <w:kern w:val="0"/>
                <w:sz w:val="22"/>
                <w:szCs w:val="22"/>
              </w:rPr>
            </w:pPr>
            <w:r>
              <w:rPr>
                <w:rFonts w:eastAsia="仿宋_GB2312"/>
                <w:color w:val="000000"/>
                <w:kern w:val="0"/>
                <w:sz w:val="22"/>
                <w:szCs w:val="22"/>
              </w:rPr>
              <w:t>质量达标率=（质量达标产出数/实际产出数）×100%。</w:t>
            </w:r>
          </w:p>
          <w:p w14:paraId="1A941592">
            <w:pPr>
              <w:widowControl/>
              <w:spacing w:line="0" w:lineRule="atLeast"/>
              <w:rPr>
                <w:rFonts w:eastAsia="仿宋_GB2312"/>
                <w:color w:val="000000"/>
                <w:kern w:val="0"/>
                <w:sz w:val="22"/>
                <w:szCs w:val="22"/>
              </w:rPr>
            </w:pPr>
            <w:r>
              <w:rPr>
                <w:rFonts w:eastAsia="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65" w:type="pct"/>
            <w:shd w:val="clear" w:color="auto" w:fill="auto"/>
            <w:vAlign w:val="center"/>
          </w:tcPr>
          <w:p w14:paraId="23145372">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43DED944">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r>
      <w:tr w14:paraId="4E669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11" w:type="pct"/>
            <w:vMerge w:val="continue"/>
            <w:shd w:val="clear" w:color="auto" w:fill="auto"/>
            <w:vAlign w:val="center"/>
          </w:tcPr>
          <w:p w14:paraId="0E12864A">
            <w:pPr>
              <w:spacing w:line="0" w:lineRule="atLeast"/>
              <w:jc w:val="center"/>
              <w:rPr>
                <w:rFonts w:eastAsia="仿宋_GB2312"/>
                <w:color w:val="000000"/>
                <w:kern w:val="0"/>
                <w:sz w:val="22"/>
                <w:szCs w:val="22"/>
              </w:rPr>
            </w:pPr>
          </w:p>
        </w:tc>
        <w:tc>
          <w:tcPr>
            <w:tcW w:w="286" w:type="pct"/>
            <w:shd w:val="clear" w:color="auto" w:fill="auto"/>
            <w:vAlign w:val="center"/>
          </w:tcPr>
          <w:p w14:paraId="01D791D8">
            <w:pPr>
              <w:spacing w:line="0" w:lineRule="atLeast"/>
              <w:jc w:val="center"/>
              <w:rPr>
                <w:rFonts w:eastAsia="仿宋_GB2312"/>
                <w:color w:val="000000"/>
                <w:kern w:val="0"/>
                <w:sz w:val="22"/>
                <w:szCs w:val="22"/>
              </w:rPr>
            </w:pPr>
            <w:r>
              <w:rPr>
                <w:rFonts w:eastAsia="仿宋_GB2312"/>
                <w:color w:val="000000"/>
                <w:kern w:val="0"/>
                <w:sz w:val="22"/>
                <w:szCs w:val="22"/>
              </w:rPr>
              <w:t>产出时效</w:t>
            </w:r>
          </w:p>
        </w:tc>
        <w:tc>
          <w:tcPr>
            <w:tcW w:w="326" w:type="pct"/>
            <w:shd w:val="clear" w:color="auto" w:fill="auto"/>
            <w:vAlign w:val="center"/>
          </w:tcPr>
          <w:p w14:paraId="06CDF40E">
            <w:pPr>
              <w:widowControl/>
              <w:spacing w:line="0" w:lineRule="atLeast"/>
              <w:jc w:val="center"/>
              <w:rPr>
                <w:rFonts w:eastAsia="仿宋_GB2312"/>
                <w:color w:val="000000"/>
                <w:kern w:val="0"/>
                <w:sz w:val="22"/>
                <w:szCs w:val="22"/>
              </w:rPr>
            </w:pPr>
            <w:r>
              <w:rPr>
                <w:rFonts w:eastAsia="仿宋_GB2312"/>
                <w:color w:val="000000"/>
                <w:kern w:val="0"/>
                <w:sz w:val="22"/>
                <w:szCs w:val="22"/>
              </w:rPr>
              <w:t>完成及时性</w:t>
            </w:r>
          </w:p>
        </w:tc>
        <w:tc>
          <w:tcPr>
            <w:tcW w:w="1036" w:type="pct"/>
            <w:shd w:val="clear" w:color="auto" w:fill="auto"/>
            <w:vAlign w:val="center"/>
          </w:tcPr>
          <w:p w14:paraId="5C0B990C">
            <w:pPr>
              <w:widowControl/>
              <w:spacing w:line="0" w:lineRule="atLeast"/>
              <w:rPr>
                <w:rFonts w:eastAsia="仿宋_GB2312"/>
                <w:color w:val="000000"/>
                <w:kern w:val="0"/>
                <w:sz w:val="22"/>
                <w:szCs w:val="22"/>
              </w:rPr>
            </w:pPr>
            <w:r>
              <w:rPr>
                <w:rFonts w:eastAsia="仿宋_GB2312"/>
                <w:color w:val="000000"/>
                <w:kern w:val="0"/>
                <w:sz w:val="22"/>
                <w:szCs w:val="22"/>
              </w:rPr>
              <w:t>项目实际完成时间与计划完成时间的比较，用以反映和考核项目产出时效目标的实现程度。</w:t>
            </w:r>
          </w:p>
        </w:tc>
        <w:tc>
          <w:tcPr>
            <w:tcW w:w="2380" w:type="pct"/>
            <w:shd w:val="clear" w:color="auto" w:fill="auto"/>
            <w:vAlign w:val="center"/>
          </w:tcPr>
          <w:p w14:paraId="0A5CBC3A">
            <w:pPr>
              <w:widowControl/>
              <w:spacing w:line="0" w:lineRule="atLeast"/>
              <w:rPr>
                <w:rFonts w:eastAsia="仿宋_GB2312"/>
                <w:color w:val="000000"/>
                <w:kern w:val="0"/>
                <w:sz w:val="22"/>
                <w:szCs w:val="22"/>
              </w:rPr>
            </w:pPr>
            <w:r>
              <w:rPr>
                <w:rFonts w:eastAsia="仿宋_GB2312"/>
                <w:color w:val="000000"/>
                <w:kern w:val="0"/>
                <w:sz w:val="22"/>
                <w:szCs w:val="22"/>
              </w:rPr>
              <w:t>实际完成时间：项目实施单位完成该项目实际所耗用的时间。</w:t>
            </w:r>
            <w:r>
              <w:rPr>
                <w:rFonts w:eastAsia="仿宋_GB2312"/>
                <w:color w:val="000000"/>
                <w:kern w:val="0"/>
                <w:sz w:val="22"/>
                <w:szCs w:val="22"/>
              </w:rPr>
              <w:br w:type="textWrapping"/>
            </w:r>
            <w:r>
              <w:rPr>
                <w:rFonts w:eastAsia="仿宋_GB2312"/>
                <w:color w:val="000000"/>
                <w:kern w:val="0"/>
                <w:sz w:val="22"/>
                <w:szCs w:val="22"/>
              </w:rPr>
              <w:t>计划完成时间：按照项目实施计划或相关规定完成该项目所需的时间。</w:t>
            </w:r>
          </w:p>
        </w:tc>
        <w:tc>
          <w:tcPr>
            <w:tcW w:w="265" w:type="pct"/>
            <w:shd w:val="clear" w:color="auto" w:fill="auto"/>
            <w:vAlign w:val="center"/>
          </w:tcPr>
          <w:p w14:paraId="057E6CB5">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5E70F1D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r>
      <w:tr w14:paraId="195FF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11" w:type="pct"/>
            <w:vMerge w:val="continue"/>
            <w:shd w:val="clear" w:color="auto" w:fill="auto"/>
            <w:vAlign w:val="center"/>
          </w:tcPr>
          <w:p w14:paraId="6EED0B33">
            <w:pPr>
              <w:widowControl/>
              <w:spacing w:line="0" w:lineRule="atLeast"/>
              <w:jc w:val="center"/>
              <w:rPr>
                <w:rFonts w:eastAsia="仿宋_GB2312"/>
                <w:color w:val="000000"/>
                <w:kern w:val="0"/>
                <w:sz w:val="22"/>
                <w:szCs w:val="22"/>
              </w:rPr>
            </w:pPr>
          </w:p>
        </w:tc>
        <w:tc>
          <w:tcPr>
            <w:tcW w:w="286" w:type="pct"/>
            <w:shd w:val="clear" w:color="auto" w:fill="auto"/>
            <w:vAlign w:val="center"/>
          </w:tcPr>
          <w:p w14:paraId="40851ACB">
            <w:pPr>
              <w:widowControl/>
              <w:spacing w:line="0" w:lineRule="atLeast"/>
              <w:jc w:val="center"/>
              <w:rPr>
                <w:rFonts w:eastAsia="仿宋_GB2312"/>
                <w:color w:val="000000"/>
                <w:kern w:val="0"/>
                <w:sz w:val="22"/>
                <w:szCs w:val="22"/>
              </w:rPr>
            </w:pPr>
            <w:r>
              <w:rPr>
                <w:rFonts w:eastAsia="仿宋_GB2312"/>
                <w:color w:val="000000"/>
                <w:kern w:val="0"/>
                <w:sz w:val="22"/>
                <w:szCs w:val="22"/>
              </w:rPr>
              <w:t>产出成本</w:t>
            </w:r>
          </w:p>
        </w:tc>
        <w:tc>
          <w:tcPr>
            <w:tcW w:w="326" w:type="pct"/>
            <w:shd w:val="clear" w:color="auto" w:fill="auto"/>
            <w:vAlign w:val="center"/>
          </w:tcPr>
          <w:p w14:paraId="267CC99B">
            <w:pPr>
              <w:widowControl/>
              <w:spacing w:line="0" w:lineRule="atLeast"/>
              <w:jc w:val="center"/>
              <w:rPr>
                <w:rFonts w:eastAsia="仿宋_GB2312"/>
                <w:color w:val="000000"/>
                <w:kern w:val="0"/>
                <w:sz w:val="22"/>
                <w:szCs w:val="22"/>
              </w:rPr>
            </w:pPr>
            <w:r>
              <w:rPr>
                <w:rFonts w:eastAsia="仿宋_GB2312"/>
                <w:color w:val="000000"/>
                <w:kern w:val="0"/>
                <w:sz w:val="22"/>
                <w:szCs w:val="22"/>
              </w:rPr>
              <w:t>成本节约率</w:t>
            </w:r>
          </w:p>
        </w:tc>
        <w:tc>
          <w:tcPr>
            <w:tcW w:w="1036" w:type="pct"/>
            <w:shd w:val="clear" w:color="auto" w:fill="auto"/>
            <w:vAlign w:val="center"/>
          </w:tcPr>
          <w:p w14:paraId="0E765A92">
            <w:pPr>
              <w:widowControl/>
              <w:spacing w:line="0" w:lineRule="atLeast"/>
              <w:rPr>
                <w:rFonts w:eastAsia="仿宋_GB2312"/>
                <w:color w:val="000000"/>
                <w:kern w:val="0"/>
                <w:sz w:val="22"/>
                <w:szCs w:val="22"/>
              </w:rPr>
            </w:pPr>
            <w:r>
              <w:rPr>
                <w:rFonts w:eastAsia="仿宋_GB2312"/>
                <w:color w:val="000000"/>
                <w:kern w:val="0"/>
                <w:sz w:val="22"/>
                <w:szCs w:val="22"/>
              </w:rPr>
              <w:t>完成项目计划工作目标的实际节约成本与计划成本的比率，用以反映和考核项目的成本节约程度。</w:t>
            </w:r>
          </w:p>
        </w:tc>
        <w:tc>
          <w:tcPr>
            <w:tcW w:w="2380" w:type="pct"/>
            <w:shd w:val="clear" w:color="auto" w:fill="auto"/>
            <w:vAlign w:val="center"/>
          </w:tcPr>
          <w:p w14:paraId="1A03D591">
            <w:pPr>
              <w:widowControl/>
              <w:spacing w:line="0" w:lineRule="atLeast"/>
              <w:rPr>
                <w:rFonts w:eastAsia="仿宋_GB2312"/>
                <w:color w:val="000000"/>
                <w:kern w:val="0"/>
                <w:sz w:val="22"/>
                <w:szCs w:val="22"/>
              </w:rPr>
            </w:pPr>
            <w:r>
              <w:rPr>
                <w:rFonts w:eastAsia="仿宋_GB2312"/>
                <w:color w:val="000000"/>
                <w:kern w:val="0"/>
                <w:sz w:val="22"/>
                <w:szCs w:val="22"/>
              </w:rPr>
              <w:br w:type="textWrapping"/>
            </w:r>
            <w:r>
              <w:rPr>
                <w:rFonts w:eastAsia="仿宋_GB2312"/>
                <w:color w:val="000000"/>
                <w:kern w:val="0"/>
                <w:sz w:val="22"/>
                <w:szCs w:val="22"/>
              </w:rPr>
              <w:t>成本节约率=[（计划成本-实际成本）/计划成本]×100%。</w:t>
            </w:r>
            <w:r>
              <w:rPr>
                <w:rFonts w:eastAsia="仿宋_GB2312"/>
                <w:color w:val="000000"/>
                <w:kern w:val="0"/>
                <w:sz w:val="22"/>
                <w:szCs w:val="22"/>
              </w:rPr>
              <w:br w:type="textWrapping"/>
            </w:r>
            <w:r>
              <w:rPr>
                <w:rFonts w:eastAsia="仿宋_GB2312"/>
                <w:color w:val="000000"/>
                <w:kern w:val="0"/>
                <w:sz w:val="22"/>
                <w:szCs w:val="22"/>
              </w:rPr>
              <w:t>实际成本：项目实施单位如期、保质、保量完成既定工作目标实际所耗费的支出。</w:t>
            </w:r>
            <w:r>
              <w:rPr>
                <w:rFonts w:eastAsia="仿宋_GB2312"/>
                <w:color w:val="000000"/>
                <w:kern w:val="0"/>
                <w:sz w:val="22"/>
                <w:szCs w:val="22"/>
              </w:rPr>
              <w:br w:type="textWrapping"/>
            </w:r>
            <w:r>
              <w:rPr>
                <w:rFonts w:eastAsia="仿宋_GB2312"/>
                <w:color w:val="000000"/>
                <w:kern w:val="0"/>
                <w:sz w:val="22"/>
                <w:szCs w:val="22"/>
              </w:rPr>
              <w:t>计划成本：项目实施单位为完成工作目标计划安排的支出，一般以项目预算为参考。</w:t>
            </w:r>
          </w:p>
        </w:tc>
        <w:tc>
          <w:tcPr>
            <w:tcW w:w="265" w:type="pct"/>
            <w:shd w:val="clear" w:color="auto" w:fill="auto"/>
            <w:vAlign w:val="center"/>
          </w:tcPr>
          <w:p w14:paraId="004ABF82">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196D9D73">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9.63</w:t>
            </w:r>
          </w:p>
        </w:tc>
      </w:tr>
      <w:tr w14:paraId="3EA4FF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11" w:type="pct"/>
            <w:vMerge w:val="restart"/>
            <w:shd w:val="clear" w:color="auto" w:fill="auto"/>
            <w:vAlign w:val="center"/>
          </w:tcPr>
          <w:p w14:paraId="79BD84E8">
            <w:pPr>
              <w:widowControl/>
              <w:spacing w:line="0" w:lineRule="atLeast"/>
              <w:jc w:val="center"/>
              <w:rPr>
                <w:rFonts w:eastAsia="仿宋_GB2312"/>
                <w:color w:val="000000"/>
                <w:kern w:val="0"/>
                <w:sz w:val="22"/>
                <w:szCs w:val="22"/>
              </w:rPr>
            </w:pPr>
            <w:r>
              <w:rPr>
                <w:rFonts w:eastAsia="仿宋_GB2312"/>
                <w:color w:val="000000"/>
                <w:kern w:val="0"/>
                <w:sz w:val="22"/>
                <w:szCs w:val="22"/>
              </w:rPr>
              <w:t>效益　</w:t>
            </w:r>
          </w:p>
        </w:tc>
        <w:tc>
          <w:tcPr>
            <w:tcW w:w="286" w:type="pct"/>
            <w:vMerge w:val="restart"/>
            <w:shd w:val="clear" w:color="auto" w:fill="auto"/>
            <w:vAlign w:val="center"/>
          </w:tcPr>
          <w:p w14:paraId="11EDEF7A">
            <w:pPr>
              <w:widowControl/>
              <w:spacing w:line="0" w:lineRule="atLeast"/>
              <w:jc w:val="center"/>
              <w:rPr>
                <w:rFonts w:eastAsia="仿宋_GB2312"/>
                <w:color w:val="000000"/>
                <w:kern w:val="0"/>
                <w:sz w:val="22"/>
                <w:szCs w:val="22"/>
              </w:rPr>
            </w:pPr>
            <w:r>
              <w:rPr>
                <w:rFonts w:eastAsia="仿宋_GB2312"/>
                <w:color w:val="000000"/>
                <w:kern w:val="0"/>
                <w:sz w:val="22"/>
                <w:szCs w:val="22"/>
              </w:rPr>
              <w:t>项目效益　</w:t>
            </w:r>
          </w:p>
        </w:tc>
        <w:tc>
          <w:tcPr>
            <w:tcW w:w="326" w:type="pct"/>
            <w:shd w:val="clear" w:color="auto" w:fill="auto"/>
            <w:vAlign w:val="center"/>
          </w:tcPr>
          <w:p w14:paraId="731C63F7">
            <w:pPr>
              <w:widowControl/>
              <w:spacing w:line="0" w:lineRule="atLeast"/>
              <w:jc w:val="center"/>
              <w:rPr>
                <w:rFonts w:eastAsia="仿宋_GB2312"/>
                <w:color w:val="000000"/>
                <w:kern w:val="0"/>
                <w:sz w:val="22"/>
                <w:szCs w:val="22"/>
              </w:rPr>
            </w:pPr>
            <w:r>
              <w:rPr>
                <w:rFonts w:eastAsia="仿宋_GB2312"/>
                <w:color w:val="000000"/>
                <w:kern w:val="0"/>
                <w:sz w:val="22"/>
                <w:szCs w:val="22"/>
              </w:rPr>
              <w:t>实施效益</w:t>
            </w:r>
          </w:p>
        </w:tc>
        <w:tc>
          <w:tcPr>
            <w:tcW w:w="1036" w:type="pct"/>
            <w:shd w:val="clear" w:color="auto" w:fill="auto"/>
            <w:vAlign w:val="center"/>
          </w:tcPr>
          <w:p w14:paraId="75F745CA">
            <w:pPr>
              <w:widowControl/>
              <w:spacing w:line="0" w:lineRule="atLeast"/>
              <w:jc w:val="left"/>
              <w:rPr>
                <w:rFonts w:eastAsia="仿宋_GB2312"/>
                <w:color w:val="000000"/>
                <w:kern w:val="0"/>
                <w:sz w:val="22"/>
                <w:szCs w:val="22"/>
              </w:rPr>
            </w:pPr>
            <w:r>
              <w:rPr>
                <w:rFonts w:eastAsia="仿宋_GB2312"/>
                <w:color w:val="000000"/>
                <w:kern w:val="0"/>
                <w:sz w:val="22"/>
                <w:szCs w:val="22"/>
              </w:rPr>
              <w:t>项目实施所产生的效益。</w:t>
            </w:r>
          </w:p>
        </w:tc>
        <w:tc>
          <w:tcPr>
            <w:tcW w:w="2380" w:type="pct"/>
            <w:shd w:val="clear" w:color="auto" w:fill="auto"/>
            <w:vAlign w:val="center"/>
          </w:tcPr>
          <w:p w14:paraId="0952F592">
            <w:pPr>
              <w:widowControl/>
              <w:spacing w:line="0" w:lineRule="atLeast"/>
              <w:rPr>
                <w:rFonts w:eastAsia="仿宋_GB2312"/>
                <w:color w:val="000000"/>
                <w:kern w:val="0"/>
                <w:sz w:val="22"/>
                <w:szCs w:val="22"/>
              </w:rPr>
            </w:pPr>
            <w:r>
              <w:rPr>
                <w:rFonts w:eastAsia="仿宋_GB2312"/>
                <w:color w:val="000000"/>
                <w:kern w:val="0"/>
                <w:sz w:val="22"/>
                <w:szCs w:val="22"/>
              </w:rPr>
              <w:t>项目实施所产生的社会效益、经济效益、生态效益、可持续影响等。可根据项目实际情况有选择地设置和细化。</w:t>
            </w:r>
          </w:p>
        </w:tc>
        <w:tc>
          <w:tcPr>
            <w:tcW w:w="265" w:type="pct"/>
            <w:shd w:val="clear" w:color="auto" w:fill="auto"/>
            <w:vAlign w:val="center"/>
          </w:tcPr>
          <w:p w14:paraId="3A384764">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5564EC7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r>
      <w:tr w14:paraId="7EF8C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11" w:type="pct"/>
            <w:vMerge w:val="continue"/>
            <w:shd w:val="clear" w:color="auto" w:fill="auto"/>
            <w:vAlign w:val="center"/>
          </w:tcPr>
          <w:p w14:paraId="3A3D4356">
            <w:pPr>
              <w:widowControl/>
              <w:spacing w:line="0" w:lineRule="atLeast"/>
              <w:jc w:val="center"/>
              <w:rPr>
                <w:rFonts w:eastAsia="仿宋_GB2312"/>
                <w:color w:val="000000"/>
                <w:kern w:val="0"/>
                <w:sz w:val="22"/>
                <w:szCs w:val="22"/>
              </w:rPr>
            </w:pPr>
          </w:p>
        </w:tc>
        <w:tc>
          <w:tcPr>
            <w:tcW w:w="286" w:type="pct"/>
            <w:vMerge w:val="continue"/>
            <w:shd w:val="clear" w:color="auto" w:fill="auto"/>
            <w:vAlign w:val="center"/>
          </w:tcPr>
          <w:p w14:paraId="6EFDF8DC">
            <w:pPr>
              <w:widowControl/>
              <w:spacing w:line="0" w:lineRule="atLeast"/>
              <w:jc w:val="center"/>
              <w:rPr>
                <w:rFonts w:eastAsia="仿宋_GB2312"/>
                <w:color w:val="000000"/>
                <w:kern w:val="0"/>
                <w:sz w:val="22"/>
                <w:szCs w:val="22"/>
              </w:rPr>
            </w:pPr>
          </w:p>
        </w:tc>
        <w:tc>
          <w:tcPr>
            <w:tcW w:w="326" w:type="pct"/>
            <w:shd w:val="clear" w:color="auto" w:fill="auto"/>
            <w:vAlign w:val="center"/>
          </w:tcPr>
          <w:p w14:paraId="4E77DBC5">
            <w:pPr>
              <w:widowControl/>
              <w:spacing w:line="0" w:lineRule="atLeast"/>
              <w:jc w:val="center"/>
              <w:rPr>
                <w:rFonts w:eastAsia="仿宋_GB2312"/>
                <w:color w:val="000000"/>
                <w:kern w:val="0"/>
                <w:sz w:val="22"/>
                <w:szCs w:val="22"/>
              </w:rPr>
            </w:pPr>
            <w:r>
              <w:rPr>
                <w:rFonts w:eastAsia="仿宋_GB2312"/>
                <w:color w:val="000000"/>
                <w:kern w:val="0"/>
                <w:sz w:val="22"/>
                <w:szCs w:val="22"/>
              </w:rPr>
              <w:t>满意度</w:t>
            </w:r>
          </w:p>
        </w:tc>
        <w:tc>
          <w:tcPr>
            <w:tcW w:w="1036" w:type="pct"/>
            <w:shd w:val="clear" w:color="auto" w:fill="auto"/>
            <w:vAlign w:val="center"/>
          </w:tcPr>
          <w:p w14:paraId="2D2C6551">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社会公众或服务对象对项目实施效果的满意程度。</w:t>
            </w:r>
          </w:p>
        </w:tc>
        <w:tc>
          <w:tcPr>
            <w:tcW w:w="2380" w:type="pct"/>
            <w:shd w:val="clear" w:color="auto" w:fill="auto"/>
            <w:vAlign w:val="center"/>
          </w:tcPr>
          <w:p w14:paraId="39ECC7EE">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社会公众或服务对象是指因该项目实施而受到影响的部门（单位）、群体或个人。一般采取社会调查的方式。</w:t>
            </w:r>
          </w:p>
        </w:tc>
        <w:tc>
          <w:tcPr>
            <w:tcW w:w="265" w:type="pct"/>
            <w:shd w:val="clear" w:color="auto" w:fill="auto"/>
            <w:vAlign w:val="center"/>
          </w:tcPr>
          <w:p w14:paraId="161A8E3F">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396" w:type="pct"/>
            <w:shd w:val="clear" w:color="auto" w:fill="auto"/>
            <w:vAlign w:val="center"/>
          </w:tcPr>
          <w:p w14:paraId="25A7338E">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r>
    </w:tbl>
    <w:p w14:paraId="65A801DE"/>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81D01F-5A25-4CE2-ABA8-BB905A14F43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78E9835-DCDB-4329-B1B4-4770D30CB604}"/>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3" w:fontKey="{D10D7FEB-46FE-4DCA-9B23-A0324CC675BF}"/>
  </w:font>
  <w:font w:name="华文中宋">
    <w:panose1 w:val="02010600040101010101"/>
    <w:charset w:val="86"/>
    <w:family w:val="auto"/>
    <w:pitch w:val="default"/>
    <w:sig w:usb0="00000287" w:usb1="080F0000" w:usb2="00000000" w:usb3="00000000" w:csb0="0004009F" w:csb1="DFD70000"/>
    <w:embedRegular r:id="rId4" w:fontKey="{DDF83447-293D-4680-9F76-8A6519C7E626}"/>
  </w:font>
  <w:font w:name="方正小标宋_GBK">
    <w:panose1 w:val="02000000000000000000"/>
    <w:charset w:val="86"/>
    <w:family w:val="script"/>
    <w:pitch w:val="default"/>
    <w:sig w:usb0="A00002BF" w:usb1="38CF7CFA" w:usb2="00082016" w:usb3="00000000" w:csb0="00040001" w:csb1="00000000"/>
    <w:embedRegular r:id="rId5" w:fontKey="{2BA51780-8E1F-4D3C-BB77-7016820A5B27}"/>
  </w:font>
  <w:font w:name="方正楷体_GB2312">
    <w:altName w:val="宋体"/>
    <w:panose1 w:val="02000000000000000000"/>
    <w:charset w:val="86"/>
    <w:family w:val="auto"/>
    <w:pitch w:val="default"/>
    <w:sig w:usb0="00000000" w:usb1="00000000" w:usb2="00000012" w:usb3="00000000" w:csb0="00040001" w:csb1="00000000"/>
    <w:embedRegular r:id="rId6" w:fontKey="{3735F4C3-7F2C-4180-BAF6-B92632DFA14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9204889">
        <w:pPr>
          <w:pStyle w:val="7"/>
          <w:jc w:val="center"/>
        </w:pPr>
        <w:r>
          <w:fldChar w:fldCharType="begin"/>
        </w:r>
        <w:r>
          <w:instrText xml:space="preserve">PAGE   \* MERGEFORMAT</w:instrText>
        </w:r>
        <w:r>
          <w:fldChar w:fldCharType="separate"/>
        </w:r>
        <w:r>
          <w:rPr>
            <w:lang w:val="zh-CN"/>
          </w:rPr>
          <w:t>2</w:t>
        </w:r>
        <w:r>
          <w:rPr>
            <w:lang w:val="zh-CN"/>
          </w:rPr>
          <w:fldChar w:fldCharType="end"/>
        </w:r>
      </w:p>
    </w:sdtContent>
  </w:sdt>
  <w:p w14:paraId="63524D11">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062FE8"/>
    <w:rsid w:val="001665E3"/>
    <w:rsid w:val="00197640"/>
    <w:rsid w:val="00244B6F"/>
    <w:rsid w:val="00310EFC"/>
    <w:rsid w:val="00333B89"/>
    <w:rsid w:val="003505C0"/>
    <w:rsid w:val="00352477"/>
    <w:rsid w:val="003A03BD"/>
    <w:rsid w:val="005168C1"/>
    <w:rsid w:val="0054250E"/>
    <w:rsid w:val="005E5170"/>
    <w:rsid w:val="00613091"/>
    <w:rsid w:val="00615FE6"/>
    <w:rsid w:val="0068628F"/>
    <w:rsid w:val="006A046D"/>
    <w:rsid w:val="006F7242"/>
    <w:rsid w:val="007B168A"/>
    <w:rsid w:val="008704BC"/>
    <w:rsid w:val="0089233F"/>
    <w:rsid w:val="008A09E8"/>
    <w:rsid w:val="008B2CFE"/>
    <w:rsid w:val="00905D2C"/>
    <w:rsid w:val="00910667"/>
    <w:rsid w:val="009A2962"/>
    <w:rsid w:val="00A733CC"/>
    <w:rsid w:val="00A95445"/>
    <w:rsid w:val="00BE2C32"/>
    <w:rsid w:val="00C77D46"/>
    <w:rsid w:val="00C80DA1"/>
    <w:rsid w:val="00C854F2"/>
    <w:rsid w:val="00D037E4"/>
    <w:rsid w:val="00D16903"/>
    <w:rsid w:val="00D3666D"/>
    <w:rsid w:val="00D561EF"/>
    <w:rsid w:val="00D65D94"/>
    <w:rsid w:val="00EA3D1F"/>
    <w:rsid w:val="00EC02A6"/>
    <w:rsid w:val="00F26FF6"/>
    <w:rsid w:val="0176587A"/>
    <w:rsid w:val="048C0C43"/>
    <w:rsid w:val="07397B77"/>
    <w:rsid w:val="07B676EC"/>
    <w:rsid w:val="0A8F799E"/>
    <w:rsid w:val="0E2F243C"/>
    <w:rsid w:val="13471461"/>
    <w:rsid w:val="13B90F01"/>
    <w:rsid w:val="17205F9E"/>
    <w:rsid w:val="181066D2"/>
    <w:rsid w:val="1853368B"/>
    <w:rsid w:val="1C671E73"/>
    <w:rsid w:val="1D422E7F"/>
    <w:rsid w:val="21551C75"/>
    <w:rsid w:val="274F0D9D"/>
    <w:rsid w:val="35B61E57"/>
    <w:rsid w:val="38CA40DD"/>
    <w:rsid w:val="395F2B56"/>
    <w:rsid w:val="3BECE841"/>
    <w:rsid w:val="3C4845AA"/>
    <w:rsid w:val="3DE77067"/>
    <w:rsid w:val="3F3C7A12"/>
    <w:rsid w:val="3FF7797D"/>
    <w:rsid w:val="447B120C"/>
    <w:rsid w:val="4A185268"/>
    <w:rsid w:val="5BFF6039"/>
    <w:rsid w:val="5CEC7901"/>
    <w:rsid w:val="5D435C2E"/>
    <w:rsid w:val="5D76A616"/>
    <w:rsid w:val="5D7F20B9"/>
    <w:rsid w:val="5DAC7D0E"/>
    <w:rsid w:val="5F98B5AF"/>
    <w:rsid w:val="5FFE8511"/>
    <w:rsid w:val="5FFEACE2"/>
    <w:rsid w:val="643EE26D"/>
    <w:rsid w:val="651B5F9F"/>
    <w:rsid w:val="654F1AD9"/>
    <w:rsid w:val="6F5C41AC"/>
    <w:rsid w:val="6FAF6C78"/>
    <w:rsid w:val="7317C656"/>
    <w:rsid w:val="734ED73F"/>
    <w:rsid w:val="73740A39"/>
    <w:rsid w:val="761A2FCF"/>
    <w:rsid w:val="772B5869"/>
    <w:rsid w:val="77FD8BE9"/>
    <w:rsid w:val="79A9BD3F"/>
    <w:rsid w:val="7BFFFDD0"/>
    <w:rsid w:val="7C336E5F"/>
    <w:rsid w:val="7CA3074C"/>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line="560" w:lineRule="exact"/>
      <w:ind w:firstLine="643" w:firstLineChars="200"/>
      <w:outlineLvl w:val="0"/>
    </w:pPr>
    <w:rPr>
      <w:rFonts w:ascii="仿宋" w:hAnsi="仿宋" w:eastAsia="仿宋"/>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4"/>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79E1-A5BC-445B-AE18-9ED52A5DCF5B}">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1916</Words>
  <Characters>2000</Characters>
  <Lines>84</Lines>
  <Paragraphs>23</Paragraphs>
  <TotalTime>3</TotalTime>
  <ScaleCrop>false</ScaleCrop>
  <LinksUpToDate>false</LinksUpToDate>
  <CharactersWithSpaces>2000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2024-03-26T03:36:00Z</dcterms:created>
  <dc:creator>审核人</dc:creator>
  <cp:lastModifiedBy>WPS_1591167138</cp:lastModifiedBy>
  <dcterms:modified xsi:type="dcterms:W3CDTF">2024-10-18T05:11:16Z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AC76FAC3A1B543E39DDFC254523AFABB</vt:lpwstr>
  </property>
</Properties>
</file>