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50860E">
      <w:pPr>
        <w:spacing w:line="540" w:lineRule="exact"/>
        <w:jc w:val="center"/>
        <w:rPr>
          <w:rFonts w:hint="default" w:ascii="Times New Roman" w:hAnsi="Times New Roman" w:eastAsia="华文中宋" w:cs="Times New Roman"/>
          <w:b/>
          <w:kern w:val="0"/>
          <w:sz w:val="52"/>
          <w:szCs w:val="52"/>
        </w:rPr>
      </w:pPr>
    </w:p>
    <w:p w14:paraId="71AC1113">
      <w:pPr>
        <w:spacing w:line="540" w:lineRule="exact"/>
        <w:rPr>
          <w:rFonts w:hint="default" w:ascii="Times New Roman" w:hAnsi="Times New Roman" w:eastAsia="华文中宋" w:cs="Times New Roman"/>
          <w:b/>
          <w:kern w:val="0"/>
          <w:sz w:val="52"/>
          <w:szCs w:val="52"/>
        </w:rPr>
      </w:pPr>
    </w:p>
    <w:p w14:paraId="1116C431">
      <w:pPr>
        <w:spacing w:line="540" w:lineRule="exact"/>
        <w:jc w:val="center"/>
        <w:rPr>
          <w:rFonts w:hint="default" w:ascii="Times New Roman" w:hAnsi="Times New Roman" w:eastAsia="华文中宋" w:cs="Times New Roman"/>
          <w:b/>
          <w:kern w:val="0"/>
          <w:sz w:val="52"/>
          <w:szCs w:val="52"/>
        </w:rPr>
      </w:pPr>
    </w:p>
    <w:p w14:paraId="73680082">
      <w:pPr>
        <w:spacing w:line="540" w:lineRule="exact"/>
        <w:jc w:val="center"/>
        <w:rPr>
          <w:rFonts w:hint="default" w:ascii="Times New Roman" w:hAnsi="Times New Roman" w:eastAsia="华文中宋" w:cs="Times New Roman"/>
          <w:b/>
          <w:kern w:val="0"/>
          <w:sz w:val="52"/>
          <w:szCs w:val="52"/>
        </w:rPr>
      </w:pPr>
    </w:p>
    <w:p w14:paraId="31E6AB2B">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lang w:val="en-US" w:eastAsia="zh-CN"/>
        </w:rPr>
        <w:t>2023年度中央支持地方公共文化服务体系建设补助资金</w:t>
      </w:r>
      <w:r>
        <w:rPr>
          <w:rFonts w:hint="eastAsia" w:eastAsia="方正小标宋_GBK" w:cs="Times New Roman"/>
          <w:kern w:val="0"/>
          <w:sz w:val="48"/>
          <w:szCs w:val="48"/>
          <w:lang w:val="en-US" w:eastAsia="zh-CN"/>
        </w:rPr>
        <w:t>项目</w:t>
      </w:r>
      <w:r>
        <w:rPr>
          <w:rFonts w:hint="default" w:ascii="Times New Roman" w:hAnsi="Times New Roman" w:eastAsia="方正小标宋_GBK" w:cs="Times New Roman"/>
          <w:kern w:val="0"/>
          <w:sz w:val="48"/>
          <w:szCs w:val="48"/>
        </w:rPr>
        <w:t>支出绩效评价报告</w:t>
      </w:r>
    </w:p>
    <w:p w14:paraId="2BB14A15">
      <w:pPr>
        <w:spacing w:line="540" w:lineRule="exact"/>
        <w:jc w:val="center"/>
        <w:rPr>
          <w:rFonts w:hint="default" w:ascii="Times New Roman" w:hAnsi="Times New Roman" w:eastAsia="华文中宋" w:cs="Times New Roman"/>
          <w:b/>
          <w:kern w:val="0"/>
          <w:sz w:val="52"/>
          <w:szCs w:val="52"/>
        </w:rPr>
      </w:pPr>
    </w:p>
    <w:p w14:paraId="3F766DE2">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 202</w:t>
      </w:r>
      <w:r>
        <w:rPr>
          <w:rFonts w:hint="eastAsia"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年度）</w:t>
      </w:r>
    </w:p>
    <w:p w14:paraId="5BA23BB6">
      <w:pPr>
        <w:spacing w:line="540" w:lineRule="exact"/>
        <w:jc w:val="center"/>
        <w:rPr>
          <w:rFonts w:hint="default" w:ascii="Times New Roman" w:hAnsi="Times New Roman" w:eastAsia="仿宋_GB2312" w:cs="Times New Roman"/>
          <w:kern w:val="0"/>
          <w:sz w:val="30"/>
          <w:szCs w:val="30"/>
        </w:rPr>
      </w:pPr>
    </w:p>
    <w:p w14:paraId="62A287A0">
      <w:pPr>
        <w:spacing w:line="540" w:lineRule="exact"/>
        <w:jc w:val="center"/>
        <w:rPr>
          <w:rFonts w:hint="default" w:ascii="Times New Roman" w:hAnsi="Times New Roman" w:eastAsia="仿宋_GB2312" w:cs="Times New Roman"/>
          <w:kern w:val="0"/>
          <w:sz w:val="30"/>
          <w:szCs w:val="30"/>
        </w:rPr>
      </w:pPr>
    </w:p>
    <w:p w14:paraId="360D3609">
      <w:pPr>
        <w:spacing w:line="540" w:lineRule="exact"/>
        <w:jc w:val="center"/>
        <w:rPr>
          <w:rFonts w:hint="default" w:ascii="Times New Roman" w:hAnsi="Times New Roman" w:eastAsia="仿宋_GB2312" w:cs="Times New Roman"/>
          <w:kern w:val="0"/>
          <w:sz w:val="30"/>
          <w:szCs w:val="30"/>
        </w:rPr>
      </w:pPr>
    </w:p>
    <w:p w14:paraId="784AF340">
      <w:pPr>
        <w:pStyle w:val="11"/>
        <w:rPr>
          <w:rFonts w:hint="default" w:ascii="Times New Roman" w:hAnsi="Times New Roman" w:cs="Times New Roman"/>
        </w:rPr>
      </w:pPr>
    </w:p>
    <w:p w14:paraId="78D04EBD">
      <w:pPr>
        <w:spacing w:line="540" w:lineRule="exact"/>
        <w:jc w:val="center"/>
        <w:rPr>
          <w:rFonts w:hint="default" w:ascii="Times New Roman" w:hAnsi="Times New Roman" w:eastAsia="仿宋_GB2312" w:cs="Times New Roman"/>
          <w:kern w:val="0"/>
          <w:sz w:val="30"/>
          <w:szCs w:val="30"/>
        </w:rPr>
      </w:pPr>
    </w:p>
    <w:p w14:paraId="6AC65159">
      <w:pPr>
        <w:spacing w:line="540" w:lineRule="exact"/>
        <w:rPr>
          <w:rFonts w:hint="default" w:ascii="Times New Roman" w:hAnsi="Times New Roman" w:eastAsia="仿宋_GB2312" w:cs="Times New Roman"/>
          <w:kern w:val="0"/>
          <w:sz w:val="30"/>
          <w:szCs w:val="30"/>
        </w:rPr>
      </w:pPr>
    </w:p>
    <w:p w14:paraId="2A3B8D49">
      <w:pPr>
        <w:spacing w:line="700" w:lineRule="exact"/>
        <w:ind w:left="3236" w:leftChars="684" w:hanging="1800" w:hangingChars="5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项目名称：</w:t>
      </w:r>
      <w:r>
        <w:rPr>
          <w:rFonts w:hint="eastAsia" w:eastAsia="仿宋_GB2312" w:cs="Times New Roman"/>
          <w:kern w:val="0"/>
          <w:sz w:val="36"/>
          <w:szCs w:val="36"/>
          <w:lang w:val="en-US" w:eastAsia="zh-CN"/>
        </w:rPr>
        <w:t>2023年度中央支持地方公共文化服务体系建设补助资金</w:t>
      </w:r>
    </w:p>
    <w:p w14:paraId="22A27017">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实施单位（公章）：</w:t>
      </w:r>
      <w:r>
        <w:rPr>
          <w:rFonts w:hint="eastAsia" w:eastAsia="仿宋_GB2312" w:cs="Times New Roman"/>
          <w:kern w:val="0"/>
          <w:sz w:val="36"/>
          <w:szCs w:val="36"/>
          <w:lang w:val="en-US" w:eastAsia="zh-CN"/>
        </w:rPr>
        <w:t>哈密市融媒体中心</w:t>
      </w:r>
    </w:p>
    <w:p w14:paraId="6E896CB9">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主管部门（公章）：</w:t>
      </w:r>
      <w:r>
        <w:rPr>
          <w:rFonts w:hint="eastAsia" w:eastAsia="仿宋_GB2312" w:cs="Times New Roman"/>
          <w:kern w:val="0"/>
          <w:sz w:val="36"/>
          <w:szCs w:val="36"/>
          <w:lang w:val="en-US" w:eastAsia="zh-CN"/>
        </w:rPr>
        <w:t>哈密市融媒体中心</w:t>
      </w:r>
    </w:p>
    <w:p w14:paraId="3BC92955">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项目负责人（签章）：</w:t>
      </w:r>
      <w:r>
        <w:rPr>
          <w:rFonts w:hint="eastAsia" w:eastAsia="仿宋_GB2312" w:cs="Times New Roman"/>
          <w:kern w:val="0"/>
          <w:sz w:val="36"/>
          <w:szCs w:val="36"/>
          <w:lang w:val="en-US" w:eastAsia="zh-CN"/>
        </w:rPr>
        <w:t>史德新</w:t>
      </w:r>
    </w:p>
    <w:p w14:paraId="364C3606">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default" w:ascii="Times New Roman" w:hAnsi="Times New Roman" w:eastAsia="仿宋_GB2312" w:cs="Times New Roman"/>
          <w:kern w:val="0"/>
          <w:sz w:val="36"/>
          <w:szCs w:val="36"/>
          <w:lang w:val="en-US" w:eastAsia="zh-CN"/>
        </w:rPr>
        <w:t>202</w:t>
      </w:r>
      <w:r>
        <w:rPr>
          <w:rFonts w:hint="eastAsia"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w:t>
      </w:r>
      <w:r>
        <w:rPr>
          <w:rFonts w:hint="eastAsia"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月</w:t>
      </w:r>
      <w:r>
        <w:rPr>
          <w:rFonts w:hint="eastAsia" w:eastAsia="仿宋_GB2312" w:cs="Times New Roman"/>
          <w:kern w:val="0"/>
          <w:sz w:val="36"/>
          <w:szCs w:val="36"/>
          <w:lang w:val="en-US" w:eastAsia="zh-CN"/>
        </w:rPr>
        <w:t>16</w:t>
      </w:r>
      <w:r>
        <w:rPr>
          <w:rFonts w:hint="default" w:ascii="Times New Roman" w:hAnsi="Times New Roman" w:eastAsia="仿宋_GB2312" w:cs="Times New Roman"/>
          <w:kern w:val="0"/>
          <w:sz w:val="36"/>
          <w:szCs w:val="36"/>
        </w:rPr>
        <w:t>日</w:t>
      </w:r>
    </w:p>
    <w:p w14:paraId="064BEC71">
      <w:pPr>
        <w:spacing w:line="540" w:lineRule="exact"/>
        <w:jc w:val="center"/>
        <w:rPr>
          <w:rFonts w:hint="default" w:ascii="Times New Roman" w:hAnsi="Times New Roman" w:eastAsia="仿宋_GB2312" w:cs="Times New Roman"/>
          <w:kern w:val="0"/>
          <w:sz w:val="30"/>
          <w:szCs w:val="30"/>
        </w:rPr>
      </w:pPr>
    </w:p>
    <w:p w14:paraId="75AEB56A">
      <w:pPr>
        <w:spacing w:line="560" w:lineRule="exact"/>
        <w:rPr>
          <w:rFonts w:hint="default" w:ascii="Times New Roman" w:hAnsi="Times New Roman" w:eastAsia="黑体" w:cs="Times New Roman"/>
          <w:bCs/>
          <w:sz w:val="32"/>
          <w:szCs w:val="32"/>
        </w:rPr>
        <w:sectPr>
          <w:footerReference r:id="rId3" w:type="default"/>
          <w:pgSz w:w="11906" w:h="16838"/>
          <w:pgMar w:top="1440" w:right="1558" w:bottom="1440" w:left="1800" w:header="851" w:footer="992" w:gutter="0"/>
          <w:cols w:space="425" w:num="1"/>
          <w:docGrid w:type="lines" w:linePitch="312" w:charSpace="0"/>
        </w:sectPr>
      </w:pPr>
    </w:p>
    <w:p w14:paraId="459042A5">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272DB976">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rPr>
        <w:t>（一）项目概况</w:t>
      </w:r>
    </w:p>
    <w:p w14:paraId="2278AFB2">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49A33516">
      <w:pPr>
        <w:ind w:firstLine="640" w:firstLineChars="200"/>
        <w:rPr>
          <w:rFonts w:hint="eastAsia" w:ascii="仿宋_GB2312" w:hAnsi="仿宋_GB2312" w:eastAsia="仿宋_GB2312" w:cs="仿宋_GB2312"/>
          <w:color w:val="auto"/>
          <w:sz w:val="32"/>
          <w:szCs w:val="32"/>
          <w:lang w:eastAsia="zh-CN"/>
        </w:rPr>
      </w:pPr>
      <w:r>
        <w:rPr>
          <w:rFonts w:hint="default" w:ascii="仿宋_GB2312" w:hAnsi="仿宋_GB2312" w:eastAsia="仿宋_GB2312" w:cs="仿宋_GB2312"/>
          <w:sz w:val="32"/>
          <w:szCs w:val="32"/>
          <w:lang w:val="en-US" w:eastAsia="zh-CN"/>
        </w:rPr>
        <w:t>随着我国经济社会的快速发展，人民生活水平日益提高，对精神文化生活的需求也愈发强烈。为满足人民群众日益增长的文化需求，提升国家文化软实力，中央决定设立补助资金，专项用于支持地方公共文化服务体系建设。</w:t>
      </w:r>
      <w:r>
        <w:rPr>
          <w:rFonts w:hint="eastAsia" w:ascii="仿宋_GB2312" w:hAnsi="仿宋_GB2312" w:eastAsia="仿宋_GB2312" w:cs="仿宋_GB2312"/>
          <w:sz w:val="32"/>
          <w:szCs w:val="32"/>
          <w:lang w:val="en-US" w:eastAsia="zh-CN"/>
        </w:rPr>
        <w:t>中央补助地方公共文化服务体系建设补助资金项目旨在通过资金投入，推动地方公共文化服务体系的建设和完善，提高公共文化服务水平，满足人民群众日益增长的文化需求。其中，云平台升级扩容改造项目作为本项目的重要组成部分，旨在通过技术升级和硬件扩容，提升云平台的服务能力和效率，为公共文化服务提供更加稳定、高效的技术支持。</w:t>
      </w:r>
      <w:r>
        <w:rPr>
          <w:rFonts w:hint="default" w:ascii="仿宋_GB2312" w:hAnsi="仿宋_GB2312" w:eastAsia="仿宋_GB2312" w:cs="仿宋_GB2312"/>
          <w:color w:val="auto"/>
          <w:sz w:val="32"/>
          <w:szCs w:val="32"/>
          <w:lang w:val="en-US" w:eastAsia="zh-CN"/>
        </w:rPr>
        <w:t>当前，随着公共文化服务需求的不断增长和信息技术的发展，原有的公共文化服务平台在处理能力、数据存储、服务质量等方面已不能满足新形势下的需求。为了更好地提供公共文化服务，提高服务效率和质量，必须对现有的云平台进行升级扩容改造。</w:t>
      </w:r>
    </w:p>
    <w:p w14:paraId="005D9AFE">
      <w:pPr>
        <w:ind w:firstLine="643" w:firstLineChars="200"/>
        <w:rPr>
          <w:rFonts w:hint="default" w:ascii="Times New Roman" w:hAnsi="Times New Roman" w:eastAsia="仿宋_GB2312" w:cs="Times New Roman"/>
          <w:b/>
          <w:bCs/>
          <w:sz w:val="32"/>
          <w:szCs w:val="32"/>
        </w:rPr>
      </w:pPr>
      <w:r>
        <w:rPr>
          <w:rFonts w:hint="eastAsia" w:eastAsia="仿宋_GB2312" w:cs="Times New Roman"/>
          <w:b/>
          <w:bCs/>
          <w:sz w:val="32"/>
          <w:szCs w:val="32"/>
          <w:lang w:val="en-US" w:eastAsia="zh-CN"/>
        </w:rPr>
        <w:t>2.</w:t>
      </w:r>
      <w:r>
        <w:rPr>
          <w:rFonts w:hint="default" w:ascii="Times New Roman" w:hAnsi="Times New Roman" w:eastAsia="仿宋_GB2312" w:cs="Times New Roman"/>
          <w:b/>
          <w:bCs/>
          <w:sz w:val="32"/>
          <w:szCs w:val="32"/>
        </w:rPr>
        <w:t>项目主要内容</w:t>
      </w:r>
    </w:p>
    <w:p w14:paraId="4F86F88F">
      <w:pPr>
        <w:ind w:firstLine="640" w:firstLineChars="200"/>
        <w:rPr>
          <w:rFonts w:hint="default" w:ascii="仿宋_GB2312" w:hAnsi="仿宋_GB2312" w:eastAsia="仿宋_GB2312" w:cs="仿宋_GB2312"/>
          <w:color w:val="FF0000"/>
          <w:sz w:val="32"/>
          <w:szCs w:val="32"/>
          <w:lang w:val="en-US" w:eastAsia="zh-CN"/>
        </w:rPr>
      </w:pPr>
      <w:r>
        <w:rPr>
          <w:rFonts w:hint="eastAsia" w:ascii="仿宋_GB2312" w:hAnsi="仿宋_GB2312" w:eastAsia="仿宋_GB2312" w:cs="仿宋_GB2312"/>
          <w:color w:val="000000"/>
          <w:sz w:val="32"/>
          <w:szCs w:val="32"/>
        </w:rPr>
        <w:t>按照</w:t>
      </w:r>
      <w:r>
        <w:rPr>
          <w:rFonts w:hint="eastAsia" w:ascii="仿宋_GB2312" w:hAnsi="仿宋_GB2312" w:eastAsia="仿宋_GB2312" w:cs="仿宋_GB2312"/>
          <w:color w:val="000000"/>
          <w:sz w:val="32"/>
          <w:szCs w:val="32"/>
          <w:lang w:eastAsia="zh-CN"/>
        </w:rPr>
        <w:t>哈密</w:t>
      </w:r>
      <w:r>
        <w:rPr>
          <w:rFonts w:hint="eastAsia" w:ascii="仿宋_GB2312" w:hAnsi="仿宋_GB2312" w:eastAsia="仿宋_GB2312" w:cs="仿宋_GB2312"/>
          <w:color w:val="000000"/>
          <w:sz w:val="32"/>
          <w:szCs w:val="32"/>
        </w:rPr>
        <w:t>市委媒体融合</w:t>
      </w:r>
      <w:r>
        <w:rPr>
          <w:rFonts w:hint="eastAsia" w:ascii="仿宋_GB2312" w:hAnsi="仿宋_GB2312" w:eastAsia="仿宋_GB2312" w:cs="仿宋_GB2312"/>
          <w:color w:val="000000"/>
          <w:sz w:val="32"/>
          <w:szCs w:val="32"/>
          <w:lang w:val="en-US" w:eastAsia="zh-CN"/>
        </w:rPr>
        <w:t>发展建设全媒体融合传播体系、</w:t>
      </w:r>
      <w:r>
        <w:rPr>
          <w:rFonts w:hint="eastAsia" w:ascii="仿宋_GB2312" w:hAnsi="仿宋_GB2312" w:eastAsia="仿宋_GB2312" w:cs="仿宋_GB2312"/>
          <w:color w:val="000000"/>
          <w:sz w:val="32"/>
          <w:szCs w:val="32"/>
        </w:rPr>
        <w:t>宣传网信媒体高效协同体系</w:t>
      </w:r>
      <w:r>
        <w:rPr>
          <w:rFonts w:hint="eastAsia" w:ascii="仿宋_GB2312" w:hAnsi="仿宋_GB2312" w:eastAsia="仿宋_GB2312" w:cs="仿宋_GB2312"/>
          <w:color w:val="000000"/>
          <w:sz w:val="32"/>
          <w:szCs w:val="32"/>
          <w:lang w:val="en-US" w:eastAsia="zh-CN"/>
        </w:rPr>
        <w:t>和</w:t>
      </w:r>
      <w:r>
        <w:rPr>
          <w:rFonts w:hint="eastAsia" w:ascii="仿宋_GB2312" w:hAnsi="仿宋_GB2312" w:eastAsia="仿宋_GB2312" w:cs="仿宋_GB2312"/>
          <w:color w:val="000000"/>
          <w:sz w:val="32"/>
          <w:szCs w:val="32"/>
        </w:rPr>
        <w:t>“新闻+政务+服务+商务</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运营体系</w:t>
      </w:r>
      <w:r>
        <w:rPr>
          <w:rFonts w:hint="eastAsia" w:ascii="仿宋_GB2312" w:hAnsi="仿宋_GB2312" w:eastAsia="仿宋_GB2312" w:cs="仿宋_GB2312"/>
          <w:color w:val="000000"/>
          <w:sz w:val="32"/>
          <w:szCs w:val="32"/>
          <w:lang w:val="en-US" w:eastAsia="zh-CN"/>
        </w:rPr>
        <w:t>等</w:t>
      </w:r>
      <w:r>
        <w:rPr>
          <w:rFonts w:hint="eastAsia" w:ascii="仿宋_GB2312" w:hAnsi="仿宋_GB2312" w:eastAsia="仿宋_GB2312" w:cs="仿宋_GB2312"/>
          <w:color w:val="000000"/>
          <w:sz w:val="32"/>
          <w:szCs w:val="32"/>
        </w:rPr>
        <w:t>“三大体系</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的顶层设计</w:t>
      </w:r>
      <w:r>
        <w:rPr>
          <w:rFonts w:hint="eastAsia" w:ascii="仿宋_GB2312" w:hAnsi="仿宋_GB2312" w:eastAsia="仿宋_GB2312" w:cs="仿宋_GB2312"/>
          <w:color w:val="000000"/>
          <w:sz w:val="32"/>
          <w:szCs w:val="32"/>
          <w:lang w:val="en-US" w:eastAsia="zh-CN"/>
        </w:rPr>
        <w:t>要求</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坚持移动优先，</w:t>
      </w:r>
      <w:r>
        <w:rPr>
          <w:rFonts w:hint="eastAsia" w:ascii="仿宋_GB2312" w:hAnsi="仿宋_GB2312" w:eastAsia="仿宋_GB2312" w:cs="仿宋_GB2312"/>
          <w:sz w:val="32"/>
          <w:szCs w:val="32"/>
        </w:rPr>
        <w:t>围绕</w:t>
      </w:r>
      <w:r>
        <w:rPr>
          <w:rFonts w:hint="eastAsia" w:ascii="仿宋_GB2312" w:hAnsi="仿宋_GB2312" w:eastAsia="仿宋_GB2312" w:cs="仿宋_GB2312"/>
          <w:sz w:val="32"/>
          <w:szCs w:val="32"/>
          <w:lang w:val="en-US" w:eastAsia="zh-CN"/>
        </w:rPr>
        <w:t>融媒体</w:t>
      </w:r>
      <w:r>
        <w:rPr>
          <w:rFonts w:hint="eastAsia" w:ascii="仿宋_GB2312" w:hAnsi="仿宋_GB2312" w:eastAsia="仿宋_GB2312" w:cs="仿宋_GB2312"/>
          <w:b w:val="0"/>
          <w:bCs w:val="0"/>
          <w:kern w:val="0"/>
          <w:sz w:val="32"/>
          <w:szCs w:val="32"/>
          <w:shd w:val="clear" w:color="auto" w:fill="FFFFFF"/>
          <w:lang w:val="en-US" w:eastAsia="zh-CN" w:bidi="ar"/>
        </w:rPr>
        <w:t>“</w:t>
      </w:r>
      <w:r>
        <w:rPr>
          <w:rFonts w:hint="eastAsia" w:ascii="仿宋_GB2312" w:hAnsi="仿宋_GB2312" w:eastAsia="仿宋_GB2312" w:cs="仿宋_GB2312"/>
          <w:b w:val="0"/>
          <w:bCs w:val="0"/>
          <w:color w:val="auto"/>
          <w:sz w:val="32"/>
          <w:szCs w:val="32"/>
          <w:u w:val="none"/>
        </w:rPr>
        <w:t>引导群众、服务群众</w:t>
      </w:r>
      <w:r>
        <w:rPr>
          <w:rFonts w:hint="eastAsia" w:ascii="仿宋_GB2312" w:hAnsi="仿宋_GB2312" w:eastAsia="仿宋_GB2312" w:cs="仿宋_GB2312"/>
          <w:b w:val="0"/>
          <w:bCs w:val="0"/>
          <w:color w:val="auto"/>
          <w:sz w:val="32"/>
          <w:szCs w:val="32"/>
          <w:u w:val="none"/>
          <w:lang w:eastAsia="zh-CN"/>
        </w:rPr>
        <w:t>”</w:t>
      </w:r>
      <w:r>
        <w:rPr>
          <w:rFonts w:hint="eastAsia" w:ascii="仿宋_GB2312" w:hAnsi="仿宋_GB2312" w:eastAsia="仿宋_GB2312" w:cs="仿宋_GB2312"/>
          <w:b w:val="0"/>
          <w:bCs/>
          <w:color w:val="auto"/>
          <w:sz w:val="32"/>
          <w:szCs w:val="32"/>
          <w:u w:val="none"/>
          <w:lang w:val="en-US" w:eastAsia="zh-CN"/>
        </w:rPr>
        <w:t>的工作任务，2022年3月，</w:t>
      </w:r>
      <w:r>
        <w:rPr>
          <w:rFonts w:hint="eastAsia" w:ascii="仿宋_GB2312" w:hAnsi="仿宋_GB2312" w:eastAsia="仿宋_GB2312" w:cs="仿宋_GB2312"/>
          <w:color w:val="000000"/>
          <w:sz w:val="32"/>
          <w:szCs w:val="32"/>
          <w:lang w:val="en-US" w:eastAsia="zh-CN"/>
        </w:rPr>
        <w:t>哈密市融媒体中心启动实施“哈密市融媒体中心云平台升级扩容改造项目”</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该项目主要</w:t>
      </w:r>
      <w:r>
        <w:rPr>
          <w:rFonts w:hint="eastAsia" w:ascii="仿宋_GB2312" w:hAnsi="仿宋_GB2312" w:eastAsia="仿宋_GB2312" w:cs="仿宋_GB2312"/>
          <w:color w:val="000000"/>
          <w:sz w:val="32"/>
          <w:szCs w:val="32"/>
        </w:rPr>
        <w:t>围绕融媒体平台完善升级、魅力哈密建设、主题应用搭建、标准规范体系建设几方面，打造哈密市政务和民生掌上一站式服务窗口，全面提升城市服务效率，最终打造一个“新闻资讯+政务服务+便民生活”的一站式城市统一入口</w:t>
      </w:r>
      <w:r>
        <w:rPr>
          <w:rFonts w:hint="eastAsia" w:ascii="仿宋_GB2312" w:hAnsi="仿宋_GB2312" w:eastAsia="仿宋_GB2312" w:cs="仿宋_GB2312"/>
          <w:color w:val="000000"/>
          <w:sz w:val="32"/>
          <w:szCs w:val="32"/>
          <w:lang w:eastAsia="zh-CN"/>
        </w:rPr>
        <w:t>。</w:t>
      </w:r>
    </w:p>
    <w:p w14:paraId="04018ED1">
      <w:pPr>
        <w:ind w:firstLine="640" w:firstLineChars="200"/>
        <w:rPr>
          <w:rFonts w:hint="default"/>
          <w:lang w:val="en-US"/>
        </w:rPr>
      </w:pPr>
      <w:r>
        <w:rPr>
          <w:rFonts w:hint="eastAsia" w:ascii="仿宋_GB2312" w:hAnsi="仿宋_GB2312" w:eastAsia="仿宋_GB2312" w:cs="仿宋_GB2312"/>
          <w:color w:val="auto"/>
          <w:sz w:val="32"/>
          <w:szCs w:val="32"/>
          <w:lang w:val="en-US" w:eastAsia="zh-CN"/>
        </w:rPr>
        <w:t>推动</w:t>
      </w:r>
      <w:r>
        <w:rPr>
          <w:rFonts w:hint="default" w:ascii="仿宋_GB2312" w:hAnsi="仿宋_GB2312" w:eastAsia="仿宋_GB2312" w:cs="仿宋_GB2312"/>
          <w:sz w:val="32"/>
          <w:szCs w:val="32"/>
          <w:lang w:val="en-US" w:eastAsia="zh-CN"/>
        </w:rPr>
        <w:t>中央补助地方公共文化服务体系建设补助资金项目</w:t>
      </w:r>
      <w:r>
        <w:rPr>
          <w:rFonts w:hint="eastAsia" w:ascii="仿宋_GB2312" w:hAnsi="仿宋_GB2312" w:eastAsia="仿宋_GB2312" w:cs="仿宋_GB2312"/>
          <w:sz w:val="32"/>
          <w:szCs w:val="32"/>
          <w:lang w:val="en-US" w:eastAsia="zh-CN"/>
        </w:rPr>
        <w:t>升级哈密</w:t>
      </w:r>
      <w:r>
        <w:rPr>
          <w:rFonts w:hint="default" w:ascii="仿宋_GB2312" w:hAnsi="仿宋_GB2312" w:eastAsia="仿宋_GB2312" w:cs="仿宋_GB2312"/>
          <w:sz w:val="32"/>
          <w:szCs w:val="32"/>
          <w:lang w:val="en-US" w:eastAsia="zh-CN"/>
        </w:rPr>
        <w:t>云平台</w:t>
      </w:r>
      <w:r>
        <w:rPr>
          <w:rFonts w:hint="eastAsia" w:ascii="仿宋_GB2312" w:hAnsi="仿宋_GB2312" w:eastAsia="仿宋_GB2312" w:cs="仿宋_GB2312"/>
          <w:sz w:val="32"/>
          <w:szCs w:val="32"/>
          <w:lang w:val="en-US" w:eastAsia="zh-CN"/>
        </w:rPr>
        <w:t>，完善标准规范体系建设，保障平台智能化运维，与现有国家融媒平台及区县上接下连对接。</w:t>
      </w:r>
    </w:p>
    <w:p w14:paraId="509F1D66">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bCs/>
          <w:sz w:val="32"/>
          <w:szCs w:val="32"/>
        </w:rPr>
        <w:t>资金投入和使用情况</w:t>
      </w:r>
    </w:p>
    <w:p w14:paraId="2CB44753">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eastAsia="仿宋_GB2312" w:cs="Times New Roman"/>
          <w:b/>
          <w:bCs/>
          <w:sz w:val="32"/>
          <w:szCs w:val="32"/>
          <w:lang w:val="en-US" w:eastAsia="zh-CN"/>
        </w:rPr>
      </w:pPr>
      <w:r>
        <w:rPr>
          <w:rFonts w:hint="eastAsia" w:eastAsia="仿宋_GB2312" w:cs="Times New Roman"/>
          <w:b/>
          <w:bCs/>
          <w:sz w:val="32"/>
          <w:szCs w:val="32"/>
          <w:lang w:val="en-US" w:eastAsia="zh-CN"/>
        </w:rPr>
        <w:t>（1）资金投入情况</w:t>
      </w:r>
    </w:p>
    <w:p w14:paraId="7FE63979">
      <w:pPr>
        <w:spacing w:line="700" w:lineRule="exact"/>
        <w:ind w:firstLine="640" w:firstLineChars="200"/>
        <w:jc w:val="left"/>
        <w:rPr>
          <w:rFonts w:hint="default" w:ascii="仿宋_GB2312" w:hAnsi="仿宋_GB2312" w:eastAsia="仿宋_GB2312" w:cs="仿宋_GB2312"/>
          <w:sz w:val="32"/>
          <w:szCs w:val="32"/>
          <w:lang w:val="en-US" w:eastAsia="zh-CN"/>
        </w:rPr>
      </w:pPr>
      <w:r>
        <w:rPr>
          <w:rFonts w:hint="default" w:ascii="Times New Roman" w:hAnsi="Times New Roman" w:eastAsia="仿宋_GB2312" w:cs="Times New Roman"/>
          <w:kern w:val="0"/>
          <w:sz w:val="32"/>
          <w:szCs w:val="32"/>
        </w:rPr>
        <w:t>中央补助地方公共文化服务体系建设补助资金项目</w:t>
      </w:r>
      <w:r>
        <w:rPr>
          <w:rFonts w:hint="eastAsia" w:ascii="仿宋_GB2312" w:hAnsi="仿宋_GB2312" w:eastAsia="仿宋_GB2312" w:cs="仿宋_GB2312"/>
          <w:b w:val="0"/>
          <w:bCs w:val="0"/>
          <w:sz w:val="32"/>
          <w:szCs w:val="32"/>
          <w:lang w:val="en-US" w:eastAsia="zh-CN"/>
        </w:rPr>
        <w:t>2023年总预算资金440万元，项目资金为</w:t>
      </w:r>
      <w:r>
        <w:rPr>
          <w:rFonts w:hint="eastAsia" w:ascii="仿宋_GB2312" w:hAnsi="仿宋_GB2312" w:eastAsia="仿宋_GB2312" w:cs="仿宋_GB2312"/>
          <w:b w:val="0"/>
          <w:bCs w:val="0"/>
          <w:color w:val="auto"/>
          <w:sz w:val="32"/>
          <w:szCs w:val="32"/>
          <w:lang w:val="en-US" w:eastAsia="zh-CN"/>
        </w:rPr>
        <w:t>中央财政资金</w:t>
      </w:r>
      <w:r>
        <w:rPr>
          <w:rFonts w:hint="eastAsia" w:ascii="仿宋_GB2312" w:hAnsi="仿宋_GB2312" w:eastAsia="仿宋_GB2312" w:cs="仿宋_GB2312"/>
          <w:b w:val="0"/>
          <w:bCs w:val="0"/>
          <w:sz w:val="32"/>
          <w:szCs w:val="32"/>
          <w:lang w:val="en-US" w:eastAsia="zh-CN"/>
        </w:rPr>
        <w:t>，项目资金到位数440万元，资金到位率100%。</w:t>
      </w:r>
    </w:p>
    <w:p w14:paraId="3242183A">
      <w:pPr>
        <w:pStyle w:val="11"/>
        <w:numPr>
          <w:ilvl w:val="0"/>
          <w:numId w:val="1"/>
        </w:numPr>
        <w:ind w:left="642" w:leftChars="0" w:firstLine="0" w:firstLineChars="0"/>
        <w:jc w:val="left"/>
        <w:rPr>
          <w:rFonts w:hint="eastAsia" w:eastAsia="仿宋_GB2312" w:cs="Times New Roman"/>
          <w:b/>
          <w:bCs/>
          <w:sz w:val="32"/>
          <w:szCs w:val="32"/>
          <w:lang w:val="en-US" w:eastAsia="zh-CN"/>
        </w:rPr>
      </w:pPr>
      <w:r>
        <w:rPr>
          <w:rFonts w:hint="eastAsia" w:eastAsia="仿宋_GB2312" w:cs="Times New Roman"/>
          <w:b/>
          <w:bCs/>
          <w:sz w:val="32"/>
          <w:szCs w:val="32"/>
          <w:lang w:val="en-US" w:eastAsia="zh-CN"/>
        </w:rPr>
        <w:t>资金使用情况</w:t>
      </w:r>
    </w:p>
    <w:p w14:paraId="1238CDE0">
      <w:pPr>
        <w:numPr>
          <w:ilvl w:val="0"/>
          <w:numId w:val="0"/>
        </w:numPr>
        <w:ind w:firstLine="640" w:firstLineChars="200"/>
        <w:rPr>
          <w:rFonts w:hint="default" w:ascii="仿宋_GB2312" w:hAnsi="仿宋_GB2312" w:eastAsia="仿宋_GB2312" w:cs="仿宋_GB2312"/>
          <w:color w:val="auto"/>
          <w:sz w:val="32"/>
          <w:szCs w:val="32"/>
          <w:lang w:val="en-US" w:eastAsia="zh-CN"/>
        </w:rPr>
      </w:pPr>
      <w:r>
        <w:rPr>
          <w:rFonts w:hint="default" w:ascii="Times New Roman" w:hAnsi="Times New Roman" w:eastAsia="仿宋_GB2312" w:cs="Times New Roman"/>
          <w:kern w:val="0"/>
          <w:sz w:val="32"/>
          <w:szCs w:val="32"/>
        </w:rPr>
        <w:t>中央补助地方公共文化服务体系建设补助资金</w:t>
      </w:r>
      <w:r>
        <w:rPr>
          <w:rFonts w:hint="eastAsia" w:ascii="仿宋_GB2312" w:hAnsi="仿宋_GB2312" w:eastAsia="仿宋_GB2312" w:cs="仿宋_GB2312"/>
          <w:sz w:val="32"/>
          <w:szCs w:val="32"/>
          <w:lang w:val="en-US" w:eastAsia="zh-CN"/>
        </w:rPr>
        <w:t>项目年初预算数440万元，全年预算数为440万元。截止2023年12月31日全年执行数440万元，预算执行率为100%，项目资金主要用于哈密市融媒体中心</w:t>
      </w:r>
      <w:r>
        <w:rPr>
          <w:rFonts w:hint="eastAsia" w:ascii="仿宋_GB2312" w:hAnsi="仿宋_GB2312" w:eastAsia="仿宋_GB2312" w:cs="仿宋_GB2312"/>
          <w:color w:val="auto"/>
          <w:sz w:val="32"/>
          <w:szCs w:val="32"/>
          <w:lang w:val="en-US" w:eastAsia="zh-CN"/>
        </w:rPr>
        <w:t>云平台升级扩容改造，购置专用设备等。</w:t>
      </w:r>
    </w:p>
    <w:p w14:paraId="6DE23476">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4.</w:t>
      </w:r>
      <w:r>
        <w:rPr>
          <w:rFonts w:hint="default" w:ascii="Times New Roman" w:hAnsi="Times New Roman" w:eastAsia="仿宋_GB2312" w:cs="Times New Roman"/>
          <w:b/>
          <w:bCs/>
          <w:sz w:val="32"/>
          <w:szCs w:val="32"/>
        </w:rPr>
        <w:t>实施情况</w:t>
      </w:r>
    </w:p>
    <w:p w14:paraId="60BD816E">
      <w:pPr>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哈密市融媒体中心2023年中央补助地方公共文化服务体系建设补助资金项目经费440万元，资金执行数为440万元。该项目内容包括：云平台升级改造项目及专用设备购置408.8万元和中央广播电视节目无线覆盖（数字）运行维护费31.2万元。</w:t>
      </w:r>
    </w:p>
    <w:p w14:paraId="543482D4">
      <w:pPr>
        <w:pStyle w:val="10"/>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default"/>
          <w:lang w:val="en-US" w:eastAsia="zh-CN"/>
        </w:rPr>
      </w:pPr>
      <w:r>
        <w:rPr>
          <w:rFonts w:hint="eastAsia" w:ascii="仿宋_GB2312" w:hAnsi="仿宋_GB2312" w:eastAsia="仿宋_GB2312" w:cs="仿宋_GB2312"/>
          <w:kern w:val="2"/>
          <w:sz w:val="32"/>
          <w:szCs w:val="32"/>
          <w:lang w:val="en-US" w:eastAsia="zh-CN" w:bidi="ar-SA"/>
        </w:rPr>
        <w:t>现阶段，承建方正在根据初验报告所提出的问题进行整改、查漏补缺，其次还在进行数据接入、数据中台展示客户端适配性调整等工作，该部分建设工作目前正在稳步推进中。争取2024年底前完成项目整体验收。</w:t>
      </w:r>
    </w:p>
    <w:p w14:paraId="19AF183A">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rPr>
        <w:t>（二）项目绩效目标</w:t>
      </w:r>
    </w:p>
    <w:p w14:paraId="09904872">
      <w:pPr>
        <w:pStyle w:val="11"/>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3" w:firstLineChars="200"/>
        <w:jc w:val="both"/>
        <w:textAlignment w:val="auto"/>
        <w:rPr>
          <w:rFonts w:hint="eastAsia" w:ascii="仿宋_GB2312" w:hAnsi="仿宋_GB2312" w:eastAsia="仿宋_GB2312" w:cs="仿宋_GB2312"/>
          <w:b/>
          <w:bCs/>
          <w:kern w:val="2"/>
          <w:sz w:val="32"/>
          <w:szCs w:val="32"/>
          <w:lang w:val="en-US" w:eastAsia="zh-CN"/>
        </w:rPr>
      </w:pPr>
      <w:r>
        <w:rPr>
          <w:rFonts w:hint="eastAsia" w:ascii="仿宋_GB2312" w:hAnsi="仿宋_GB2312" w:eastAsia="仿宋_GB2312" w:cs="仿宋_GB2312"/>
          <w:b/>
          <w:bCs/>
          <w:kern w:val="2"/>
          <w:sz w:val="32"/>
          <w:szCs w:val="32"/>
          <w:lang w:val="en-US" w:eastAsia="zh-CN"/>
        </w:rPr>
        <w:t>1.总体目标</w:t>
      </w:r>
    </w:p>
    <w:p w14:paraId="78FE2A06">
      <w:pPr>
        <w:pStyle w:val="11"/>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kern w:val="2"/>
          <w:sz w:val="32"/>
          <w:szCs w:val="32"/>
          <w:highlight w:val="none"/>
          <w:lang w:val="en-US" w:eastAsia="zh-CN" w:bidi="ar-SA"/>
        </w:rPr>
        <w:t>2023年财政拨款项目资金440万元，主要用于哈密市融媒体中心云平台升级扩容改造，购置专用设备。委托中电信数智科技有限公司和新疆大晨报公司继续贯彻落实“文化润疆”工程。该项目用于提升丝路密语数字化平台建设服务水平，购买相关设施设备，支撑该平台升级改造等。项目的实施将“丝路密语”建设成为哈密“移动第一端”，实现“一机在手、信息全有”，促进全市信息化发展成果普惠共享，使社会服务管理更加精准高效，人民群众的获得感、幸福感显著增强。</w:t>
      </w:r>
    </w:p>
    <w:p w14:paraId="72E861E6">
      <w:pPr>
        <w:pStyle w:val="11"/>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3" w:firstLineChars="200"/>
        <w:jc w:val="both"/>
        <w:textAlignment w:val="auto"/>
        <w:rPr>
          <w:rFonts w:hint="eastAsia" w:ascii="仿宋_GB2312" w:hAnsi="仿宋_GB2312" w:eastAsia="仿宋_GB2312" w:cs="仿宋_GB2312"/>
          <w:b/>
          <w:bCs/>
          <w:kern w:val="2"/>
          <w:sz w:val="32"/>
          <w:szCs w:val="32"/>
          <w:lang w:val="en-US" w:eastAsia="zh-CN"/>
        </w:rPr>
      </w:pPr>
      <w:r>
        <w:rPr>
          <w:rFonts w:hint="eastAsia" w:ascii="仿宋_GB2312" w:hAnsi="仿宋_GB2312" w:eastAsia="仿宋_GB2312" w:cs="仿宋_GB2312"/>
          <w:b/>
          <w:bCs/>
          <w:kern w:val="2"/>
          <w:sz w:val="32"/>
          <w:szCs w:val="32"/>
          <w:lang w:val="en-US" w:eastAsia="zh-CN"/>
        </w:rPr>
        <w:t>2.阶段性目标</w:t>
      </w:r>
    </w:p>
    <w:p w14:paraId="785AA854">
      <w:pPr>
        <w:numPr>
          <w:ilvl w:val="0"/>
          <w:numId w:val="0"/>
        </w:numPr>
        <w:ind w:firstLine="640" w:firstLineChars="200"/>
        <w:rPr>
          <w:rFonts w:hint="default"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项目建设周期为：36个月</w:t>
      </w:r>
    </w:p>
    <w:p w14:paraId="7EDEF180">
      <w:pPr>
        <w:spacing w:line="560" w:lineRule="exact"/>
        <w:ind w:firstLine="640" w:firstLineChars="200"/>
        <w:rPr>
          <w:rFonts w:hint="default" w:eastAsia="仿宋_GB2312"/>
          <w:color w:val="auto"/>
          <w:sz w:val="32"/>
          <w:szCs w:val="32"/>
          <w:highlight w:val="none"/>
          <w:lang w:val="en-US" w:eastAsia="zh-CN"/>
        </w:rPr>
      </w:pPr>
      <w:r>
        <w:rPr>
          <w:rFonts w:hint="eastAsia" w:eastAsia="仿宋_GB2312"/>
          <w:color w:val="auto"/>
          <w:sz w:val="32"/>
          <w:szCs w:val="32"/>
          <w:highlight w:val="none"/>
          <w:lang w:val="en-US" w:eastAsia="zh-CN"/>
        </w:rPr>
        <w:t>2023年6月完成项目（除入驻石榴云部分外）初次验收；</w:t>
      </w:r>
    </w:p>
    <w:p w14:paraId="3F61EB39">
      <w:pPr>
        <w:pStyle w:val="10"/>
        <w:ind w:left="0" w:leftChars="0" w:firstLine="640" w:firstLineChars="200"/>
        <w:rPr>
          <w:rFonts w:hint="default"/>
          <w:color w:val="auto"/>
          <w:highlight w:val="none"/>
          <w:lang w:val="en-US" w:eastAsia="zh-CN"/>
        </w:rPr>
      </w:pPr>
      <w:r>
        <w:rPr>
          <w:rFonts w:hint="eastAsia" w:eastAsia="仿宋_GB2312"/>
          <w:color w:val="auto"/>
          <w:sz w:val="32"/>
          <w:szCs w:val="32"/>
          <w:highlight w:val="none"/>
          <w:lang w:val="en-US" w:eastAsia="zh-CN"/>
        </w:rPr>
        <w:t>2023年9月完成入驻石榴云部分终验；</w:t>
      </w:r>
    </w:p>
    <w:p w14:paraId="454644B7">
      <w:pPr>
        <w:spacing w:line="560" w:lineRule="exact"/>
        <w:ind w:firstLine="640" w:firstLineChars="200"/>
        <w:rPr>
          <w:rFonts w:hint="eastAsia" w:eastAsia="仿宋_GB2312"/>
          <w:color w:val="auto"/>
          <w:sz w:val="32"/>
          <w:szCs w:val="32"/>
          <w:highlight w:val="none"/>
          <w:lang w:val="en-US" w:eastAsia="zh-CN"/>
        </w:rPr>
      </w:pPr>
      <w:r>
        <w:rPr>
          <w:rFonts w:hint="eastAsia" w:eastAsia="仿宋_GB2312"/>
          <w:color w:val="auto"/>
          <w:sz w:val="32"/>
          <w:szCs w:val="32"/>
          <w:highlight w:val="none"/>
          <w:lang w:val="en-US" w:eastAsia="zh-CN"/>
        </w:rPr>
        <w:t>2023年6月-12月继续进行数据接入、数据中台展示等建设工作；</w:t>
      </w:r>
    </w:p>
    <w:p w14:paraId="5798CE10">
      <w:pPr>
        <w:pStyle w:val="10"/>
        <w:rPr>
          <w:rFonts w:hint="eastAsia" w:ascii="仿宋_GB2312" w:hAnsi="仿宋_GB2312" w:eastAsia="仿宋_GB2312" w:cs="仿宋_GB2312"/>
          <w:color w:val="auto"/>
          <w:sz w:val="32"/>
          <w:szCs w:val="32"/>
          <w:highlight w:val="none"/>
          <w:lang w:val="en-US" w:eastAsia="zh-CN"/>
        </w:rPr>
      </w:pPr>
      <w:r>
        <w:rPr>
          <w:rFonts w:hint="eastAsia" w:eastAsia="仿宋_GB2312"/>
          <w:color w:val="auto"/>
          <w:sz w:val="32"/>
          <w:szCs w:val="32"/>
          <w:highlight w:val="none"/>
          <w:lang w:val="en-US" w:eastAsia="zh-CN"/>
        </w:rPr>
        <w:t xml:space="preserve">  2024年12月前完成项目整体终验。</w:t>
      </w:r>
    </w:p>
    <w:p w14:paraId="18B7946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二、绩效评价工作开展情况</w:t>
      </w:r>
    </w:p>
    <w:p w14:paraId="6B230364">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（一）绩效评价目的、对象和范围</w:t>
      </w:r>
    </w:p>
    <w:p w14:paraId="2A299D29">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highlight w:val="none"/>
        </w:rPr>
      </w:pPr>
      <w:r>
        <w:rPr>
          <w:rFonts w:hint="default" w:ascii="Times New Roman" w:hAnsi="Times New Roman" w:eastAsia="仿宋_GB2312" w:cs="Times New Roman"/>
          <w:b/>
          <w:bCs/>
          <w:highlight w:val="none"/>
        </w:rPr>
        <w:t>1</w:t>
      </w:r>
      <w:r>
        <w:rPr>
          <w:rFonts w:hint="default" w:ascii="Times New Roman" w:hAnsi="Times New Roman" w:eastAsia="仿宋_GB2312" w:cs="Times New Roman"/>
          <w:b/>
          <w:bCs/>
          <w:highlight w:val="none"/>
          <w:lang w:val="en-US" w:eastAsia="zh-CN"/>
        </w:rPr>
        <w:t>.</w:t>
      </w:r>
      <w:r>
        <w:rPr>
          <w:rFonts w:hint="default" w:ascii="Times New Roman" w:hAnsi="Times New Roman" w:eastAsia="仿宋_GB2312" w:cs="Times New Roman"/>
          <w:b/>
          <w:bCs/>
          <w:highlight w:val="none"/>
        </w:rPr>
        <w:t>绩效评价的目的</w:t>
      </w:r>
    </w:p>
    <w:p w14:paraId="198AD5C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07E7D9B5">
      <w:pPr>
        <w:keepNext w:val="0"/>
        <w:keepLines w:val="0"/>
        <w:pageBreakBefore w:val="0"/>
        <w:numPr>
          <w:ilvl w:val="0"/>
          <w:numId w:val="2"/>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项目在实施前向项目负责人提供财政支出绩效方面的资金管理信息，促进项目支出严格按照资金管理规定进行。</w:t>
      </w:r>
    </w:p>
    <w:p w14:paraId="6B22E5D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2）项目绩效管理财政支出运行提供及时、有效的信息。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518A9E4D">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绩效评价的对象</w:t>
      </w:r>
    </w:p>
    <w:p w14:paraId="0C4A97B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0"/>
          <w:sz w:val="32"/>
          <w:szCs w:val="32"/>
          <w:lang w:val="en-US" w:eastAsia="zh-CN" w:bidi="ar-SA"/>
        </w:rPr>
        <w:t>中央补助地方公共文化服务体系建设补助资金项目所包含</w:t>
      </w:r>
      <w:r>
        <w:rPr>
          <w:rFonts w:hint="default" w:ascii="Times New Roman" w:hAnsi="Times New Roman" w:eastAsia="仿宋_GB2312" w:cs="Times New Roman"/>
          <w:sz w:val="32"/>
          <w:szCs w:val="32"/>
        </w:rPr>
        <w:t>的全部项目内容。</w:t>
      </w:r>
    </w:p>
    <w:p w14:paraId="6F42CFB3">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绩效评价的范围</w:t>
      </w:r>
    </w:p>
    <w:p w14:paraId="4F59C5B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次评价从项目决策（包括绩效目标、决策过程）、项目管理（包括项目资金、项目实施）、项目产出（包括项目产出数量、产出质量、产出时效和产出成本）项目效益四个维度对中央补助地方公共文化服务体系建设补助资金项目进行评价，评价核心为专项资金的支出完成情况和效果。</w:t>
      </w:r>
    </w:p>
    <w:p w14:paraId="3F813AAE">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6C5B5739">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绩效评价原则</w:t>
      </w:r>
    </w:p>
    <w:p w14:paraId="7DC2AD0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本次项目绩效评价遵循以下基本原则：</w:t>
      </w:r>
    </w:p>
    <w:p w14:paraId="46D3980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（1）科学公正。绩效评价应当运用科学合理的方法，按照规范的程序，对项目绩效进行客观、公正的反映。</w:t>
      </w:r>
    </w:p>
    <w:p w14:paraId="7EAB474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（2）统筹兼顾。单位自评、部门评价和财政评价应职责明确，各有侧重，相互衔接。单位自评应由项目单位自主实施，即“谁支出、谁自评”。部门评价和财政评价应在单位自评的基础上开展。</w:t>
      </w:r>
    </w:p>
    <w:p w14:paraId="063A6C4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（3）激励约束。绩效评价结果应与预算安排、政策调整、改进管理实质性挂钩，体现奖优罚劣和激励相容导向，有效要安排、低效要压减、无效要问责。</w:t>
      </w:r>
    </w:p>
    <w:p w14:paraId="3E8958B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（4）公开透明。绩效评价结果应依法依规公开，并自觉接受社会监督。</w:t>
      </w:r>
    </w:p>
    <w:p w14:paraId="6EE01315">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评价指标体系</w:t>
      </w:r>
    </w:p>
    <w:p w14:paraId="4996D92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绩效评价框架是开展绩效评价的核心。绩效评价框架包括评价准则、关键评价问题、评价指标、数据来源、数据收集方法等。指标体系建立过程如下：</w:t>
      </w:r>
    </w:p>
    <w:p w14:paraId="6B715DD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（1）确定评价指标</w:t>
      </w:r>
    </w:p>
    <w:p w14:paraId="003C8BF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799098B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（2）确定权重</w:t>
      </w:r>
    </w:p>
    <w:p w14:paraId="280AA1F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确定各个指标相对于项目总体绩效的权重分值。在绩效评价指标体系中，项目决策权重为20分，项目过程权重为20分，项目产出权重为30分，项目成本权重10分，项目效益权重为20分。</w:t>
      </w:r>
    </w:p>
    <w:p w14:paraId="4F9E47C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（3）确定指标标准值</w:t>
      </w:r>
    </w:p>
    <w:p w14:paraId="38CF01A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指标标准值是绩效评价指标的尺度，既要反映同类项目的先进水平，又要符合项目的实际绩效水平。具体采用计划标准等确定此次绩效评价指标标准值。</w:t>
      </w:r>
    </w:p>
    <w:p w14:paraId="3D7D97D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绩效评价总分值100分，根据综合评分结果，评价计分90分-100分（含90分）对应的评分结果级别为优</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rPr>
        <w:t>80-90分（含80分）对应的评分结果级别为良</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rPr>
        <w:t>60-80分（含60分）对应的评分结果级别为中</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rPr>
        <w:t>60分以下对应的评分结果级别为差。具体评价指标体系详情见附件1</w:t>
      </w:r>
    </w:p>
    <w:p w14:paraId="6829F13F">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绩效评价方法</w:t>
      </w:r>
    </w:p>
    <w:p w14:paraId="6E86A25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绩效评价从项目决策、项目过程、项目产出、项目效益四个维度进行评价。评价对象为项目目标实施情况，评价核心为资金的支出完成情况和项目的产出效益。</w:t>
      </w:r>
    </w:p>
    <w:p w14:paraId="5679982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本次评价指标中，既有定性指标又有定量指标，各类指标因考核内容不同和客观标准不同存在较大差异，因此核定具体指标时采用了不同方法，具体评价方法如下：</w:t>
      </w:r>
    </w:p>
    <w:p w14:paraId="18C3A875">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eastAsia="仿宋_GB2312" w:cs="Times New Roman"/>
          <w:b/>
          <w:bCs/>
          <w:sz w:val="32"/>
          <w:szCs w:val="32"/>
          <w:lang w:eastAsia="zh-CN"/>
        </w:rPr>
      </w:pPr>
      <w:r>
        <w:rPr>
          <w:rFonts w:hint="default" w:ascii="Times New Roman" w:hAnsi="Times New Roman" w:eastAsia="仿宋_GB2312" w:cs="Times New Roman"/>
          <w:b/>
          <w:bCs/>
          <w:sz w:val="32"/>
          <w:szCs w:val="32"/>
        </w:rPr>
        <w:t>比较法</w:t>
      </w:r>
      <w:r>
        <w:rPr>
          <w:rFonts w:hint="eastAsia" w:eastAsia="仿宋_GB2312" w:cs="Times New Roman"/>
          <w:b/>
          <w:bCs/>
          <w:sz w:val="32"/>
          <w:szCs w:val="32"/>
          <w:lang w:eastAsia="zh-CN"/>
        </w:rPr>
        <w:t>：</w:t>
      </w:r>
    </w:p>
    <w:p w14:paraId="7E8AC8D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通过对绩效目标与实施效果、历史与当期情况，综合分析绩效目标实现程度。对项目最终验收情况与年度绩效目标对比、预算资金执行情况等相关因素进行比较。</w:t>
      </w:r>
    </w:p>
    <w:p w14:paraId="4514155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成本效益分析法：</w:t>
      </w:r>
    </w:p>
    <w:p w14:paraId="2115DB4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将项目的预算支出安排与预期效益进行对比分析，以评价绩效目标的预期实现程度。</w:t>
      </w:r>
    </w:p>
    <w:p w14:paraId="1AADFD7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因素分析法：</w:t>
      </w:r>
    </w:p>
    <w:p w14:paraId="6568F7A7">
      <w:pPr>
        <w:spacing w:line="560" w:lineRule="exact"/>
        <w:ind w:firstLine="640" w:firstLineChars="200"/>
        <w:rPr>
          <w:rFonts w:eastAsia="仿宋_GB2312"/>
          <w:color w:val="000000"/>
          <w:spacing w:val="17"/>
          <w:sz w:val="32"/>
          <w:szCs w:val="32"/>
        </w:rPr>
      </w:pPr>
      <w:r>
        <w:rPr>
          <w:rFonts w:hint="eastAsia" w:ascii="仿宋_GB2312" w:hAnsi="仿宋_GB2312" w:eastAsia="仿宋_GB2312" w:cs="仿宋_GB2312"/>
          <w:color w:val="auto"/>
          <w:sz w:val="32"/>
          <w:szCs w:val="32"/>
          <w:lang w:val="en-US" w:eastAsia="zh-CN"/>
        </w:rPr>
        <w:t>综合分析影响财政资金绩效目标实现以及实施效果的内部、外部因素，</w:t>
      </w:r>
      <w:r>
        <w:rPr>
          <w:rFonts w:eastAsia="仿宋_GB2312"/>
          <w:color w:val="000000"/>
          <w:spacing w:val="17"/>
          <w:sz w:val="32"/>
          <w:szCs w:val="32"/>
        </w:rPr>
        <w:t>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14:paraId="07D36F54">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4</w:t>
      </w:r>
      <w:r>
        <w:rPr>
          <w:rFonts w:hint="eastAsia" w:eastAsia="仿宋_GB2312" w:cs="Times New Roman"/>
          <w:b/>
          <w:bCs/>
          <w:sz w:val="32"/>
          <w:szCs w:val="32"/>
          <w:lang w:val="en-US" w:eastAsia="zh-CN"/>
        </w:rPr>
        <w:t>.</w:t>
      </w:r>
      <w:r>
        <w:rPr>
          <w:rFonts w:hint="default" w:ascii="Times New Roman" w:hAnsi="Times New Roman" w:eastAsia="仿宋_GB2312" w:cs="Times New Roman"/>
          <w:b/>
          <w:bCs/>
          <w:sz w:val="32"/>
          <w:szCs w:val="32"/>
        </w:rPr>
        <w:t>评价标准</w:t>
      </w:r>
    </w:p>
    <w:p w14:paraId="7A9E947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绩效评价标准通常包括计划标准、行业标准、历史标准等，用于对绩效指标完成情况进行比较、分析、评价。本次评价主要采用了计划标准。</w:t>
      </w:r>
    </w:p>
    <w:p w14:paraId="17CFE3B0">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bookmarkStart w:id="0" w:name="_Toc17882"/>
      <w:bookmarkStart w:id="1" w:name="_Toc31464"/>
      <w:r>
        <w:rPr>
          <w:rFonts w:hint="default" w:ascii="Times New Roman" w:hAnsi="Times New Roman" w:eastAsia="仿宋_GB2312" w:cs="Times New Roman"/>
          <w:b/>
          <w:bCs/>
          <w:sz w:val="32"/>
          <w:szCs w:val="32"/>
        </w:rPr>
        <w:t>计划标准：</w:t>
      </w:r>
      <w:r>
        <w:rPr>
          <w:rFonts w:hint="default" w:ascii="Times New Roman" w:hAnsi="Times New Roman" w:eastAsia="仿宋_GB2312" w:cs="Times New Roman"/>
          <w:sz w:val="32"/>
          <w:szCs w:val="32"/>
        </w:rPr>
        <w:t>指以预先制定的目标、计划、预算、定额等作为评价标准。</w:t>
      </w:r>
      <w:bookmarkEnd w:id="0"/>
      <w:bookmarkEnd w:id="1"/>
    </w:p>
    <w:p w14:paraId="4E2063DC">
      <w:pPr>
        <w:pStyle w:val="11"/>
        <w:keepNext w:val="0"/>
        <w:keepLines w:val="0"/>
        <w:pageBreakBefore w:val="0"/>
        <w:numPr>
          <w:ilvl w:val="0"/>
          <w:numId w:val="3"/>
        </w:numPr>
        <w:kinsoku/>
        <w:wordWrap/>
        <w:overflowPunct/>
        <w:topLinePunct w:val="0"/>
        <w:autoSpaceDE/>
        <w:autoSpaceDN/>
        <w:bidi w:val="0"/>
        <w:adjustRightInd/>
        <w:snapToGrid/>
        <w:spacing w:before="0" w:after="0" w:line="560" w:lineRule="exact"/>
        <w:ind w:firstLine="711" w:firstLineChars="200"/>
        <w:jc w:val="both"/>
        <w:textAlignment w:val="auto"/>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2E688116">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eastAsia" w:eastAsia="仿宋_GB2312" w:cs="Times New Roman"/>
          <w:b/>
          <w:bCs/>
          <w:sz w:val="32"/>
          <w:szCs w:val="32"/>
          <w:lang w:val="en-US" w:eastAsia="zh-CN"/>
        </w:rPr>
        <w:t>1.</w:t>
      </w:r>
      <w:r>
        <w:rPr>
          <w:rFonts w:hint="default" w:ascii="Times New Roman" w:hAnsi="Times New Roman" w:eastAsia="仿宋_GB2312" w:cs="Times New Roman"/>
          <w:b/>
          <w:bCs/>
          <w:sz w:val="32"/>
          <w:szCs w:val="32"/>
        </w:rPr>
        <w:t>前期准备。</w:t>
      </w:r>
      <w:r>
        <w:rPr>
          <w:rFonts w:hint="default" w:ascii="Times New Roman" w:hAnsi="Times New Roman" w:eastAsia="仿宋_GB2312" w:cs="Times New Roman"/>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14:paraId="46F245CC">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组织实施。</w:t>
      </w:r>
      <w:r>
        <w:rPr>
          <w:rFonts w:hint="default" w:ascii="Times New Roman" w:hAnsi="Times New Roman" w:eastAsia="仿宋_GB2312" w:cs="Times New Roman"/>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14:paraId="137F57B1">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3.</w:t>
      </w:r>
      <w:r>
        <w:rPr>
          <w:rFonts w:hint="default" w:ascii="Times New Roman" w:hAnsi="Times New Roman" w:eastAsia="仿宋_GB2312" w:cs="Times New Roman"/>
          <w:b/>
          <w:bCs/>
          <w:sz w:val="32"/>
          <w:szCs w:val="32"/>
        </w:rPr>
        <w:t>分析评价。</w:t>
      </w:r>
      <w:r>
        <w:rPr>
          <w:rFonts w:hint="default" w:ascii="Times New Roman" w:hAnsi="Times New Roman" w:eastAsia="仿宋_GB2312" w:cs="Times New Roman"/>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1DED14D0">
      <w:pPr>
        <w:keepNext w:val="0"/>
        <w:keepLines w:val="0"/>
        <w:pageBreakBefore w:val="0"/>
        <w:numPr>
          <w:ilvl w:val="0"/>
          <w:numId w:val="4"/>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2A7F278C">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73CEDD12">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项目档案资料的整理。项目的实施达到项目预期效果。</w:t>
      </w:r>
    </w:p>
    <w:p w14:paraId="68BC7662">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5BA47C77">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分，属于“</w:t>
      </w:r>
      <w:r>
        <w:rPr>
          <w:rFonts w:hint="eastAsia" w:ascii="Times New Roman" w:hAnsi="Times New Roman" w:eastAsia="仿宋_GB2312" w:cs="Times New Roman"/>
          <w:b w:val="0"/>
          <w:bCs w:val="0"/>
          <w:highlight w:val="none"/>
          <w:lang w:val="en-US" w:eastAsia="zh-CN"/>
        </w:rPr>
        <w:t>优</w:t>
      </w:r>
      <w:r>
        <w:rPr>
          <w:rFonts w:hint="default" w:ascii="Times New Roman" w:hAnsi="Times New Roman" w:eastAsia="仿宋_GB2312" w:cs="Times New Roman"/>
          <w:b w:val="0"/>
          <w:bCs w:val="0"/>
          <w:highlight w:val="none"/>
        </w:rPr>
        <w:t>”。其中，项目决策类指标权重为20分，得分为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w:t>
      </w:r>
      <w:r>
        <w:rPr>
          <w:rFonts w:hint="eastAsia"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val="0"/>
          <w:bCs w:val="0"/>
          <w:highlight w:val="none"/>
        </w:rPr>
        <w:t>0分，得分为</w:t>
      </w:r>
      <w:r>
        <w:rPr>
          <w:rFonts w:hint="eastAsia" w:ascii="Times New Roman" w:hAnsi="Times New Roman" w:eastAsia="仿宋_GB2312" w:cs="Times New Roman"/>
          <w:b w:val="0"/>
          <w:bCs w:val="0"/>
          <w:highlight w:val="none"/>
          <w:lang w:val="en-US" w:eastAsia="zh-CN"/>
        </w:rPr>
        <w:t>30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p>
    <w:p w14:paraId="00BB34BA">
      <w:pPr>
        <w:pStyle w:val="11"/>
        <w:keepNext w:val="0"/>
        <w:keepLines w:val="0"/>
        <w:pageBreakBefore w:val="0"/>
        <w:widowControl w:val="0"/>
        <w:kinsoku/>
        <w:wordWrap/>
        <w:overflowPunct/>
        <w:topLinePunct w:val="0"/>
        <w:autoSpaceDE/>
        <w:autoSpaceDN/>
        <w:bidi w:val="0"/>
        <w:adjustRightInd/>
        <w:snapToGrid/>
        <w:spacing w:before="0" w:after="0" w:line="560" w:lineRule="exact"/>
        <w:jc w:val="both"/>
        <w:textAlignment w:val="auto"/>
        <w:outlineLvl w:val="9"/>
        <w:rPr>
          <w:rFonts w:hint="default" w:ascii="Times New Roman" w:hAnsi="Times New Roman" w:eastAsia="仿宋_GB2312" w:cs="Times New Roman"/>
          <w:b w:val="0"/>
          <w:bCs w:val="0"/>
          <w:lang w:eastAsia="zh-CN"/>
        </w:rPr>
      </w:pPr>
      <w:r>
        <w:rPr>
          <w:rFonts w:hint="eastAsia" w:ascii="Times New Roman" w:hAnsi="Times New Roman" w:eastAsia="仿宋_GB2312" w:cs="Times New Roman"/>
          <w:b w:val="0"/>
          <w:bCs w:val="0"/>
          <w:highlight w:val="none"/>
          <w:lang w:val="en-US" w:eastAsia="zh-CN"/>
        </w:rPr>
        <w:t>项目成本类指标权重为10分，得分为10分，得分率为100%。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58820F2B">
      <w:pPr>
        <w:pStyle w:val="11"/>
        <w:keepNext w:val="0"/>
        <w:keepLines w:val="0"/>
        <w:pageBreakBefore w:val="0"/>
        <w:widowControl/>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表1综合评分表</w:t>
      </w:r>
    </w:p>
    <w:tbl>
      <w:tblPr>
        <w:tblStyle w:val="15"/>
        <w:tblW w:w="7583" w:type="dxa"/>
        <w:jc w:val="center"/>
        <w:tblLayout w:type="fixed"/>
        <w:tblCellMar>
          <w:top w:w="0" w:type="dxa"/>
          <w:left w:w="108" w:type="dxa"/>
          <w:bottom w:w="0" w:type="dxa"/>
          <w:right w:w="108" w:type="dxa"/>
        </w:tblCellMar>
      </w:tblPr>
      <w:tblGrid>
        <w:gridCol w:w="3137"/>
        <w:gridCol w:w="2168"/>
        <w:gridCol w:w="2278"/>
      </w:tblGrid>
      <w:tr w14:paraId="463B9CB7">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28CA9DD9">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264A978">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2B2F97BC">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得分</w:t>
            </w:r>
          </w:p>
        </w:tc>
      </w:tr>
      <w:tr w14:paraId="27A59FF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6D5E04F">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28138AF7">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7854F95">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1250108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58671BD">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623B2CBB">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A73A179">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3D72648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52B9323">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215996EF">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30</w:t>
            </w:r>
          </w:p>
        </w:tc>
        <w:tc>
          <w:tcPr>
            <w:tcW w:w="2278" w:type="dxa"/>
            <w:tcBorders>
              <w:top w:val="nil"/>
              <w:left w:val="nil"/>
              <w:bottom w:val="single" w:color="auto" w:sz="4" w:space="0"/>
              <w:right w:val="single" w:color="auto" w:sz="4" w:space="0"/>
            </w:tcBorders>
            <w:shd w:val="clear" w:color="auto" w:fill="auto"/>
            <w:vAlign w:val="center"/>
          </w:tcPr>
          <w:p w14:paraId="3CD42837">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30</w:t>
            </w:r>
          </w:p>
        </w:tc>
      </w:tr>
      <w:tr w14:paraId="2C895A3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45E2B80">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项目成本</w:t>
            </w:r>
          </w:p>
        </w:tc>
        <w:tc>
          <w:tcPr>
            <w:tcW w:w="2168" w:type="dxa"/>
            <w:tcBorders>
              <w:top w:val="nil"/>
              <w:left w:val="nil"/>
              <w:bottom w:val="single" w:color="auto" w:sz="4" w:space="0"/>
              <w:right w:val="single" w:color="auto" w:sz="4" w:space="0"/>
            </w:tcBorders>
            <w:shd w:val="clear" w:color="auto" w:fill="auto"/>
            <w:vAlign w:val="center"/>
          </w:tcPr>
          <w:p w14:paraId="45DCE422">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cs="Times New Roman"/>
                <w:color w:val="000000"/>
                <w:sz w:val="22"/>
                <w:lang w:val="en-US" w:eastAsia="zh-CN"/>
              </w:rPr>
            </w:pPr>
            <w:r>
              <w:rPr>
                <w:rFonts w:hint="eastAsia" w:cs="Times New Roman"/>
                <w:color w:val="000000"/>
                <w:sz w:val="22"/>
                <w:lang w:val="en-US" w:eastAsia="zh-CN"/>
              </w:rPr>
              <w:t>10</w:t>
            </w:r>
          </w:p>
        </w:tc>
        <w:tc>
          <w:tcPr>
            <w:tcW w:w="2278" w:type="dxa"/>
            <w:tcBorders>
              <w:top w:val="nil"/>
              <w:left w:val="nil"/>
              <w:bottom w:val="single" w:color="auto" w:sz="4" w:space="0"/>
              <w:right w:val="single" w:color="auto" w:sz="4" w:space="0"/>
            </w:tcBorders>
            <w:shd w:val="clear" w:color="auto" w:fill="auto"/>
            <w:vAlign w:val="center"/>
          </w:tcPr>
          <w:p w14:paraId="73530EB0">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cs="Times New Roman"/>
                <w:color w:val="000000"/>
                <w:sz w:val="22"/>
                <w:lang w:val="en-US" w:eastAsia="zh-CN"/>
              </w:rPr>
            </w:pPr>
            <w:r>
              <w:rPr>
                <w:rFonts w:hint="eastAsia" w:cs="Times New Roman"/>
                <w:color w:val="000000"/>
                <w:sz w:val="22"/>
                <w:lang w:val="en-US" w:eastAsia="zh-CN"/>
              </w:rPr>
              <w:t>10</w:t>
            </w:r>
          </w:p>
        </w:tc>
      </w:tr>
      <w:tr w14:paraId="0235722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8D89370">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510EE8B1">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97DBD2C">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541C3162">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9698B88">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6F7EC5CC">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000000"/>
                <w:sz w:val="22"/>
                <w:lang w:val="en-US" w:eastAsia="zh-CN"/>
              </w:rPr>
            </w:pPr>
            <w:r>
              <w:rPr>
                <w:rFonts w:hint="default" w:ascii="Times New Roman" w:hAnsi="Times New Roman" w:cs="Times New Roman"/>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676AFC4C">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000000"/>
                <w:sz w:val="22"/>
                <w:lang w:val="en-US" w:eastAsia="zh-CN"/>
              </w:rPr>
            </w:pPr>
            <w:r>
              <w:rPr>
                <w:rFonts w:hint="eastAsia" w:cs="Times New Roman"/>
                <w:b/>
                <w:bCs/>
                <w:color w:val="000000"/>
                <w:sz w:val="22"/>
                <w:highlight w:val="none"/>
                <w:lang w:val="en-US" w:eastAsia="zh-CN"/>
              </w:rPr>
              <w:t>100</w:t>
            </w:r>
          </w:p>
        </w:tc>
      </w:tr>
    </w:tbl>
    <w:p w14:paraId="26D14B9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65D84720">
      <w:pPr>
        <w:pStyle w:val="11"/>
        <w:keepNext w:val="0"/>
        <w:keepLines w:val="0"/>
        <w:pageBreakBefore w:val="0"/>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3149CF48">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1A675DE0">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2CB770A2">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500095E5">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auto"/>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6C85C753">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1F4994D9">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w:t>
      </w:r>
      <w:r>
        <w:rPr>
          <w:rFonts w:hint="default" w:ascii="Times New Roman" w:hAnsi="Times New Roman" w:eastAsia="仿宋_GB2312" w:cs="Times New Roman"/>
          <w:sz w:val="32"/>
          <w:szCs w:val="32"/>
          <w:highlight w:val="none"/>
          <w:lang w:val="en-US" w:eastAsia="zh-CN"/>
        </w:rPr>
        <w:t>绩效评估、</w:t>
      </w:r>
      <w:r>
        <w:rPr>
          <w:rFonts w:hint="default" w:ascii="Times New Roman" w:hAnsi="Times New Roman" w:eastAsia="仿宋_GB2312" w:cs="Times New Roman"/>
          <w:sz w:val="32"/>
          <w:szCs w:val="32"/>
          <w:lang w:val="en-US" w:eastAsia="zh-CN"/>
        </w:rPr>
        <w:t>集体决策，保障了程序的规范性。</w:t>
      </w:r>
    </w:p>
    <w:p w14:paraId="13E4804F">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41234502">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62153582">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eastAsia" w:ascii="仿宋_GB2312" w:hAnsi="仿宋_GB2312" w:eastAsia="仿宋_GB2312" w:cs="仿宋_GB2312"/>
          <w:sz w:val="32"/>
          <w:szCs w:val="32"/>
          <w:lang w:val="en-US" w:eastAsia="zh-CN"/>
        </w:rPr>
        <w:t>依据《哈密市本级部门预算绩效目标管理暂行办法》（哈市财预【2018】27号）设定三级绩效目标，达到了《暂行办法》规定的数量和量化比率。</w:t>
      </w: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5A2EF417">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65CB12DD">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2A52390C">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32E4A620">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242CA1F2">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预算编制经过科学论证，提供充分的测算依据佐证资料，预算内容与项目内容相匹配</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项目投资额与工作任务相匹配。</w:t>
      </w:r>
    </w:p>
    <w:p w14:paraId="1D8A6FFD">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（2）资金分配合理性</w:t>
      </w:r>
    </w:p>
    <w:p w14:paraId="78C2CBD8">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资金分配额度与项目单位实际工作内容相适应，资金分配额度合理，资金分配依据充分。</w:t>
      </w:r>
    </w:p>
    <w:p w14:paraId="7872592A">
      <w:pPr>
        <w:pStyle w:val="11"/>
        <w:keepNext w:val="0"/>
        <w:keepLines w:val="0"/>
        <w:pageBreakBefore w:val="0"/>
        <w:numPr>
          <w:ilvl w:val="0"/>
          <w:numId w:val="5"/>
        </w:numPr>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rPr>
        <w:t>项目过程情况</w:t>
      </w:r>
    </w:p>
    <w:p w14:paraId="113BEC94">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w:t>
      </w:r>
      <w:r>
        <w:rPr>
          <w:rFonts w:hint="default" w:ascii="Times New Roman" w:hAnsi="Times New Roman" w:eastAsia="仿宋_GB2312" w:cs="Times New Roman"/>
          <w:sz w:val="32"/>
          <w:szCs w:val="32"/>
          <w:highlight w:val="none"/>
          <w:lang w:val="en-US" w:eastAsia="zh-CN"/>
        </w:rPr>
        <w:t>和组织实施两方面的内容，有</w:t>
      </w:r>
      <w:r>
        <w:rPr>
          <w:rFonts w:hint="eastAsia"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53ABA365">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14:paraId="20D1C7B0">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73CE9965">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33E71BA3">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w:t>
      </w:r>
      <w:r>
        <w:rPr>
          <w:rFonts w:hint="default" w:ascii="Times New Roman" w:hAnsi="Times New Roman" w:eastAsia="仿宋_GB2312" w:cs="Times New Roman"/>
          <w:sz w:val="32"/>
          <w:szCs w:val="32"/>
          <w:highlight w:val="none"/>
          <w:lang w:val="en-US" w:eastAsia="zh-CN"/>
        </w:rPr>
        <w:t>目总投资</w:t>
      </w:r>
      <w:r>
        <w:rPr>
          <w:rFonts w:hint="eastAsia" w:eastAsia="仿宋_GB2312" w:cs="Times New Roman"/>
          <w:b w:val="0"/>
          <w:bCs w:val="0"/>
          <w:kern w:val="2"/>
          <w:sz w:val="32"/>
          <w:szCs w:val="32"/>
          <w:lang w:val="en-US" w:eastAsia="zh-CN" w:bidi="ar-SA"/>
        </w:rPr>
        <w:t>440</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w:t>
      </w:r>
      <w:r>
        <w:rPr>
          <w:rFonts w:hint="default" w:ascii="Times New Roman" w:hAnsi="Times New Roman" w:eastAsia="仿宋_GB2312" w:cs="Times New Roman"/>
          <w:sz w:val="32"/>
          <w:szCs w:val="32"/>
          <w:lang w:val="en-US" w:eastAsia="zh-CN"/>
        </w:rPr>
        <w:t>计划进度执行。</w:t>
      </w:r>
    </w:p>
    <w:p w14:paraId="783456D7">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77A798F5">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b w:val="0"/>
          <w:bCs w:val="0"/>
          <w:kern w:val="2"/>
          <w:sz w:val="32"/>
          <w:szCs w:val="32"/>
          <w:highlight w:val="none"/>
          <w:lang w:val="en-US" w:eastAsia="zh-CN" w:bidi="ar-SA"/>
        </w:rPr>
        <w:t>440</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5E7A8631">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11D571AF">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严格按照</w:t>
      </w:r>
      <w:r>
        <w:rPr>
          <w:rFonts w:hint="eastAsia" w:ascii="仿宋_GB2312" w:hAnsi="仿宋_GB2312" w:eastAsia="仿宋_GB2312" w:cs="仿宋_GB2312"/>
          <w:b w:val="0"/>
          <w:bCs w:val="0"/>
          <w:color w:val="auto"/>
          <w:kern w:val="2"/>
          <w:sz w:val="32"/>
          <w:szCs w:val="32"/>
          <w:lang w:val="en-US" w:eastAsia="zh-CN" w:bidi="ar-SA"/>
        </w:rPr>
        <w:t>《</w:t>
      </w:r>
      <w:r>
        <w:rPr>
          <w:rFonts w:hint="default" w:ascii="仿宋_GB2312" w:hAnsi="仿宋_GB2312" w:eastAsia="仿宋_GB2312" w:cs="仿宋_GB2312"/>
          <w:b w:val="0"/>
          <w:bCs w:val="0"/>
          <w:color w:val="auto"/>
          <w:kern w:val="2"/>
          <w:sz w:val="32"/>
          <w:szCs w:val="32"/>
          <w:lang w:val="en-US" w:eastAsia="zh-CN" w:bidi="ar-SA"/>
        </w:rPr>
        <w:t>哈密市融媒体中心</w:t>
      </w:r>
      <w:r>
        <w:rPr>
          <w:rFonts w:hint="eastAsia" w:ascii="仿宋_GB2312" w:hAnsi="仿宋_GB2312" w:eastAsia="仿宋_GB2312" w:cs="仿宋_GB2312"/>
          <w:b w:val="0"/>
          <w:bCs w:val="0"/>
          <w:color w:val="auto"/>
          <w:kern w:val="2"/>
          <w:sz w:val="32"/>
          <w:szCs w:val="32"/>
          <w:lang w:val="en-US" w:eastAsia="zh-CN" w:bidi="ar-SA"/>
        </w:rPr>
        <w:t>财务管理制度》《</w:t>
      </w:r>
      <w:r>
        <w:rPr>
          <w:rFonts w:hint="default" w:ascii="仿宋_GB2312" w:hAnsi="仿宋_GB2312" w:eastAsia="仿宋_GB2312" w:cs="仿宋_GB2312"/>
          <w:b w:val="0"/>
          <w:bCs w:val="0"/>
          <w:color w:val="auto"/>
          <w:kern w:val="2"/>
          <w:sz w:val="32"/>
          <w:szCs w:val="32"/>
          <w:lang w:val="en-US" w:eastAsia="zh-CN" w:bidi="ar-SA"/>
        </w:rPr>
        <w:t>哈密市融媒体中心</w:t>
      </w:r>
      <w:r>
        <w:rPr>
          <w:rFonts w:hint="eastAsia" w:ascii="仿宋_GB2312" w:hAnsi="仿宋_GB2312" w:eastAsia="仿宋_GB2312" w:cs="仿宋_GB2312"/>
          <w:b w:val="0"/>
          <w:bCs w:val="0"/>
          <w:color w:val="auto"/>
          <w:kern w:val="2"/>
          <w:sz w:val="32"/>
          <w:szCs w:val="32"/>
          <w:lang w:val="en-US" w:eastAsia="zh-CN" w:bidi="ar-SA"/>
        </w:rPr>
        <w:t>项目资金管理办法》</w:t>
      </w:r>
      <w:r>
        <w:rPr>
          <w:rFonts w:hint="default" w:ascii="Times New Roman" w:hAnsi="Times New Roman" w:eastAsia="仿宋_GB2312" w:cs="Times New Roman"/>
          <w:b w:val="0"/>
          <w:bCs w:val="0"/>
          <w:kern w:val="2"/>
          <w:sz w:val="32"/>
          <w:szCs w:val="32"/>
          <w:lang w:val="en-US" w:eastAsia="zh-CN" w:bidi="ar-SA"/>
        </w:rPr>
        <w:t>支出项目资金</w:t>
      </w:r>
      <w:r>
        <w:rPr>
          <w:rFonts w:hint="default" w:ascii="Times New Roman" w:hAnsi="Times New Roman" w:eastAsia="仿宋_GB2312" w:cs="Times New Roman"/>
          <w:sz w:val="32"/>
          <w:szCs w:val="32"/>
          <w:lang w:val="en-US" w:eastAsia="zh-CN"/>
        </w:rPr>
        <w:t>，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50A30137">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14:paraId="0C61E6E9">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4D456C7A">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eastAsia" w:ascii="仿宋_GB2312" w:hAnsi="仿宋_GB2312" w:eastAsia="仿宋_GB2312" w:cs="仿宋_GB2312"/>
          <w:color w:val="auto"/>
          <w:sz w:val="32"/>
          <w:szCs w:val="32"/>
          <w:lang w:val="en-US" w:eastAsia="zh-CN"/>
        </w:rPr>
        <w:t>制定了</w:t>
      </w:r>
      <w:r>
        <w:rPr>
          <w:rFonts w:hint="eastAsia" w:ascii="仿宋_GB2312" w:hAnsi="仿宋_GB2312" w:eastAsia="仿宋_GB2312" w:cs="仿宋_GB2312"/>
          <w:b w:val="0"/>
          <w:bCs w:val="0"/>
          <w:color w:val="auto"/>
          <w:kern w:val="2"/>
          <w:sz w:val="32"/>
          <w:szCs w:val="32"/>
          <w:lang w:val="en-US" w:eastAsia="zh-CN" w:bidi="ar-SA"/>
        </w:rPr>
        <w:t>《</w:t>
      </w:r>
      <w:r>
        <w:rPr>
          <w:rFonts w:hint="default" w:ascii="仿宋_GB2312" w:hAnsi="仿宋_GB2312" w:eastAsia="仿宋_GB2312" w:cs="仿宋_GB2312"/>
          <w:b w:val="0"/>
          <w:bCs w:val="0"/>
          <w:color w:val="auto"/>
          <w:kern w:val="2"/>
          <w:sz w:val="32"/>
          <w:szCs w:val="32"/>
          <w:lang w:val="en-US" w:eastAsia="zh-CN" w:bidi="ar-SA"/>
        </w:rPr>
        <w:t>哈密市融媒体中心</w:t>
      </w:r>
      <w:r>
        <w:rPr>
          <w:rFonts w:hint="eastAsia" w:ascii="仿宋_GB2312" w:hAnsi="仿宋_GB2312" w:eastAsia="仿宋_GB2312" w:cs="仿宋_GB2312"/>
          <w:b w:val="0"/>
          <w:bCs w:val="0"/>
          <w:color w:val="auto"/>
          <w:kern w:val="2"/>
          <w:sz w:val="32"/>
          <w:szCs w:val="32"/>
          <w:lang w:val="en-US" w:eastAsia="zh-CN" w:bidi="ar-SA"/>
        </w:rPr>
        <w:t>专项资金管理制度》和</w:t>
      </w:r>
      <w:r>
        <w:rPr>
          <w:rFonts w:hint="eastAsia" w:ascii="仿宋_GB2312" w:hAnsi="仿宋_GB2312" w:eastAsia="仿宋_GB2312" w:cs="仿宋_GB2312"/>
          <w:color w:val="auto"/>
          <w:sz w:val="32"/>
          <w:szCs w:val="32"/>
          <w:lang w:val="en-US" w:eastAsia="zh-CN"/>
        </w:rPr>
        <w:t>《哈密市融媒体中心预算绩效管理制度》</w:t>
      </w:r>
      <w:r>
        <w:rPr>
          <w:rFonts w:hint="eastAsia" w:ascii="仿宋_GB2312" w:hAnsi="仿宋_GB2312" w:eastAsia="仿宋_GB2312" w:cs="仿宋_GB2312"/>
          <w:b w:val="0"/>
          <w:bCs w:val="0"/>
          <w:color w:val="auto"/>
          <w:kern w:val="2"/>
          <w:sz w:val="32"/>
          <w:szCs w:val="32"/>
          <w:lang w:val="en-US" w:eastAsia="zh-CN" w:bidi="ar-SA"/>
        </w:rPr>
        <w:t>，按照《</w:t>
      </w:r>
      <w:r>
        <w:rPr>
          <w:rFonts w:hint="default" w:ascii="仿宋_GB2312" w:hAnsi="仿宋_GB2312" w:eastAsia="仿宋_GB2312" w:cs="仿宋_GB2312"/>
          <w:b w:val="0"/>
          <w:bCs w:val="0"/>
          <w:color w:val="auto"/>
          <w:kern w:val="2"/>
          <w:sz w:val="32"/>
          <w:szCs w:val="32"/>
          <w:lang w:val="en-US" w:eastAsia="zh-CN" w:bidi="ar-SA"/>
        </w:rPr>
        <w:t>哈密市融媒体中心</w:t>
      </w:r>
      <w:r>
        <w:rPr>
          <w:rFonts w:hint="eastAsia" w:ascii="仿宋_GB2312" w:hAnsi="仿宋_GB2312" w:eastAsia="仿宋_GB2312" w:cs="仿宋_GB2312"/>
          <w:b w:val="0"/>
          <w:bCs w:val="0"/>
          <w:color w:val="auto"/>
          <w:kern w:val="2"/>
          <w:sz w:val="32"/>
          <w:szCs w:val="32"/>
          <w:lang w:val="en-US" w:eastAsia="zh-CN" w:bidi="ar-SA"/>
        </w:rPr>
        <w:t>财务管理制度》</w:t>
      </w:r>
      <w:r>
        <w:rPr>
          <w:rFonts w:hint="eastAsia" w:ascii="仿宋_GB2312" w:hAnsi="仿宋_GB2312" w:eastAsia="仿宋_GB2312" w:cs="仿宋_GB2312"/>
          <w:color w:val="auto"/>
          <w:sz w:val="32"/>
          <w:szCs w:val="32"/>
          <w:lang w:val="en-US" w:eastAsia="zh-CN"/>
        </w:rPr>
        <w:t>相关管理办法</w:t>
      </w:r>
      <w:r>
        <w:rPr>
          <w:rFonts w:hint="default" w:ascii="Times New Roman" w:hAnsi="Times New Roman" w:eastAsia="仿宋_GB2312" w:cs="Times New Roman"/>
          <w:color w:val="auto"/>
          <w:sz w:val="32"/>
          <w:szCs w:val="32"/>
          <w:lang w:val="en-US" w:eastAsia="zh-CN"/>
        </w:rPr>
        <w:t>对</w:t>
      </w:r>
      <w:r>
        <w:rPr>
          <w:rFonts w:hint="default" w:ascii="Times New Roman" w:hAnsi="Times New Roman" w:eastAsia="仿宋_GB2312" w:cs="Times New Roman"/>
          <w:sz w:val="32"/>
          <w:szCs w:val="32"/>
          <w:lang w:val="en-US" w:eastAsia="zh-CN"/>
        </w:rPr>
        <w:t>财政资金严格管理，做到专款专用，项目资金使用符合财务管理制度规定，能够反映和考核项目资金的规范运行情况；项目实施单位的财务和业务管理制度健全，能够反映和考核财务和业务管理制度对项目顺利实施的保障情况。</w:t>
      </w:r>
    </w:p>
    <w:p w14:paraId="5B1D6A48">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48FAC5DE">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14:paraId="2B4DE825">
      <w:pPr>
        <w:pStyle w:val="13"/>
        <w:keepNext w:val="0"/>
        <w:keepLines w:val="0"/>
        <w:pageBreakBefore w:val="0"/>
        <w:numPr>
          <w:ilvl w:val="0"/>
          <w:numId w:val="5"/>
        </w:numPr>
        <w:kinsoku/>
        <w:wordWrap/>
        <w:overflowPunct/>
        <w:topLinePunct w:val="0"/>
        <w:autoSpaceDE/>
        <w:autoSpaceDN/>
        <w:bidi w:val="0"/>
        <w:adjustRightInd/>
        <w:snapToGrid/>
        <w:spacing w:line="560" w:lineRule="exact"/>
        <w:ind w:firstLine="643"/>
        <w:textAlignment w:val="auto"/>
        <w:rPr>
          <w:rFonts w:hint="eastAsia" w:ascii="楷体" w:hAnsi="楷体" w:eastAsia="楷体" w:cs="楷体"/>
          <w:b/>
          <w:bCs/>
          <w:sz w:val="32"/>
          <w:szCs w:val="32"/>
        </w:rPr>
      </w:pPr>
      <w:r>
        <w:rPr>
          <w:rFonts w:hint="eastAsia" w:ascii="楷体" w:hAnsi="楷体" w:eastAsia="楷体" w:cs="楷体"/>
          <w:b/>
          <w:bCs/>
          <w:sz w:val="32"/>
          <w:szCs w:val="32"/>
        </w:rPr>
        <w:t>项目产出</w:t>
      </w:r>
      <w:r>
        <w:rPr>
          <w:rFonts w:hint="eastAsia" w:ascii="楷体" w:hAnsi="楷体" w:eastAsia="楷体" w:cs="楷体"/>
          <w:b/>
          <w:bCs/>
          <w:sz w:val="32"/>
          <w:szCs w:val="32"/>
          <w:lang w:val="en-US" w:eastAsia="zh-CN"/>
        </w:rPr>
        <w:t>情况</w:t>
      </w:r>
    </w:p>
    <w:p w14:paraId="3803945A">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w:t>
      </w:r>
      <w:r>
        <w:rPr>
          <w:rFonts w:hint="eastAsia" w:eastAsia="仿宋_GB2312" w:cs="Times New Roman"/>
          <w:sz w:val="32"/>
          <w:szCs w:val="32"/>
          <w:lang w:val="en-US" w:eastAsia="zh-CN"/>
        </w:rPr>
        <w:t>三</w:t>
      </w:r>
      <w:r>
        <w:rPr>
          <w:rFonts w:hint="default" w:ascii="Times New Roman" w:hAnsi="Times New Roman" w:eastAsia="仿宋_GB2312" w:cs="Times New Roman"/>
          <w:sz w:val="32"/>
          <w:szCs w:val="32"/>
          <w:lang w:val="en-US" w:eastAsia="zh-CN"/>
        </w:rPr>
        <w:t>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0分，实际得分</w:t>
      </w:r>
      <w:r>
        <w:rPr>
          <w:rFonts w:hint="eastAsia" w:eastAsia="仿宋_GB2312" w:cs="Times New Roman"/>
          <w:sz w:val="32"/>
          <w:szCs w:val="32"/>
          <w:highlight w:val="none"/>
          <w:lang w:val="en-US" w:eastAsia="zh-CN"/>
        </w:rPr>
        <w:t>30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14:paraId="009C6E1D">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074419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Times New Roman" w:hAnsi="Times New Roman" w:eastAsia="宋体"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采购设备数量，目标值</w:t>
      </w:r>
      <w:r>
        <w:rPr>
          <w:rFonts w:hint="eastAsia" w:ascii="仿宋_GB2312" w:hAnsi="仿宋_GB2312" w:eastAsia="仿宋_GB2312" w:cs="仿宋_GB2312"/>
          <w:sz w:val="32"/>
          <w:szCs w:val="32"/>
          <w:highlight w:val="none"/>
        </w:rPr>
        <w:t>=</w:t>
      </w:r>
      <w:r>
        <w:rPr>
          <w:rFonts w:hint="eastAsia" w:eastAsia="仿宋_GB2312" w:cs="Times New Roman"/>
          <w:sz w:val="32"/>
          <w:szCs w:val="32"/>
          <w:highlight w:val="none"/>
          <w:lang w:val="en-US" w:eastAsia="zh-CN"/>
        </w:rPr>
        <w:t>1批，实际完成值：1批，完成率100%</w:t>
      </w:r>
      <w:r>
        <w:rPr>
          <w:rFonts w:hint="eastAsia"/>
          <w:lang w:eastAsia="zh-CN"/>
        </w:rPr>
        <w:t>。</w:t>
      </w:r>
    </w:p>
    <w:p w14:paraId="3D425FB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目标值项目委托公司数量</w:t>
      </w:r>
      <w:r>
        <w:rPr>
          <w:rFonts w:hint="eastAsia" w:ascii="仿宋_GB2312" w:hAnsi="仿宋_GB2312" w:eastAsia="仿宋_GB2312" w:cs="仿宋_GB2312"/>
          <w:sz w:val="32"/>
          <w:szCs w:val="32"/>
          <w:highlight w:val="none"/>
        </w:rPr>
        <w:t>=</w:t>
      </w:r>
      <w:r>
        <w:rPr>
          <w:rFonts w:hint="eastAsia" w:eastAsia="仿宋_GB2312" w:cs="Times New Roman"/>
          <w:sz w:val="32"/>
          <w:szCs w:val="32"/>
          <w:highlight w:val="none"/>
          <w:lang w:val="en-US" w:eastAsia="zh-CN"/>
        </w:rPr>
        <w:t>2个，实际完成值：2个，完成率100%。</w:t>
      </w:r>
    </w:p>
    <w:p w14:paraId="5E63F1AB">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52A67C3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政府采购率目标值</w:t>
      </w:r>
      <w:r>
        <w:rPr>
          <w:rFonts w:hint="eastAsia" w:ascii="仿宋_GB2312" w:hAnsi="仿宋_GB2312" w:eastAsia="仿宋_GB2312" w:cs="仿宋_GB2312"/>
          <w:sz w:val="32"/>
          <w:szCs w:val="32"/>
          <w:highlight w:val="none"/>
        </w:rPr>
        <w:t>&gt;=98%</w:t>
      </w:r>
      <w:r>
        <w:rPr>
          <w:rFonts w:hint="eastAsia" w:eastAsia="仿宋_GB2312" w:cs="Times New Roman"/>
          <w:sz w:val="32"/>
          <w:szCs w:val="32"/>
          <w:highlight w:val="none"/>
          <w:lang w:val="en-US" w:eastAsia="zh-CN"/>
        </w:rPr>
        <w:t>，实际完成值98%，完成率100%。</w:t>
      </w:r>
    </w:p>
    <w:p w14:paraId="46DD285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设备验收合格率目标值</w:t>
      </w:r>
      <w:r>
        <w:rPr>
          <w:rFonts w:hint="eastAsia" w:ascii="仿宋_GB2312" w:hAnsi="仿宋_GB2312" w:eastAsia="仿宋_GB2312" w:cs="仿宋_GB2312"/>
          <w:sz w:val="32"/>
          <w:szCs w:val="32"/>
          <w:highlight w:val="none"/>
        </w:rPr>
        <w:t>&gt;=98%</w:t>
      </w:r>
      <w:r>
        <w:rPr>
          <w:rFonts w:hint="eastAsia" w:eastAsia="仿宋_GB2312" w:cs="Times New Roman"/>
          <w:sz w:val="32"/>
          <w:szCs w:val="32"/>
          <w:highlight w:val="none"/>
          <w:lang w:val="en-US" w:eastAsia="zh-CN"/>
        </w:rPr>
        <w:t>，实际完成值98%，完成率100%。</w:t>
      </w:r>
    </w:p>
    <w:p w14:paraId="73413EF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lang w:val="en-US"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资金使用合规率目标值</w:t>
      </w:r>
      <w:r>
        <w:rPr>
          <w:rFonts w:hint="eastAsia" w:ascii="仿宋_GB2312" w:hAnsi="仿宋_GB2312" w:eastAsia="仿宋_GB2312" w:cs="仿宋_GB2312"/>
          <w:sz w:val="32"/>
          <w:szCs w:val="32"/>
          <w:highlight w:val="none"/>
        </w:rPr>
        <w:t>&gt;=98%</w:t>
      </w:r>
      <w:r>
        <w:rPr>
          <w:rFonts w:hint="eastAsia" w:eastAsia="仿宋_GB2312" w:cs="Times New Roman"/>
          <w:sz w:val="32"/>
          <w:szCs w:val="32"/>
          <w:highlight w:val="none"/>
          <w:lang w:val="en-US" w:eastAsia="zh-CN"/>
        </w:rPr>
        <w:t>，实际完成值98%，完成率100%。</w:t>
      </w:r>
    </w:p>
    <w:p w14:paraId="33496C9D">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26E9F9C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设备采购及时性目标值100%，实际完成值100%，完成率100%。</w:t>
      </w:r>
    </w:p>
    <w:p w14:paraId="47DDE36A">
      <w:pPr>
        <w:keepNext w:val="0"/>
        <w:keepLines w:val="0"/>
        <w:pageBreakBefore w:val="0"/>
        <w:numPr>
          <w:ilvl w:val="0"/>
          <w:numId w:val="6"/>
        </w:numPr>
        <w:shd w:val="clear"/>
        <w:kinsoku/>
        <w:wordWrap/>
        <w:overflowPunct/>
        <w:topLinePunct w:val="0"/>
        <w:autoSpaceDE/>
        <w:autoSpaceDN/>
        <w:bidi w:val="0"/>
        <w:adjustRightInd/>
        <w:snapToGrid/>
        <w:spacing w:line="560" w:lineRule="exact"/>
        <w:ind w:firstLine="643" w:firstLineChars="200"/>
        <w:textAlignment w:val="auto"/>
        <w:outlineLvl w:val="0"/>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项目成本情况</w:t>
      </w:r>
    </w:p>
    <w:p w14:paraId="0161131E">
      <w:pPr>
        <w:keepNext w:val="0"/>
        <w:keepLines w:val="0"/>
        <w:pageBreakBefore w:val="0"/>
        <w:numPr>
          <w:ilvl w:val="0"/>
          <w:numId w:val="0"/>
        </w:numPr>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w:t>
      </w:r>
      <w:r>
        <w:rPr>
          <w:rFonts w:hint="eastAsia" w:eastAsia="仿宋_GB2312" w:cs="Times New Roman"/>
          <w:sz w:val="32"/>
          <w:szCs w:val="32"/>
          <w:lang w:val="en-US" w:eastAsia="zh-CN"/>
        </w:rPr>
        <w:t>成本</w:t>
      </w:r>
      <w:r>
        <w:rPr>
          <w:rFonts w:hint="default" w:ascii="Times New Roman" w:hAnsi="Times New Roman" w:eastAsia="仿宋_GB2312" w:cs="Times New Roman"/>
          <w:sz w:val="32"/>
          <w:szCs w:val="32"/>
          <w:lang w:val="en-US" w:eastAsia="zh-CN"/>
        </w:rPr>
        <w:t>类指标包括</w:t>
      </w:r>
      <w:r>
        <w:rPr>
          <w:rFonts w:hint="eastAsia" w:eastAsia="仿宋_GB2312" w:cs="Times New Roman"/>
          <w:sz w:val="32"/>
          <w:szCs w:val="32"/>
          <w:lang w:val="en-US" w:eastAsia="zh-CN"/>
        </w:rPr>
        <w:t>经济成本、社会成本、生态成本三</w:t>
      </w:r>
      <w:r>
        <w:rPr>
          <w:rFonts w:hint="default" w:ascii="Times New Roman" w:hAnsi="Times New Roman" w:eastAsia="仿宋_GB2312" w:cs="Times New Roman"/>
          <w:sz w:val="32"/>
          <w:szCs w:val="32"/>
          <w:lang w:val="en-US" w:eastAsia="zh-CN"/>
        </w:rPr>
        <w:t>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0分，实际得分</w:t>
      </w:r>
      <w:r>
        <w:rPr>
          <w:rFonts w:hint="eastAsia" w:ascii="Times New Roman" w:hAnsi="Times New Roman" w:eastAsia="仿宋_GB2312" w:cs="Times New Roman"/>
          <w:sz w:val="32"/>
          <w:szCs w:val="32"/>
          <w:highlight w:val="none"/>
          <w:lang w:val="en-US" w:eastAsia="zh-CN"/>
        </w:rPr>
        <w:t>10</w:t>
      </w:r>
      <w:r>
        <w:rPr>
          <w:rFonts w:hint="default" w:ascii="Times New Roman" w:hAnsi="Times New Roman" w:eastAsia="仿宋_GB2312" w:cs="Times New Roman"/>
          <w:sz w:val="32"/>
          <w:szCs w:val="32"/>
          <w:highlight w:val="none"/>
          <w:lang w:val="en-US" w:eastAsia="zh-CN"/>
        </w:rPr>
        <w:t>分，得分率为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eastAsia" w:eastAsia="仿宋_GB2312" w:cs="Times New Roman"/>
          <w:sz w:val="32"/>
          <w:szCs w:val="32"/>
          <w:lang w:val="en-US" w:eastAsia="zh-CN"/>
        </w:rPr>
        <w:t>成本</w:t>
      </w:r>
      <w:r>
        <w:rPr>
          <w:rFonts w:hint="default" w:ascii="Times New Roman" w:hAnsi="Times New Roman" w:eastAsia="仿宋_GB2312" w:cs="Times New Roman"/>
          <w:sz w:val="32"/>
          <w:szCs w:val="32"/>
          <w:lang w:val="en-US" w:eastAsia="zh-CN"/>
        </w:rPr>
        <w:t>指标完成情况如下：</w:t>
      </w:r>
    </w:p>
    <w:p w14:paraId="65845BEA">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val="en-US" w:eastAsia="zh-CN"/>
        </w:rPr>
        <w:t>经济</w:t>
      </w:r>
      <w:r>
        <w:rPr>
          <w:rFonts w:hint="default" w:ascii="Times New Roman" w:hAnsi="Times New Roman" w:eastAsia="仿宋_GB2312" w:cs="Times New Roman"/>
          <w:sz w:val="32"/>
          <w:szCs w:val="32"/>
          <w:highlight w:val="none"/>
        </w:rPr>
        <w:t>成本指标：</w:t>
      </w:r>
    </w:p>
    <w:p w14:paraId="3310360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升级扩容改造费目标值</w:t>
      </w:r>
      <w:r>
        <w:rPr>
          <w:rFonts w:hint="eastAsia" w:ascii="仿宋_GB2312" w:hAnsi="仿宋_GB2312" w:eastAsia="仿宋_GB2312" w:cs="仿宋_GB2312"/>
          <w:sz w:val="32"/>
          <w:szCs w:val="32"/>
          <w:highlight w:val="none"/>
        </w:rPr>
        <w:t>&lt;=</w:t>
      </w:r>
      <w:r>
        <w:rPr>
          <w:rFonts w:hint="eastAsia" w:eastAsia="仿宋_GB2312" w:cs="Times New Roman"/>
          <w:sz w:val="32"/>
          <w:szCs w:val="32"/>
          <w:highlight w:val="none"/>
          <w:lang w:val="en-US" w:eastAsia="zh-CN"/>
        </w:rPr>
        <w:t>400万元，实际完成值400万元，完成率100%.</w:t>
      </w:r>
    </w:p>
    <w:p w14:paraId="11CB826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lang w:val="en-US"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专用设备购置费目标值</w:t>
      </w:r>
      <w:r>
        <w:rPr>
          <w:rFonts w:hint="eastAsia" w:ascii="仿宋_GB2312" w:hAnsi="仿宋_GB2312" w:eastAsia="仿宋_GB2312" w:cs="仿宋_GB2312"/>
          <w:sz w:val="32"/>
          <w:szCs w:val="32"/>
          <w:highlight w:val="none"/>
        </w:rPr>
        <w:t>&lt;=</w:t>
      </w:r>
      <w:r>
        <w:rPr>
          <w:rFonts w:hint="eastAsia" w:eastAsia="仿宋_GB2312" w:cs="Times New Roman"/>
          <w:sz w:val="32"/>
          <w:szCs w:val="32"/>
          <w:highlight w:val="none"/>
          <w:lang w:val="en-US" w:eastAsia="zh-CN"/>
        </w:rPr>
        <w:t>40万元，实际完成值40万元，完成率100%.</w:t>
      </w:r>
    </w:p>
    <w:p w14:paraId="2B7A62F5">
      <w:pPr>
        <w:pStyle w:val="13"/>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方正楷体_GB2312" w:hAnsi="方正楷体_GB2312" w:eastAsia="方正楷体_GB2312" w:cs="方正楷体_GB2312"/>
          <w:b/>
          <w:bCs/>
          <w:sz w:val="32"/>
          <w:szCs w:val="32"/>
          <w:lang w:val="en-US" w:eastAsia="zh-CN"/>
        </w:rPr>
      </w:pPr>
      <w:r>
        <w:rPr>
          <w:rFonts w:hint="eastAsia" w:ascii="方正楷体_GB2312" w:hAnsi="方正楷体_GB2312" w:eastAsia="方正楷体_GB2312" w:cs="方正楷体_GB2312"/>
          <w:b/>
          <w:bCs/>
          <w:sz w:val="32"/>
          <w:szCs w:val="32"/>
          <w:lang w:val="en-US" w:eastAsia="zh-CN"/>
        </w:rPr>
        <w:t>（五）项目效益情况</w:t>
      </w:r>
    </w:p>
    <w:p w14:paraId="2B0A787B">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效益指标及满意度指标完成情况如下：</w:t>
      </w:r>
    </w:p>
    <w:p w14:paraId="365CFF11">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14:paraId="555D3EBA">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经济效益指标：</w:t>
      </w:r>
    </w:p>
    <w:p w14:paraId="51AD432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设备利用率目标值</w:t>
      </w:r>
      <w:r>
        <w:rPr>
          <w:rFonts w:hint="eastAsia" w:ascii="仿宋_GB2312" w:hAnsi="仿宋_GB2312" w:eastAsia="仿宋_GB2312" w:cs="仿宋_GB2312"/>
          <w:sz w:val="32"/>
          <w:szCs w:val="32"/>
          <w:highlight w:val="none"/>
        </w:rPr>
        <w:t>&gt;=98%</w:t>
      </w:r>
      <w:r>
        <w:rPr>
          <w:rFonts w:hint="eastAsia" w:eastAsia="仿宋_GB2312" w:cs="Times New Roman"/>
          <w:sz w:val="32"/>
          <w:szCs w:val="32"/>
          <w:highlight w:val="none"/>
          <w:lang w:val="en-US" w:eastAsia="zh-CN"/>
        </w:rPr>
        <w:t>，实际完成值98%，完成率100%</w:t>
      </w:r>
    </w:p>
    <w:p w14:paraId="3DFF0FDA">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②</w:t>
      </w:r>
      <w:r>
        <w:rPr>
          <w:rFonts w:hint="default" w:ascii="Times New Roman" w:hAnsi="Times New Roman" w:eastAsia="仿宋_GB2312" w:cs="Times New Roman"/>
          <w:sz w:val="32"/>
          <w:szCs w:val="32"/>
          <w:highlight w:val="none"/>
        </w:rPr>
        <w:t>社会效益指标：</w:t>
      </w:r>
    </w:p>
    <w:p w14:paraId="1BCF762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全市信息化发展共享水平目标值提高，实际完成值提高，完成率100%</w:t>
      </w:r>
    </w:p>
    <w:p w14:paraId="7342155D">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335AA79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满意度指标：</w:t>
      </w:r>
    </w:p>
    <w:p w14:paraId="3EEAF25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使用人员满意度目标值</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98%</w:t>
      </w:r>
      <w:r>
        <w:rPr>
          <w:rFonts w:hint="eastAsia" w:eastAsia="仿宋_GB2312" w:cs="Times New Roman"/>
          <w:sz w:val="32"/>
          <w:szCs w:val="32"/>
          <w:highlight w:val="none"/>
          <w:lang w:val="en-US" w:eastAsia="zh-CN"/>
        </w:rPr>
        <w:t>，实际完成值98%，完成率100%</w:t>
      </w:r>
    </w:p>
    <w:p w14:paraId="5E49D14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Style w:val="19"/>
          <w:rFonts w:hint="default" w:ascii="Times New Roman" w:hAnsi="Times New Roman" w:cs="Times New Roman"/>
          <w:color w:val="auto"/>
        </w:rPr>
      </w:pP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、主要经验及做法、存在的问题及原因分析</w:t>
      </w:r>
    </w:p>
    <w:p w14:paraId="58E7D4C7">
      <w:pPr>
        <w:keepNext w:val="0"/>
        <w:keepLines w:val="0"/>
        <w:pageBreakBefore w:val="0"/>
        <w:kinsoku/>
        <w:wordWrap/>
        <w:overflowPunct/>
        <w:topLinePunct w:val="0"/>
        <w:autoSpaceDE/>
        <w:autoSpaceDN/>
        <w:bidi w:val="0"/>
        <w:adjustRightInd/>
        <w:snapToGrid/>
        <w:spacing w:line="560" w:lineRule="exact"/>
        <w:ind w:firstLine="627" w:firstLineChars="200"/>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21C194C5">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3A309616">
      <w:pPr>
        <w:pStyle w:val="11"/>
        <w:spacing w:before="0" w:after="0" w:line="560" w:lineRule="exact"/>
        <w:ind w:firstLine="640" w:firstLineChars="200"/>
        <w:jc w:val="left"/>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严格坚持先做事、后验收、再拨付的原则，基本杜绝了资金被挤占和挪用现象的发生，跟踪检查到位。财政、纪检、监察等职能部门全面参与专项资金事前、事中和事后全过程的</w:t>
      </w:r>
      <w:r>
        <w:rPr>
          <w:rFonts w:hint="eastAsia" w:ascii="Times New Roman" w:hAnsi="Times New Roman" w:eastAsia="仿宋_GB2312"/>
          <w:b w:val="0"/>
          <w:bCs w:val="0"/>
          <w:kern w:val="2"/>
          <w:lang w:val="en-US" w:eastAsia="zh-CN"/>
        </w:rPr>
        <w:t>管理</w:t>
      </w:r>
      <w:r>
        <w:rPr>
          <w:rFonts w:ascii="Times New Roman" w:hAnsi="Times New Roman" w:eastAsia="仿宋_GB2312"/>
          <w:b w:val="0"/>
          <w:bCs w:val="0"/>
          <w:kern w:val="2"/>
        </w:rPr>
        <w:t>。在监督环节上，实行关口前移，从事后监督管理转向事前审核，事中监督和事后检查稽核相结合的监督制度上来，形成多环节全过程的监督管理格局，尽量早发现问题，早解决问题。</w:t>
      </w:r>
    </w:p>
    <w:p w14:paraId="59B7E41D">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val="0"/>
          <w:bCs w:val="0"/>
          <w:color w:val="auto"/>
          <w:sz w:val="32"/>
          <w:szCs w:val="32"/>
          <w:u w:val="none" w:color="auto"/>
          <w:lang w:val="en-US" w:eastAsia="zh-CN"/>
        </w:rPr>
        <w:t>项目资金管理：制定项目资金使用制度；财政安排项目资金到位后，须制定资金使用计划，上会研究，作为今后使用资金的依据；项目资金做到专款专用、专人负责，不占</w:t>
      </w:r>
      <w:r>
        <w:rPr>
          <w:rFonts w:hint="eastAsia" w:ascii="仿宋_GB2312" w:hAnsi="仿宋_GB2312" w:eastAsia="仿宋_GB2312" w:cs="仿宋_GB2312"/>
          <w:sz w:val="32"/>
          <w:szCs w:val="32"/>
          <w:highlight w:val="none"/>
          <w:lang w:val="en-US" w:eastAsia="zh-CN"/>
        </w:rPr>
        <w:t>用、挪用项目资金；项目资金使用落实责任人，压实工作，使用必须按要求和规范进行。</w:t>
      </w:r>
    </w:p>
    <w:p w14:paraId="4DAC60DE">
      <w:pPr>
        <w:shd w:val="clear"/>
        <w:spacing w:line="600" w:lineRule="exact"/>
        <w:ind w:firstLine="643" w:firstLineChars="200"/>
        <w:outlineLvl w:val="0"/>
        <w:rPr>
          <w:rFonts w:hint="eastAsia" w:ascii="楷体" w:hAnsi="楷体" w:eastAsia="楷体" w:cs="楷体"/>
          <w:b/>
          <w:bCs/>
          <w:sz w:val="32"/>
          <w:szCs w:val="32"/>
          <w:highlight w:val="none"/>
          <w:lang w:val="en-US" w:eastAsia="zh-CN"/>
        </w:rPr>
      </w:pPr>
      <w:r>
        <w:rPr>
          <w:rFonts w:hint="eastAsia" w:ascii="楷体" w:hAnsi="楷体" w:eastAsia="楷体" w:cs="楷体"/>
          <w:b/>
          <w:bCs/>
          <w:sz w:val="32"/>
          <w:szCs w:val="32"/>
          <w:highlight w:val="none"/>
          <w:lang w:val="en-US" w:eastAsia="zh-CN"/>
        </w:rPr>
        <w:t>（二）存在的问题及原因分析</w:t>
      </w:r>
    </w:p>
    <w:p w14:paraId="3B3B0AE6">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工作还存在自我审定的局限性，影响评价质量。</w:t>
      </w:r>
    </w:p>
    <w:p w14:paraId="77D76E9A">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2.因轮岗、调动等因素使我单位绩效工作人员流动频繁，造成了工作衔接不到位的情况。</w:t>
      </w:r>
    </w:p>
    <w:p w14:paraId="410BB004">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w:t>
      </w:r>
      <w:r>
        <w:rPr>
          <w:rFonts w:hint="eastAsia" w:ascii="仿宋_GB2312" w:hAnsi="Times New Roman" w:eastAsia="仿宋_GB2312" w:cs="Times New Roman"/>
          <w:b w:val="0"/>
          <w:bCs/>
          <w:sz w:val="32"/>
          <w:szCs w:val="32"/>
          <w:highlight w:val="none"/>
          <w:lang w:val="en-US" w:eastAsia="zh-CN"/>
        </w:rPr>
        <w:t>我</w:t>
      </w:r>
      <w:r>
        <w:rPr>
          <w:rFonts w:hint="eastAsia" w:ascii="仿宋_GB2312" w:hAnsi="Times New Roman" w:eastAsia="仿宋_GB2312" w:cs="Times New Roman"/>
          <w:b w:val="0"/>
          <w:bCs/>
          <w:sz w:val="32"/>
          <w:szCs w:val="32"/>
          <w:lang w:val="en-US" w:eastAsia="zh-CN"/>
        </w:rPr>
        <w:t>中心绩效工作由财务人员主要负责，项目人员对绩效管理工作了解程度不够，造成设置目标有时不能完全体现项目任务，工作进度反映到监控或自评节点时不准确。部分指标设置不切实际，没有考虑实际工作需要，与实际工作与考核的结</w:t>
      </w:r>
      <w:r>
        <w:rPr>
          <w:rFonts w:hint="eastAsia" w:ascii="仿宋_GB2312" w:hAnsi="仿宋_GB2312" w:eastAsia="仿宋_GB2312" w:cs="仿宋_GB2312"/>
          <w:sz w:val="32"/>
          <w:szCs w:val="32"/>
          <w:highlight w:val="none"/>
          <w:lang w:val="en-US" w:eastAsia="zh-CN"/>
        </w:rPr>
        <w:t>合力度不强，影响了指标考核成效。</w:t>
      </w:r>
    </w:p>
    <w:p w14:paraId="0D531A7A">
      <w:pPr>
        <w:shd w:val="clear"/>
        <w:spacing w:line="600" w:lineRule="exact"/>
        <w:ind w:firstLine="640" w:firstLineChars="200"/>
        <w:outlineLvl w:val="0"/>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六、有关建议</w:t>
      </w:r>
    </w:p>
    <w:p w14:paraId="0AFDED0C">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1.多进行有关绩效管理工作方面的培训。积极组织第三方开展绩效管理工作培训，进一步夯实业务基础，提高我单位绩效人员水平。</w:t>
      </w:r>
    </w:p>
    <w:p w14:paraId="310F89C0">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2.进一步提升我单位绩效管理工作业务水平，扎实做好绩效管理工作。</w:t>
      </w:r>
    </w:p>
    <w:p w14:paraId="1311E821">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3.进一步规范项目建设的程序</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。细化实施方案，严格执行资金管理办法和财政资金管理制度，严格按照项目实施方案</w:t>
      </w:r>
      <w:r>
        <w:rPr>
          <w:rFonts w:hint="eastAsia" w:ascii="仿宋_GB2312" w:hAnsi="仿宋_GB2312" w:eastAsia="仿宋_GB2312" w:cs="仿宋_GB2312"/>
          <w:sz w:val="32"/>
          <w:szCs w:val="32"/>
          <w:highlight w:val="none"/>
          <w:lang w:val="en-US" w:eastAsia="zh-CN"/>
        </w:rPr>
        <w:t>稳步推进工作，各部门单位根据自己项目进行总结。</w:t>
      </w:r>
    </w:p>
    <w:p w14:paraId="644E7CD0">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eastAsia" w:ascii="仿宋_GB2312" w:hAnsi="仿宋_GB2312" w:eastAsia="仿宋_GB2312" w:cs="仿宋_GB2312"/>
          <w:sz w:val="36"/>
          <w:szCs w:val="32"/>
        </w:rPr>
      </w:pPr>
      <w:r>
        <w:rPr>
          <w:rFonts w:hint="eastAsia" w:ascii="仿宋_GB2312" w:hAnsi="仿宋_GB2312" w:eastAsia="仿宋_GB2312" w:cs="仿宋_GB2312"/>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sz w:val="36"/>
          <w:szCs w:val="32"/>
        </w:rPr>
        <w:t>。</w:t>
      </w:r>
    </w:p>
    <w:p w14:paraId="0D65ED66">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5.进一步加强对绩效管理工作的组织领导，提高对预算绩效管理工作重要性的认识，总结经验查找问题，抓紧研究制定更全面更完善的绩效评价管理办法。加强对全面实施预算绩效管理和绩效管理工作的学习力度，让“花钱必问效，无效必问责”的理念深入工作每个环节。</w:t>
      </w:r>
    </w:p>
    <w:p w14:paraId="77DE8DAA">
      <w:pPr>
        <w:shd w:val="clear"/>
        <w:spacing w:line="600" w:lineRule="exact"/>
        <w:ind w:firstLine="640" w:firstLineChars="200"/>
        <w:outlineLvl w:val="0"/>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七</w:t>
      </w:r>
      <w:r>
        <w:rPr>
          <w:rFonts w:hint="eastAsia" w:ascii="黑体" w:hAnsi="黑体" w:eastAsia="黑体" w:cs="黑体"/>
          <w:sz w:val="32"/>
          <w:szCs w:val="32"/>
          <w:highlight w:val="none"/>
          <w:lang w:val="en-US" w:eastAsia="zh-Hans"/>
        </w:rPr>
        <w:t>、</w:t>
      </w:r>
      <w:r>
        <w:rPr>
          <w:rFonts w:hint="eastAsia" w:ascii="黑体" w:hAnsi="黑体" w:eastAsia="黑体" w:cs="黑体"/>
          <w:sz w:val="32"/>
          <w:szCs w:val="32"/>
          <w:highlight w:val="none"/>
          <w:lang w:val="en-US" w:eastAsia="zh-CN"/>
        </w:rPr>
        <w:t>其他需</w:t>
      </w:r>
      <w:bookmarkStart w:id="2" w:name="page8"/>
      <w:bookmarkEnd w:id="2"/>
      <w:r>
        <w:rPr>
          <w:rFonts w:hint="eastAsia" w:ascii="黑体" w:hAnsi="黑体" w:eastAsia="黑体" w:cs="黑体"/>
          <w:sz w:val="32"/>
          <w:szCs w:val="32"/>
          <w:highlight w:val="none"/>
          <w:lang w:val="en-US" w:eastAsia="zh-CN"/>
        </w:rPr>
        <w:t>要说明的问题</w:t>
      </w:r>
    </w:p>
    <w:p w14:paraId="30F9948E">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Hans"/>
        </w:rPr>
      </w:pPr>
      <w:r>
        <w:rPr>
          <w:rFonts w:hint="eastAsia" w:ascii="仿宋_GB2312" w:hAnsi="仿宋_GB2312" w:eastAsia="仿宋_GB2312" w:cs="仿宋_GB2312"/>
          <w:sz w:val="32"/>
          <w:szCs w:val="32"/>
          <w:highlight w:val="none"/>
          <w:lang w:val="en-US" w:eastAsia="zh-Hans"/>
        </w:rPr>
        <w:t>本项目无其他需说明的问题。</w:t>
      </w:r>
    </w:p>
    <w:p w14:paraId="73664341">
      <w:pPr>
        <w:pStyle w:val="10"/>
        <w:rPr>
          <w:rFonts w:hint="eastAsia" w:ascii="仿宋_GB2312" w:hAnsi="仿宋_GB2312" w:eastAsia="仿宋_GB2312" w:cs="仿宋_GB2312"/>
          <w:sz w:val="32"/>
          <w:szCs w:val="32"/>
          <w:highlight w:val="none"/>
          <w:lang w:val="en-US" w:eastAsia="zh-Hans"/>
        </w:rPr>
      </w:pPr>
    </w:p>
    <w:p w14:paraId="214E7A94">
      <w:pPr>
        <w:rPr>
          <w:rFonts w:hint="eastAsia" w:ascii="仿宋_GB2312" w:hAnsi="仿宋_GB2312" w:eastAsia="仿宋_GB2312" w:cs="仿宋_GB2312"/>
          <w:sz w:val="32"/>
          <w:szCs w:val="32"/>
          <w:highlight w:val="none"/>
          <w:lang w:val="en-US" w:eastAsia="zh-Hans"/>
        </w:rPr>
      </w:pPr>
    </w:p>
    <w:p w14:paraId="0539F7DF">
      <w:pPr>
        <w:pStyle w:val="10"/>
        <w:rPr>
          <w:rFonts w:hint="eastAsia" w:ascii="仿宋_GB2312" w:hAnsi="仿宋_GB2312" w:eastAsia="仿宋_GB2312" w:cs="仿宋_GB2312"/>
          <w:sz w:val="32"/>
          <w:szCs w:val="32"/>
          <w:highlight w:val="none"/>
          <w:lang w:val="en-US" w:eastAsia="zh-Hans"/>
        </w:rPr>
      </w:pPr>
    </w:p>
    <w:p w14:paraId="19017751">
      <w:pPr>
        <w:rPr>
          <w:rFonts w:hint="eastAsia" w:ascii="仿宋_GB2312" w:hAnsi="仿宋_GB2312" w:eastAsia="仿宋_GB2312" w:cs="仿宋_GB2312"/>
          <w:sz w:val="32"/>
          <w:szCs w:val="32"/>
          <w:highlight w:val="none"/>
          <w:lang w:val="en-US" w:eastAsia="zh-Hans"/>
        </w:rPr>
      </w:pPr>
    </w:p>
    <w:p w14:paraId="7EE3821B">
      <w:pPr>
        <w:pStyle w:val="10"/>
        <w:rPr>
          <w:rFonts w:hint="eastAsia" w:ascii="仿宋_GB2312" w:hAnsi="仿宋_GB2312" w:eastAsia="仿宋_GB2312" w:cs="仿宋_GB2312"/>
          <w:sz w:val="32"/>
          <w:szCs w:val="32"/>
          <w:highlight w:val="none"/>
          <w:lang w:val="en-US" w:eastAsia="zh-Hans"/>
        </w:rPr>
      </w:pPr>
    </w:p>
    <w:p w14:paraId="765846D6">
      <w:pPr>
        <w:rPr>
          <w:rFonts w:hint="eastAsia" w:ascii="仿宋_GB2312" w:hAnsi="仿宋_GB2312" w:eastAsia="仿宋_GB2312" w:cs="仿宋_GB2312"/>
          <w:sz w:val="32"/>
          <w:szCs w:val="32"/>
          <w:highlight w:val="none"/>
          <w:lang w:val="en-US" w:eastAsia="zh-Hans"/>
        </w:rPr>
      </w:pPr>
    </w:p>
    <w:p w14:paraId="453E83F9">
      <w:pPr>
        <w:pStyle w:val="10"/>
        <w:rPr>
          <w:rFonts w:hint="eastAsia" w:ascii="仿宋_GB2312" w:hAnsi="仿宋_GB2312" w:eastAsia="仿宋_GB2312" w:cs="仿宋_GB2312"/>
          <w:sz w:val="32"/>
          <w:szCs w:val="32"/>
          <w:highlight w:val="none"/>
          <w:lang w:val="en-US" w:eastAsia="zh-Hans"/>
        </w:rPr>
      </w:pPr>
    </w:p>
    <w:p w14:paraId="1261BFD7">
      <w:pPr>
        <w:pStyle w:val="10"/>
        <w:ind w:left="0" w:leftChars="0" w:firstLine="0" w:firstLineChars="0"/>
        <w:rPr>
          <w:rFonts w:hint="eastAsia"/>
          <w:lang w:val="en-US" w:eastAsia="zh-Hans"/>
        </w:rPr>
      </w:pPr>
    </w:p>
    <w:p w14:paraId="551BF352">
      <w:pPr>
        <w:pStyle w:val="10"/>
        <w:rPr>
          <w:rFonts w:hint="eastAsia"/>
          <w:lang w:val="en-US" w:eastAsia="zh-CN"/>
        </w:rPr>
      </w:pPr>
    </w:p>
    <w:p w14:paraId="27DA87E9">
      <w:pPr>
        <w:pStyle w:val="10"/>
        <w:ind w:left="0" w:leftChars="0" w:firstLine="0" w:firstLineChars="0"/>
        <w:rPr>
          <w:rFonts w:hint="default"/>
          <w:lang w:val="en-US" w:eastAsia="zh-CN"/>
        </w:rPr>
        <w:sectPr>
          <w:pgSz w:w="11906" w:h="16838"/>
          <w:pgMar w:top="1440" w:right="1558" w:bottom="1440" w:left="1800" w:header="851" w:footer="992" w:gutter="0"/>
          <w:cols w:space="425" w:num="1"/>
          <w:docGrid w:type="lines" w:linePitch="312" w:charSpace="0"/>
        </w:sectPr>
      </w:pPr>
    </w:p>
    <w:p w14:paraId="308ADEED">
      <w:pPr>
        <w:spacing w:line="600" w:lineRule="exact"/>
        <w:rPr>
          <w:rFonts w:hint="default" w:ascii="Times New Roman" w:hAnsi="Times New Roman" w:eastAsia="黑体" w:cs="Times New Roman"/>
          <w:b/>
          <w:bCs w:val="0"/>
          <w:sz w:val="32"/>
          <w:szCs w:val="32"/>
        </w:rPr>
      </w:pPr>
      <w:r>
        <w:rPr>
          <w:rFonts w:hint="default" w:ascii="Times New Roman" w:hAnsi="Times New Roman" w:eastAsia="黑体" w:cs="Times New Roman"/>
          <w:b/>
          <w:bCs w:val="0"/>
          <w:sz w:val="32"/>
          <w:szCs w:val="32"/>
        </w:rPr>
        <w:t>附件1</w:t>
      </w:r>
    </w:p>
    <w:p w14:paraId="76C9253E">
      <w:pPr>
        <w:pStyle w:val="20"/>
        <w:ind w:firstLine="562"/>
        <w:jc w:val="center"/>
        <w:rPr>
          <w:rFonts w:hint="default" w:ascii="Times New Roman" w:hAnsi="Times New Roman" w:eastAsia="仿宋_GB2312" w:cs="Times New Roman"/>
          <w:b w:val="0"/>
          <w:bCs w:val="0"/>
          <w:sz w:val="32"/>
          <w:szCs w:val="32"/>
        </w:rPr>
      </w:pPr>
      <w:bookmarkStart w:id="3" w:name="_Toc30064_WPSOffice_Level1"/>
      <w:bookmarkStart w:id="4" w:name="_Toc26499_WPSOffice_Level2"/>
      <w:r>
        <w:rPr>
          <w:rFonts w:hint="eastAsia" w:eastAsia="仿宋_GB2312" w:cs="Times New Roman"/>
          <w:b/>
          <w:bCs/>
          <w:color w:val="auto"/>
          <w:sz w:val="32"/>
          <w:szCs w:val="32"/>
          <w:lang w:val="en-US" w:eastAsia="zh-CN"/>
        </w:rPr>
        <w:t>哈密市融媒体中心</w:t>
      </w:r>
      <w:r>
        <w:rPr>
          <w:rFonts w:hint="default" w:ascii="Times New Roman" w:hAnsi="Times New Roman" w:eastAsia="仿宋_GB2312" w:cs="Times New Roman"/>
          <w:b/>
          <w:bCs/>
          <w:color w:val="auto"/>
          <w:sz w:val="32"/>
          <w:szCs w:val="32"/>
        </w:rPr>
        <w:t>项目绩效评价指标体系及综合评分表</w:t>
      </w:r>
      <w:bookmarkEnd w:id="3"/>
      <w:bookmarkEnd w:id="4"/>
    </w:p>
    <w:tbl>
      <w:tblPr>
        <w:tblStyle w:val="15"/>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32"/>
        <w:gridCol w:w="764"/>
        <w:gridCol w:w="873"/>
        <w:gridCol w:w="2353"/>
        <w:gridCol w:w="5198"/>
        <w:gridCol w:w="1300"/>
        <w:gridCol w:w="1363"/>
      </w:tblGrid>
      <w:tr w14:paraId="567AC7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32" w:type="dxa"/>
            <w:shd w:val="clear" w:color="auto" w:fill="auto"/>
            <w:vAlign w:val="center"/>
          </w:tcPr>
          <w:p w14:paraId="3792DA50">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一级指标</w:t>
            </w:r>
          </w:p>
        </w:tc>
        <w:tc>
          <w:tcPr>
            <w:tcW w:w="764" w:type="dxa"/>
            <w:shd w:val="clear" w:color="auto" w:fill="auto"/>
            <w:vAlign w:val="center"/>
          </w:tcPr>
          <w:p w14:paraId="3A274DF0">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二级指标</w:t>
            </w:r>
          </w:p>
        </w:tc>
        <w:tc>
          <w:tcPr>
            <w:tcW w:w="873" w:type="dxa"/>
            <w:shd w:val="clear" w:color="auto" w:fill="auto"/>
            <w:vAlign w:val="center"/>
          </w:tcPr>
          <w:p w14:paraId="07A5F7CA">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三级指标</w:t>
            </w:r>
          </w:p>
        </w:tc>
        <w:tc>
          <w:tcPr>
            <w:tcW w:w="2353" w:type="dxa"/>
            <w:shd w:val="clear" w:color="auto" w:fill="auto"/>
            <w:vAlign w:val="center"/>
          </w:tcPr>
          <w:p w14:paraId="78632F13">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指标解释</w:t>
            </w:r>
          </w:p>
        </w:tc>
        <w:tc>
          <w:tcPr>
            <w:tcW w:w="5198" w:type="dxa"/>
            <w:shd w:val="clear" w:color="auto" w:fill="auto"/>
            <w:vAlign w:val="center"/>
          </w:tcPr>
          <w:p w14:paraId="1386CA0F">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指标说明</w:t>
            </w:r>
          </w:p>
        </w:tc>
        <w:tc>
          <w:tcPr>
            <w:tcW w:w="1300" w:type="dxa"/>
            <w:shd w:val="clear" w:color="auto" w:fill="auto"/>
            <w:vAlign w:val="center"/>
          </w:tcPr>
          <w:p w14:paraId="3FA0272A">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权重</w:t>
            </w:r>
          </w:p>
        </w:tc>
        <w:tc>
          <w:tcPr>
            <w:tcW w:w="1363" w:type="dxa"/>
            <w:shd w:val="clear" w:color="auto" w:fill="auto"/>
            <w:vAlign w:val="center"/>
          </w:tcPr>
          <w:p w14:paraId="1548E993">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得分</w:t>
            </w:r>
          </w:p>
        </w:tc>
      </w:tr>
      <w:tr w14:paraId="15A822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919" w:hRule="atLeast"/>
          <w:jc w:val="center"/>
        </w:trPr>
        <w:tc>
          <w:tcPr>
            <w:tcW w:w="832" w:type="dxa"/>
            <w:vMerge w:val="restart"/>
            <w:shd w:val="clear" w:color="auto" w:fill="auto"/>
            <w:vAlign w:val="center"/>
          </w:tcPr>
          <w:p w14:paraId="4478CFEC">
            <w:pPr>
              <w:widowControl/>
              <w:spacing w:line="0" w:lineRule="atLeast"/>
              <w:jc w:val="center"/>
              <w:rPr>
                <w:rFonts w:hint="default" w:ascii="Times New Roman" w:hAnsi="Times New Roman" w:eastAsia="仿宋_GB2312" w:cs="Times New Roman"/>
                <w:color w:val="000000"/>
                <w:kern w:val="0"/>
                <w:sz w:val="22"/>
                <w:szCs w:val="22"/>
              </w:rPr>
            </w:pPr>
          </w:p>
          <w:p w14:paraId="25987DD0">
            <w:pPr>
              <w:widowControl/>
              <w:spacing w:line="0" w:lineRule="atLeast"/>
              <w:jc w:val="center"/>
              <w:rPr>
                <w:rFonts w:hint="default" w:ascii="Times New Roman" w:hAnsi="Times New Roman" w:eastAsia="仿宋_GB2312" w:cs="Times New Roman"/>
                <w:color w:val="000000"/>
                <w:kern w:val="0"/>
                <w:sz w:val="22"/>
                <w:szCs w:val="22"/>
              </w:rPr>
            </w:pPr>
          </w:p>
          <w:p w14:paraId="6247C33D">
            <w:pPr>
              <w:widowControl/>
              <w:spacing w:line="0" w:lineRule="atLeast"/>
              <w:jc w:val="center"/>
              <w:rPr>
                <w:rFonts w:hint="default" w:ascii="Times New Roman" w:hAnsi="Times New Roman" w:eastAsia="仿宋_GB2312" w:cs="Times New Roman"/>
                <w:color w:val="000000"/>
                <w:kern w:val="0"/>
                <w:sz w:val="22"/>
                <w:szCs w:val="22"/>
              </w:rPr>
            </w:pPr>
          </w:p>
          <w:p w14:paraId="40F86689">
            <w:pPr>
              <w:widowControl/>
              <w:spacing w:line="0" w:lineRule="atLeast"/>
              <w:jc w:val="center"/>
              <w:rPr>
                <w:rFonts w:hint="default" w:ascii="Times New Roman" w:hAnsi="Times New Roman" w:eastAsia="仿宋_GB2312" w:cs="Times New Roman"/>
                <w:color w:val="000000"/>
                <w:kern w:val="0"/>
                <w:sz w:val="22"/>
                <w:szCs w:val="22"/>
              </w:rPr>
            </w:pPr>
          </w:p>
          <w:p w14:paraId="403990B4">
            <w:pPr>
              <w:widowControl/>
              <w:spacing w:line="0" w:lineRule="atLeast"/>
              <w:jc w:val="center"/>
              <w:rPr>
                <w:rFonts w:hint="default" w:ascii="Times New Roman" w:hAnsi="Times New Roman" w:eastAsia="仿宋_GB2312" w:cs="Times New Roman"/>
                <w:color w:val="000000"/>
                <w:kern w:val="0"/>
                <w:sz w:val="22"/>
                <w:szCs w:val="22"/>
              </w:rPr>
            </w:pPr>
          </w:p>
          <w:p w14:paraId="3E1C92B8">
            <w:pPr>
              <w:widowControl/>
              <w:spacing w:line="0" w:lineRule="atLeast"/>
              <w:jc w:val="center"/>
              <w:rPr>
                <w:rFonts w:hint="default" w:ascii="Times New Roman" w:hAnsi="Times New Roman" w:eastAsia="仿宋_GB2312" w:cs="Times New Roman"/>
                <w:color w:val="000000"/>
                <w:kern w:val="0"/>
                <w:sz w:val="22"/>
                <w:szCs w:val="22"/>
              </w:rPr>
            </w:pPr>
          </w:p>
          <w:p w14:paraId="0DD9732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决策　</w:t>
            </w:r>
          </w:p>
        </w:tc>
        <w:tc>
          <w:tcPr>
            <w:tcW w:w="764" w:type="dxa"/>
            <w:vMerge w:val="restart"/>
            <w:shd w:val="clear" w:color="auto" w:fill="auto"/>
            <w:vAlign w:val="center"/>
          </w:tcPr>
          <w:p w14:paraId="7E7C8AE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　</w:t>
            </w:r>
          </w:p>
        </w:tc>
        <w:tc>
          <w:tcPr>
            <w:tcW w:w="873" w:type="dxa"/>
            <w:shd w:val="clear" w:color="auto" w:fill="auto"/>
            <w:vAlign w:val="center"/>
          </w:tcPr>
          <w:p w14:paraId="483948B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立项依据</w:t>
            </w:r>
          </w:p>
          <w:p w14:paraId="5690752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充分性</w:t>
            </w:r>
          </w:p>
        </w:tc>
        <w:tc>
          <w:tcPr>
            <w:tcW w:w="2353" w:type="dxa"/>
            <w:shd w:val="clear" w:color="auto" w:fill="auto"/>
            <w:vAlign w:val="center"/>
          </w:tcPr>
          <w:p w14:paraId="6C85B709">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项目立项是否符合法律法规、相关政策、发展规划以及部门职责，用以反映和考核项目立项依据情况。</w:t>
            </w:r>
          </w:p>
        </w:tc>
        <w:tc>
          <w:tcPr>
            <w:tcW w:w="5198" w:type="dxa"/>
            <w:shd w:val="clear" w:color="auto" w:fill="auto"/>
            <w:vAlign w:val="center"/>
          </w:tcPr>
          <w:p w14:paraId="30718A3A">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①项目立项是否符合国家法律法规、国民经济发展规划和相关政策；</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②项目立项是否符合行业发展规划和政策要求；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③项目立项是否与部门职责范围相符，属于部门履职所需；</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④项目是否属于公共财政支持范围，是否符合中央、地方事权支出责任划分原则；</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⑤项目是否与相关部门同类项目或部门内部相关项目重复。</w:t>
            </w:r>
          </w:p>
        </w:tc>
        <w:tc>
          <w:tcPr>
            <w:tcW w:w="1300" w:type="dxa"/>
            <w:shd w:val="clear" w:color="auto" w:fill="auto"/>
            <w:vAlign w:val="center"/>
          </w:tcPr>
          <w:p w14:paraId="06F480A3">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66A77663">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2E88B4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90" w:hRule="atLeast"/>
          <w:jc w:val="center"/>
        </w:trPr>
        <w:tc>
          <w:tcPr>
            <w:tcW w:w="832" w:type="dxa"/>
            <w:vMerge w:val="continue"/>
            <w:shd w:val="clear" w:color="auto" w:fill="auto"/>
            <w:vAlign w:val="center"/>
          </w:tcPr>
          <w:p w14:paraId="2589B216">
            <w:pPr>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19C220BE">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7B0739F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立项程序</w:t>
            </w:r>
          </w:p>
          <w:p w14:paraId="3AF24C6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规范性</w:t>
            </w:r>
          </w:p>
        </w:tc>
        <w:tc>
          <w:tcPr>
            <w:tcW w:w="2353" w:type="dxa"/>
            <w:shd w:val="clear" w:color="auto" w:fill="auto"/>
            <w:vAlign w:val="center"/>
          </w:tcPr>
          <w:p w14:paraId="02F0204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项目申请、设立过程是否符合相关要求，用以反映和考核项目立项的规范情况。</w:t>
            </w:r>
          </w:p>
        </w:tc>
        <w:tc>
          <w:tcPr>
            <w:tcW w:w="5198" w:type="dxa"/>
            <w:shd w:val="clear" w:color="auto" w:fill="auto"/>
            <w:vAlign w:val="center"/>
          </w:tcPr>
          <w:p w14:paraId="0C1760CC">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①项目是否按照规定的程序申请设立；</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②审批文件、材料是否符合相关要求；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③事前是否已经过必要的可行性研究、专家论证、风险评估、绩效评估、集体决策。</w:t>
            </w:r>
          </w:p>
        </w:tc>
        <w:tc>
          <w:tcPr>
            <w:tcW w:w="1300" w:type="dxa"/>
            <w:shd w:val="clear" w:color="auto" w:fill="auto"/>
            <w:vAlign w:val="center"/>
          </w:tcPr>
          <w:p w14:paraId="29C3701D">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155A10BF">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731DD5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90" w:hRule="atLeast"/>
          <w:jc w:val="center"/>
        </w:trPr>
        <w:tc>
          <w:tcPr>
            <w:tcW w:w="832" w:type="dxa"/>
            <w:vMerge w:val="continue"/>
            <w:shd w:val="clear" w:color="auto" w:fill="auto"/>
            <w:vAlign w:val="center"/>
          </w:tcPr>
          <w:p w14:paraId="12B66196">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14:paraId="09D2D02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　</w:t>
            </w:r>
          </w:p>
        </w:tc>
        <w:tc>
          <w:tcPr>
            <w:tcW w:w="873" w:type="dxa"/>
            <w:shd w:val="clear" w:color="auto" w:fill="auto"/>
            <w:vAlign w:val="center"/>
          </w:tcPr>
          <w:p w14:paraId="70857E7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w:t>
            </w:r>
          </w:p>
          <w:p w14:paraId="1535F51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353" w:type="dxa"/>
            <w:shd w:val="clear" w:color="auto" w:fill="auto"/>
            <w:vAlign w:val="center"/>
          </w:tcPr>
          <w:p w14:paraId="68A30D1F">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项目所设定的绩效目标是否依据充分，是否符合客观实际，用以反映和考核项目绩效目标与项目实施的相符情况。</w:t>
            </w:r>
          </w:p>
        </w:tc>
        <w:tc>
          <w:tcPr>
            <w:tcW w:w="5198" w:type="dxa"/>
            <w:shd w:val="clear" w:color="auto" w:fill="auto"/>
            <w:vAlign w:val="center"/>
          </w:tcPr>
          <w:p w14:paraId="03601A98">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（如未设定预算绩效目标，也可考核其他工作任务目标）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①项目是否有绩效目标；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②项目绩效目标与实际工作内容是否具有相关性；</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③项目预期产出效益和效果是否符合正常的业绩水平；</w:t>
            </w:r>
          </w:p>
          <w:p w14:paraId="4B7D1DE3">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④是否与预算确定的项目投资额或资金量相匹配。</w:t>
            </w:r>
          </w:p>
        </w:tc>
        <w:tc>
          <w:tcPr>
            <w:tcW w:w="1300" w:type="dxa"/>
            <w:shd w:val="clear" w:color="auto" w:fill="auto"/>
            <w:vAlign w:val="center"/>
          </w:tcPr>
          <w:p w14:paraId="314B6EBB">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72A29B0D">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6858E4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64" w:hRule="atLeast"/>
          <w:jc w:val="center"/>
        </w:trPr>
        <w:tc>
          <w:tcPr>
            <w:tcW w:w="832" w:type="dxa"/>
            <w:vMerge w:val="continue"/>
            <w:shd w:val="clear" w:color="auto" w:fill="auto"/>
            <w:vAlign w:val="center"/>
          </w:tcPr>
          <w:p w14:paraId="32271BCE">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63926D28">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0F0174A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绩效指标</w:t>
            </w:r>
          </w:p>
          <w:p w14:paraId="6BC152E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明确性</w:t>
            </w:r>
          </w:p>
        </w:tc>
        <w:tc>
          <w:tcPr>
            <w:tcW w:w="2353" w:type="dxa"/>
            <w:shd w:val="clear" w:color="auto" w:fill="auto"/>
            <w:vAlign w:val="center"/>
          </w:tcPr>
          <w:p w14:paraId="60809288">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依据绩效目标设定的绩效指标是否清晰、细化、可衡量等，用以反映和考核项目绩效目标的明细化情况。</w:t>
            </w:r>
          </w:p>
        </w:tc>
        <w:tc>
          <w:tcPr>
            <w:tcW w:w="5198" w:type="dxa"/>
            <w:shd w:val="clear" w:color="auto" w:fill="auto"/>
            <w:vAlign w:val="center"/>
          </w:tcPr>
          <w:p w14:paraId="58FEFA4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①是否将项目绩效目标细化分解为具体的绩效指标；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②是否通过清晰、可衡量的指标值予以体现；</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③是否与项目目标任务数或计划数相对应。</w:t>
            </w:r>
            <w:r>
              <w:rPr>
                <w:rFonts w:hint="default" w:ascii="Times New Roman" w:hAnsi="Times New Roman" w:eastAsia="仿宋_GB2312" w:cs="Times New Roman"/>
                <w:color w:val="000000"/>
                <w:kern w:val="0"/>
                <w:sz w:val="22"/>
                <w:szCs w:val="22"/>
              </w:rPr>
              <w:br w:type="textWrapping"/>
            </w:r>
          </w:p>
        </w:tc>
        <w:tc>
          <w:tcPr>
            <w:tcW w:w="1300" w:type="dxa"/>
            <w:shd w:val="clear" w:color="auto" w:fill="auto"/>
            <w:vAlign w:val="center"/>
          </w:tcPr>
          <w:p w14:paraId="39CF7C75">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06055628">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35247F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2" w:hRule="atLeast"/>
          <w:jc w:val="center"/>
        </w:trPr>
        <w:tc>
          <w:tcPr>
            <w:tcW w:w="832" w:type="dxa"/>
            <w:vMerge w:val="continue"/>
            <w:shd w:val="clear" w:color="auto" w:fill="auto"/>
            <w:vAlign w:val="center"/>
          </w:tcPr>
          <w:p w14:paraId="6472D839">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14:paraId="5BCFF61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资金投入</w:t>
            </w:r>
          </w:p>
          <w:p w14:paraId="227E8D0F">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auto"/>
            <w:vAlign w:val="center"/>
          </w:tcPr>
          <w:p w14:paraId="5AB1EF3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预算编制</w:t>
            </w:r>
          </w:p>
          <w:p w14:paraId="290AB05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科学性</w:t>
            </w:r>
          </w:p>
        </w:tc>
        <w:tc>
          <w:tcPr>
            <w:tcW w:w="2353" w:type="dxa"/>
            <w:shd w:val="clear" w:color="auto" w:fill="auto"/>
            <w:vAlign w:val="center"/>
          </w:tcPr>
          <w:p w14:paraId="5A94D6B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auto"/>
            <w:vAlign w:val="center"/>
          </w:tcPr>
          <w:p w14:paraId="589E5B4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①预算编制是否经过科学论证；</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②预算内容与项目内容是否匹配；</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③预算额度测算依据是否充分，是否按照标准编制；</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④预算确定的项目投资额或资金量是否与工作任务相匹配。</w:t>
            </w:r>
          </w:p>
        </w:tc>
        <w:tc>
          <w:tcPr>
            <w:tcW w:w="1300" w:type="dxa"/>
            <w:shd w:val="clear" w:color="auto" w:fill="auto"/>
            <w:vAlign w:val="center"/>
          </w:tcPr>
          <w:p w14:paraId="455A4005">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0EEAA87A">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55CBAA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32" w:type="dxa"/>
            <w:vMerge w:val="continue"/>
            <w:shd w:val="clear" w:color="auto" w:fill="auto"/>
            <w:vAlign w:val="center"/>
          </w:tcPr>
          <w:p w14:paraId="77DD132C">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3232CE64">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579D0E7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资金分配</w:t>
            </w:r>
          </w:p>
          <w:p w14:paraId="6078EB0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353" w:type="dxa"/>
            <w:shd w:val="clear" w:color="auto" w:fill="auto"/>
            <w:vAlign w:val="center"/>
          </w:tcPr>
          <w:p w14:paraId="78C7C29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auto"/>
            <w:vAlign w:val="center"/>
          </w:tcPr>
          <w:p w14:paraId="6719A979">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①预算资金分配依据是否充分；</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②资金分配额度是否合理，与项目单位或地方实际是否相适应。</w:t>
            </w:r>
          </w:p>
        </w:tc>
        <w:tc>
          <w:tcPr>
            <w:tcW w:w="1300" w:type="dxa"/>
            <w:shd w:val="clear" w:color="auto" w:fill="auto"/>
            <w:vAlign w:val="center"/>
          </w:tcPr>
          <w:p w14:paraId="0D6BABB9">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414C7BF6">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7F6466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15" w:hRule="atLeast"/>
          <w:jc w:val="center"/>
        </w:trPr>
        <w:tc>
          <w:tcPr>
            <w:tcW w:w="832" w:type="dxa"/>
            <w:vMerge w:val="restart"/>
            <w:shd w:val="clear" w:color="auto" w:fill="auto"/>
            <w:vAlign w:val="center"/>
          </w:tcPr>
          <w:p w14:paraId="5F6EBB3F">
            <w:pPr>
              <w:spacing w:line="0" w:lineRule="atLeast"/>
              <w:jc w:val="center"/>
              <w:rPr>
                <w:rFonts w:hint="default" w:ascii="Times New Roman" w:hAnsi="Times New Roman" w:eastAsia="仿宋_GB2312" w:cs="Times New Roman"/>
                <w:color w:val="000000"/>
                <w:kern w:val="0"/>
                <w:sz w:val="22"/>
                <w:szCs w:val="22"/>
              </w:rPr>
            </w:pPr>
          </w:p>
          <w:p w14:paraId="0B75B970">
            <w:pPr>
              <w:spacing w:line="0" w:lineRule="atLeast"/>
              <w:jc w:val="center"/>
              <w:rPr>
                <w:rFonts w:hint="default" w:ascii="Times New Roman" w:hAnsi="Times New Roman" w:eastAsia="仿宋_GB2312" w:cs="Times New Roman"/>
                <w:color w:val="000000"/>
                <w:kern w:val="0"/>
                <w:sz w:val="22"/>
                <w:szCs w:val="22"/>
              </w:rPr>
            </w:pPr>
          </w:p>
          <w:p w14:paraId="29DA888A">
            <w:pPr>
              <w:spacing w:line="0" w:lineRule="atLeast"/>
              <w:jc w:val="center"/>
              <w:rPr>
                <w:rFonts w:hint="default" w:ascii="Times New Roman" w:hAnsi="Times New Roman" w:eastAsia="仿宋_GB2312" w:cs="Times New Roman"/>
                <w:color w:val="000000"/>
                <w:kern w:val="0"/>
                <w:sz w:val="22"/>
                <w:szCs w:val="22"/>
              </w:rPr>
            </w:pPr>
          </w:p>
          <w:p w14:paraId="3120771D">
            <w:pPr>
              <w:spacing w:line="0" w:lineRule="atLeast"/>
              <w:jc w:val="center"/>
              <w:rPr>
                <w:rFonts w:hint="default" w:ascii="Times New Roman" w:hAnsi="Times New Roman" w:eastAsia="仿宋_GB2312" w:cs="Times New Roman"/>
                <w:color w:val="000000"/>
                <w:kern w:val="0"/>
                <w:sz w:val="22"/>
                <w:szCs w:val="22"/>
              </w:rPr>
            </w:pPr>
          </w:p>
          <w:p w14:paraId="70DD32A3">
            <w:pPr>
              <w:spacing w:line="0" w:lineRule="atLeast"/>
              <w:jc w:val="center"/>
              <w:rPr>
                <w:rFonts w:hint="default" w:ascii="Times New Roman" w:hAnsi="Times New Roman" w:eastAsia="仿宋_GB2312" w:cs="Times New Roman"/>
                <w:color w:val="000000"/>
                <w:kern w:val="0"/>
                <w:sz w:val="22"/>
                <w:szCs w:val="22"/>
              </w:rPr>
            </w:pPr>
          </w:p>
          <w:p w14:paraId="359CEC12">
            <w:pPr>
              <w:spacing w:line="0" w:lineRule="atLeast"/>
              <w:jc w:val="center"/>
              <w:rPr>
                <w:rFonts w:hint="default" w:ascii="Times New Roman" w:hAnsi="Times New Roman" w:eastAsia="仿宋_GB2312" w:cs="Times New Roman"/>
                <w:color w:val="000000"/>
                <w:kern w:val="0"/>
                <w:sz w:val="22"/>
                <w:szCs w:val="22"/>
              </w:rPr>
            </w:pPr>
          </w:p>
          <w:p w14:paraId="0784D1DD">
            <w:pPr>
              <w:spacing w:line="0" w:lineRule="atLeast"/>
              <w:jc w:val="center"/>
              <w:rPr>
                <w:rFonts w:hint="default" w:ascii="Times New Roman" w:hAnsi="Times New Roman" w:eastAsia="仿宋_GB2312" w:cs="Times New Roman"/>
                <w:color w:val="000000"/>
                <w:kern w:val="0"/>
                <w:sz w:val="22"/>
                <w:szCs w:val="22"/>
              </w:rPr>
            </w:pPr>
          </w:p>
          <w:p w14:paraId="57186C95">
            <w:pPr>
              <w:spacing w:line="0" w:lineRule="atLeast"/>
              <w:jc w:val="center"/>
              <w:rPr>
                <w:rFonts w:hint="default" w:ascii="Times New Roman" w:hAnsi="Times New Roman" w:eastAsia="仿宋_GB2312" w:cs="Times New Roman"/>
                <w:color w:val="000000"/>
                <w:kern w:val="0"/>
                <w:sz w:val="22"/>
                <w:szCs w:val="22"/>
              </w:rPr>
            </w:pPr>
          </w:p>
          <w:p w14:paraId="2BE7B420">
            <w:pPr>
              <w:spacing w:line="0" w:lineRule="atLeast"/>
              <w:jc w:val="center"/>
              <w:rPr>
                <w:rFonts w:hint="default" w:ascii="Times New Roman" w:hAnsi="Times New Roman" w:eastAsia="仿宋_GB2312" w:cs="Times New Roman"/>
                <w:color w:val="000000"/>
                <w:kern w:val="0"/>
                <w:sz w:val="22"/>
                <w:szCs w:val="22"/>
              </w:rPr>
            </w:pPr>
          </w:p>
          <w:p w14:paraId="190B6B17">
            <w:pPr>
              <w:spacing w:line="0" w:lineRule="atLeast"/>
              <w:jc w:val="center"/>
              <w:rPr>
                <w:rFonts w:hint="default" w:ascii="Times New Roman" w:hAnsi="Times New Roman" w:eastAsia="仿宋_GB2312" w:cs="Times New Roman"/>
                <w:color w:val="000000"/>
                <w:kern w:val="0"/>
                <w:sz w:val="22"/>
                <w:szCs w:val="22"/>
              </w:rPr>
            </w:pPr>
          </w:p>
          <w:p w14:paraId="0F0AA702">
            <w:pPr>
              <w:spacing w:line="0" w:lineRule="atLeast"/>
              <w:jc w:val="center"/>
              <w:rPr>
                <w:rFonts w:hint="default" w:ascii="Times New Roman" w:hAnsi="Times New Roman" w:eastAsia="仿宋_GB2312" w:cs="Times New Roman"/>
                <w:color w:val="000000"/>
                <w:kern w:val="0"/>
                <w:sz w:val="22"/>
                <w:szCs w:val="22"/>
              </w:rPr>
            </w:pPr>
          </w:p>
          <w:p w14:paraId="027E040F">
            <w:pPr>
              <w:spacing w:line="0" w:lineRule="atLeast"/>
              <w:jc w:val="center"/>
              <w:rPr>
                <w:rFonts w:hint="default" w:ascii="Times New Roman" w:hAnsi="Times New Roman" w:eastAsia="仿宋_GB2312" w:cs="Times New Roman"/>
                <w:color w:val="000000"/>
                <w:kern w:val="0"/>
                <w:sz w:val="22"/>
                <w:szCs w:val="22"/>
              </w:rPr>
            </w:pPr>
          </w:p>
          <w:p w14:paraId="0FC87865">
            <w:pPr>
              <w:spacing w:line="0" w:lineRule="atLeast"/>
              <w:jc w:val="center"/>
              <w:rPr>
                <w:rFonts w:hint="default" w:ascii="Times New Roman" w:hAnsi="Times New Roman" w:eastAsia="仿宋_GB2312" w:cs="Times New Roman"/>
                <w:color w:val="000000"/>
                <w:kern w:val="0"/>
                <w:sz w:val="22"/>
                <w:szCs w:val="22"/>
              </w:rPr>
            </w:pPr>
          </w:p>
          <w:p w14:paraId="2A2E0A65">
            <w:pPr>
              <w:spacing w:line="0" w:lineRule="atLeast"/>
              <w:jc w:val="center"/>
              <w:rPr>
                <w:rFonts w:hint="default" w:ascii="Times New Roman" w:hAnsi="Times New Roman" w:eastAsia="仿宋_GB2312" w:cs="Times New Roman"/>
                <w:color w:val="000000"/>
                <w:kern w:val="0"/>
                <w:sz w:val="22"/>
                <w:szCs w:val="22"/>
              </w:rPr>
            </w:pPr>
          </w:p>
          <w:p w14:paraId="28125206">
            <w:pPr>
              <w:spacing w:line="0" w:lineRule="atLeast"/>
              <w:jc w:val="center"/>
              <w:rPr>
                <w:rFonts w:hint="default" w:ascii="Times New Roman" w:hAnsi="Times New Roman" w:eastAsia="仿宋_GB2312" w:cs="Times New Roman"/>
                <w:color w:val="000000"/>
                <w:kern w:val="0"/>
                <w:sz w:val="22"/>
                <w:szCs w:val="22"/>
              </w:rPr>
            </w:pPr>
          </w:p>
          <w:p w14:paraId="20B6E458">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过程</w:t>
            </w:r>
          </w:p>
          <w:p w14:paraId="23C4BD1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764" w:type="dxa"/>
            <w:vMerge w:val="restart"/>
            <w:shd w:val="clear" w:color="auto" w:fill="auto"/>
            <w:vAlign w:val="center"/>
          </w:tcPr>
          <w:p w14:paraId="472DA3F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auto"/>
            <w:vAlign w:val="center"/>
          </w:tcPr>
          <w:p w14:paraId="4966AFE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w:t>
            </w:r>
          </w:p>
        </w:tc>
        <w:tc>
          <w:tcPr>
            <w:tcW w:w="2353" w:type="dxa"/>
            <w:shd w:val="clear" w:color="auto" w:fill="auto"/>
            <w:vAlign w:val="center"/>
          </w:tcPr>
          <w:p w14:paraId="4E1E557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实际到位资金与预算资金的比率，用以反映和考核资金落实情况对项目实施的总体保障程度。</w:t>
            </w:r>
          </w:p>
        </w:tc>
        <w:tc>
          <w:tcPr>
            <w:tcW w:w="5198" w:type="dxa"/>
            <w:shd w:val="clear" w:color="auto" w:fill="auto"/>
            <w:vAlign w:val="center"/>
          </w:tcPr>
          <w:p w14:paraId="1CD211BD">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资金到位率=（实际到位资金/预算资金）×100%。</w:t>
            </w:r>
          </w:p>
          <w:p w14:paraId="1E0EE347">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实际到位资金：一定时期（本年度或项目期）内落实到具体项目的资金。</w:t>
            </w:r>
          </w:p>
          <w:p w14:paraId="4B0A6857">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预算资金：一定时期（本年度或项目期）内预算安排到具体项目的资金。</w:t>
            </w:r>
          </w:p>
        </w:tc>
        <w:tc>
          <w:tcPr>
            <w:tcW w:w="1300" w:type="dxa"/>
            <w:shd w:val="clear" w:color="auto" w:fill="auto"/>
            <w:vAlign w:val="center"/>
          </w:tcPr>
          <w:p w14:paraId="4A4FC19C">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5B333464">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102381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20" w:hRule="atLeast"/>
          <w:jc w:val="center"/>
        </w:trPr>
        <w:tc>
          <w:tcPr>
            <w:tcW w:w="832" w:type="dxa"/>
            <w:vMerge w:val="continue"/>
            <w:shd w:val="clear" w:color="auto" w:fill="auto"/>
            <w:vAlign w:val="center"/>
          </w:tcPr>
          <w:p w14:paraId="1349C7C6">
            <w:pPr>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4EE075EF">
            <w:pPr>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2EA80CB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w:t>
            </w:r>
          </w:p>
        </w:tc>
        <w:tc>
          <w:tcPr>
            <w:tcW w:w="2353" w:type="dxa"/>
            <w:shd w:val="clear" w:color="auto" w:fill="auto"/>
            <w:vAlign w:val="center"/>
          </w:tcPr>
          <w:p w14:paraId="30DA0E68">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项目预算资金是否按照计划执行，用以反映或考核项目预算执行情况。</w:t>
            </w:r>
          </w:p>
        </w:tc>
        <w:tc>
          <w:tcPr>
            <w:tcW w:w="5198" w:type="dxa"/>
            <w:shd w:val="clear" w:color="auto" w:fill="auto"/>
            <w:vAlign w:val="center"/>
          </w:tcPr>
          <w:p w14:paraId="3B20C0BD">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预算执行率=（实际支出资金/实际到位资金）×100%。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实际支出资金：一定时期（本年度或项目期）内项目实际拨付的资金。</w:t>
            </w:r>
          </w:p>
        </w:tc>
        <w:tc>
          <w:tcPr>
            <w:tcW w:w="1300" w:type="dxa"/>
            <w:shd w:val="clear" w:color="auto" w:fill="auto"/>
            <w:vAlign w:val="center"/>
          </w:tcPr>
          <w:p w14:paraId="0397CF57">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default" w:ascii="Times New Roman" w:hAnsi="Times New Roman" w:eastAsia="仿宋_GB2312" w:cs="Times New Roman"/>
                <w:b/>
                <w:bCs/>
                <w:color w:val="000000"/>
                <w:kern w:val="0"/>
                <w:sz w:val="22"/>
                <w:szCs w:val="22"/>
                <w:lang w:val="en-US" w:eastAsia="zh-CN"/>
              </w:rPr>
              <w:t>4</w:t>
            </w:r>
          </w:p>
        </w:tc>
        <w:tc>
          <w:tcPr>
            <w:tcW w:w="1363" w:type="dxa"/>
            <w:shd w:val="clear" w:color="auto" w:fill="auto"/>
            <w:vAlign w:val="center"/>
          </w:tcPr>
          <w:p w14:paraId="4E0D7E93">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eastAsia" w:eastAsia="仿宋_GB2312" w:cs="Times New Roman"/>
                <w:b/>
                <w:bCs/>
                <w:color w:val="000000"/>
                <w:kern w:val="0"/>
                <w:sz w:val="22"/>
                <w:szCs w:val="22"/>
                <w:lang w:val="en-US" w:eastAsia="zh-CN"/>
              </w:rPr>
              <w:t>4</w:t>
            </w:r>
          </w:p>
        </w:tc>
      </w:tr>
      <w:tr w14:paraId="106EDC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32" w:type="dxa"/>
            <w:vMerge w:val="continue"/>
            <w:shd w:val="clear" w:color="auto" w:fill="auto"/>
            <w:vAlign w:val="center"/>
          </w:tcPr>
          <w:p w14:paraId="1A91BAE8">
            <w:pP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57A76D6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auto"/>
            <w:vAlign w:val="center"/>
          </w:tcPr>
          <w:p w14:paraId="11B4044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资金使用</w:t>
            </w:r>
          </w:p>
          <w:p w14:paraId="596A9FB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合规性</w:t>
            </w:r>
          </w:p>
        </w:tc>
        <w:tc>
          <w:tcPr>
            <w:tcW w:w="2353" w:type="dxa"/>
            <w:shd w:val="clear" w:color="auto" w:fill="auto"/>
            <w:vAlign w:val="center"/>
          </w:tcPr>
          <w:p w14:paraId="54B4D57E">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项目资金使用是否符合相关的财务管理制度规定，用以反映和考核项目资金的规范运行情况。</w:t>
            </w:r>
          </w:p>
        </w:tc>
        <w:tc>
          <w:tcPr>
            <w:tcW w:w="5198" w:type="dxa"/>
            <w:shd w:val="clear" w:color="auto" w:fill="auto"/>
            <w:vAlign w:val="center"/>
          </w:tcPr>
          <w:p w14:paraId="738CB1CE">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①是否符合国家财经法规和财务管理制度以及有关专项资金管理办法的规定；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②资金的拨付是否有完整的审批程序和手续；</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③是否符合项目预算批复或合同规定的用途；</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④是否存在截留、挤占、挪用、虚列支出等情况。</w:t>
            </w:r>
          </w:p>
        </w:tc>
        <w:tc>
          <w:tcPr>
            <w:tcW w:w="1300" w:type="dxa"/>
            <w:shd w:val="clear" w:color="auto" w:fill="auto"/>
            <w:vAlign w:val="center"/>
          </w:tcPr>
          <w:p w14:paraId="2C6F9DF5">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2445238B">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4EF0F5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97" w:hRule="atLeast"/>
          <w:jc w:val="center"/>
        </w:trPr>
        <w:tc>
          <w:tcPr>
            <w:tcW w:w="832" w:type="dxa"/>
            <w:vMerge w:val="continue"/>
            <w:shd w:val="clear" w:color="auto" w:fill="auto"/>
            <w:vAlign w:val="center"/>
          </w:tcPr>
          <w:p w14:paraId="44A68117">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14:paraId="08110F9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组织实施</w:t>
            </w:r>
          </w:p>
          <w:p w14:paraId="6A25DF66">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auto"/>
            <w:vAlign w:val="center"/>
          </w:tcPr>
          <w:p w14:paraId="46296E7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管理制度</w:t>
            </w:r>
          </w:p>
          <w:p w14:paraId="7C7B4BD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健全性</w:t>
            </w:r>
          </w:p>
        </w:tc>
        <w:tc>
          <w:tcPr>
            <w:tcW w:w="2353" w:type="dxa"/>
            <w:shd w:val="clear" w:color="auto" w:fill="auto"/>
            <w:vAlign w:val="center"/>
          </w:tcPr>
          <w:p w14:paraId="5AB3B86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项目实施单位的财务和业务管理制度是否健全，用以反映和考核财务和业务管理制度对项目顺利实施的保障情况。</w:t>
            </w:r>
          </w:p>
        </w:tc>
        <w:tc>
          <w:tcPr>
            <w:tcW w:w="5198" w:type="dxa"/>
            <w:shd w:val="clear" w:color="auto" w:fill="auto"/>
            <w:vAlign w:val="center"/>
          </w:tcPr>
          <w:p w14:paraId="03FE3AB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①是否已制定或具有相应的财务和业务管理制度；</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②财务和业务管理制度是否合法、合规、完整。</w:t>
            </w:r>
          </w:p>
        </w:tc>
        <w:tc>
          <w:tcPr>
            <w:tcW w:w="1300" w:type="dxa"/>
            <w:shd w:val="clear" w:color="auto" w:fill="auto"/>
            <w:vAlign w:val="center"/>
          </w:tcPr>
          <w:p w14:paraId="6E222062">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7AD7A999">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5ED4FD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69" w:hRule="atLeast"/>
          <w:jc w:val="center"/>
        </w:trPr>
        <w:tc>
          <w:tcPr>
            <w:tcW w:w="832" w:type="dxa"/>
            <w:vMerge w:val="continue"/>
            <w:shd w:val="clear" w:color="auto" w:fill="auto"/>
            <w:vAlign w:val="center"/>
          </w:tcPr>
          <w:p w14:paraId="742D72C1">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4DD73579">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7AA3E3B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制度执行</w:t>
            </w:r>
          </w:p>
          <w:p w14:paraId="0E5BAD4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有效性</w:t>
            </w:r>
          </w:p>
        </w:tc>
        <w:tc>
          <w:tcPr>
            <w:tcW w:w="2353" w:type="dxa"/>
            <w:shd w:val="clear" w:color="auto" w:fill="auto"/>
            <w:vAlign w:val="center"/>
          </w:tcPr>
          <w:p w14:paraId="4BADB0C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项目实施是否符合相关管理规定，用以反映和考核相关管理制度的有效执行情况。</w:t>
            </w:r>
          </w:p>
        </w:tc>
        <w:tc>
          <w:tcPr>
            <w:tcW w:w="5198" w:type="dxa"/>
            <w:shd w:val="clear" w:color="auto" w:fill="auto"/>
            <w:vAlign w:val="center"/>
          </w:tcPr>
          <w:p w14:paraId="3DB97FA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①是否遵守相关法律法规和相关管理规定；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②项目调整及支出调整手续是否完备；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③项目合同书、验收报告、技术鉴定等资料是否齐全并及时归档；</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④项目实施的人员条件、场地设备、信息支撑等是否落实到位。</w:t>
            </w:r>
          </w:p>
        </w:tc>
        <w:tc>
          <w:tcPr>
            <w:tcW w:w="1300" w:type="dxa"/>
            <w:shd w:val="clear" w:color="auto" w:fill="auto"/>
            <w:vAlign w:val="center"/>
          </w:tcPr>
          <w:p w14:paraId="4BB9D37B">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39A6E4A5">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3BB96E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32" w:type="dxa"/>
            <w:vMerge w:val="restart"/>
            <w:shd w:val="clear" w:color="auto" w:fill="auto"/>
            <w:vAlign w:val="center"/>
          </w:tcPr>
          <w:p w14:paraId="2C35CA66">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w:t>
            </w:r>
          </w:p>
        </w:tc>
        <w:tc>
          <w:tcPr>
            <w:tcW w:w="764" w:type="dxa"/>
            <w:shd w:val="clear" w:color="auto" w:fill="auto"/>
            <w:vAlign w:val="center"/>
          </w:tcPr>
          <w:p w14:paraId="605A647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产出数量</w:t>
            </w:r>
          </w:p>
        </w:tc>
        <w:tc>
          <w:tcPr>
            <w:tcW w:w="873" w:type="dxa"/>
            <w:shd w:val="clear" w:color="auto" w:fill="auto"/>
            <w:vAlign w:val="center"/>
          </w:tcPr>
          <w:p w14:paraId="0DF6398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w:t>
            </w:r>
          </w:p>
        </w:tc>
        <w:tc>
          <w:tcPr>
            <w:tcW w:w="2353" w:type="dxa"/>
            <w:shd w:val="clear" w:color="auto" w:fill="auto"/>
            <w:vAlign w:val="center"/>
          </w:tcPr>
          <w:p w14:paraId="60CBB4AA">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项目实施的实际产出数与计划产出数的比率，用以反映和考核项目产出数量目标的实现程度。</w:t>
            </w:r>
          </w:p>
        </w:tc>
        <w:tc>
          <w:tcPr>
            <w:tcW w:w="5198" w:type="dxa"/>
            <w:shd w:val="clear" w:color="auto" w:fill="auto"/>
            <w:vAlign w:val="center"/>
          </w:tcPr>
          <w:p w14:paraId="0256CE7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实际完成率=（实际产出数/计划产出数）×100%。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实际产出数：一定时期（本年度或项目期）内项目实际产出的产品或提供的服务数量。</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计划产出数：项目绩效目标确定的在一定时期（本年度或项目期）内计划产出的产品或提供的服务数量。</w:t>
            </w:r>
          </w:p>
        </w:tc>
        <w:tc>
          <w:tcPr>
            <w:tcW w:w="1300" w:type="dxa"/>
            <w:shd w:val="clear" w:color="auto" w:fill="auto"/>
            <w:vAlign w:val="center"/>
          </w:tcPr>
          <w:p w14:paraId="3591C1F9">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5147AE08">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3AF3BE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32" w:type="dxa"/>
            <w:vMerge w:val="continue"/>
            <w:shd w:val="clear" w:color="auto" w:fill="auto"/>
            <w:vAlign w:val="center"/>
          </w:tcPr>
          <w:p w14:paraId="0EE397BB">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25E9FD96">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产出质量</w:t>
            </w:r>
          </w:p>
        </w:tc>
        <w:tc>
          <w:tcPr>
            <w:tcW w:w="873" w:type="dxa"/>
            <w:shd w:val="clear" w:color="auto" w:fill="auto"/>
            <w:vAlign w:val="center"/>
          </w:tcPr>
          <w:p w14:paraId="42F6E20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w:t>
            </w:r>
          </w:p>
        </w:tc>
        <w:tc>
          <w:tcPr>
            <w:tcW w:w="2353" w:type="dxa"/>
            <w:shd w:val="clear" w:color="auto" w:fill="auto"/>
            <w:vAlign w:val="center"/>
          </w:tcPr>
          <w:p w14:paraId="4A9F69B7">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项目完成的质量达标产出数与实际产出数的比率，用以反映和考核项目产出质量目标的实现程度。</w:t>
            </w:r>
          </w:p>
        </w:tc>
        <w:tc>
          <w:tcPr>
            <w:tcW w:w="5198" w:type="dxa"/>
            <w:shd w:val="clear" w:color="auto" w:fill="auto"/>
            <w:vAlign w:val="center"/>
          </w:tcPr>
          <w:p w14:paraId="35B051B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质量达标率=（质量达标产出数/实际产出数）×100%。</w:t>
            </w:r>
          </w:p>
          <w:p w14:paraId="56549FEE">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auto" w:fill="auto"/>
            <w:vAlign w:val="center"/>
          </w:tcPr>
          <w:p w14:paraId="02498083">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5444E5D0">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7BBF78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32" w:type="dxa"/>
            <w:vMerge w:val="continue"/>
            <w:shd w:val="clear" w:color="auto" w:fill="auto"/>
            <w:vAlign w:val="center"/>
          </w:tcPr>
          <w:p w14:paraId="69A7A6F5">
            <w:pP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4CD3BED7">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产出时效</w:t>
            </w:r>
          </w:p>
        </w:tc>
        <w:tc>
          <w:tcPr>
            <w:tcW w:w="873" w:type="dxa"/>
            <w:shd w:val="clear" w:color="auto" w:fill="auto"/>
            <w:vAlign w:val="center"/>
          </w:tcPr>
          <w:p w14:paraId="025F9E2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完成及时性</w:t>
            </w:r>
          </w:p>
        </w:tc>
        <w:tc>
          <w:tcPr>
            <w:tcW w:w="2353" w:type="dxa"/>
            <w:shd w:val="clear" w:color="auto" w:fill="auto"/>
            <w:vAlign w:val="center"/>
          </w:tcPr>
          <w:p w14:paraId="38575DD7">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项目实际完成时间与计划完成时间的比较，用以反映和考核项目产出时效目标的实现程度。</w:t>
            </w:r>
          </w:p>
        </w:tc>
        <w:tc>
          <w:tcPr>
            <w:tcW w:w="5198" w:type="dxa"/>
            <w:shd w:val="clear" w:color="auto" w:fill="auto"/>
            <w:vAlign w:val="center"/>
          </w:tcPr>
          <w:p w14:paraId="32BA215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实际完成时间：项目实施单位完成该项目实际所耗用的时间。</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计划完成时间：按照项目实施计划或相关规定完成该项目所需的时间。</w:t>
            </w:r>
          </w:p>
        </w:tc>
        <w:tc>
          <w:tcPr>
            <w:tcW w:w="1300" w:type="dxa"/>
            <w:shd w:val="clear" w:color="auto" w:fill="auto"/>
            <w:vAlign w:val="center"/>
          </w:tcPr>
          <w:p w14:paraId="2E22BC72">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4F49F85E">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0469A1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32" w:type="dxa"/>
            <w:vMerge w:val="continue"/>
            <w:shd w:val="clear" w:color="auto" w:fill="auto"/>
            <w:vAlign w:val="center"/>
          </w:tcPr>
          <w:p w14:paraId="4036F7F2">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34324F0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产出成本</w:t>
            </w:r>
          </w:p>
        </w:tc>
        <w:tc>
          <w:tcPr>
            <w:tcW w:w="873" w:type="dxa"/>
            <w:shd w:val="clear" w:color="auto" w:fill="auto"/>
            <w:vAlign w:val="center"/>
          </w:tcPr>
          <w:p w14:paraId="3EF32DD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成本节约率</w:t>
            </w:r>
          </w:p>
        </w:tc>
        <w:tc>
          <w:tcPr>
            <w:tcW w:w="2353" w:type="dxa"/>
            <w:shd w:val="clear" w:color="auto" w:fill="auto"/>
            <w:vAlign w:val="center"/>
          </w:tcPr>
          <w:p w14:paraId="7830A47F">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完成项目计划工作目标的实际节约成本与计划成本的比率，用以反映和考核项目的成本节约程度。</w:t>
            </w:r>
          </w:p>
        </w:tc>
        <w:tc>
          <w:tcPr>
            <w:tcW w:w="5198" w:type="dxa"/>
            <w:shd w:val="clear" w:color="auto" w:fill="auto"/>
            <w:vAlign w:val="center"/>
          </w:tcPr>
          <w:p w14:paraId="1CB2CD3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成本节约率=[（计划成本-实际成本）/计划成本]×100%。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实际成本：项目实施单位如期、保质、保量完成既定工作目标实际所耗费的支出。</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计划成本：项目实施单位为完成工作目标计划安排的支出，一般以项目预算为参考。</w:t>
            </w:r>
          </w:p>
        </w:tc>
        <w:tc>
          <w:tcPr>
            <w:tcW w:w="1300" w:type="dxa"/>
            <w:shd w:val="clear" w:color="auto" w:fill="auto"/>
            <w:vAlign w:val="center"/>
          </w:tcPr>
          <w:p w14:paraId="1EBDC50A">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57591C78">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22F00C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832" w:type="dxa"/>
            <w:vMerge w:val="restart"/>
            <w:shd w:val="clear" w:color="auto" w:fill="auto"/>
            <w:vAlign w:val="center"/>
          </w:tcPr>
          <w:p w14:paraId="3FEDFC3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效益　</w:t>
            </w:r>
          </w:p>
        </w:tc>
        <w:tc>
          <w:tcPr>
            <w:tcW w:w="764" w:type="dxa"/>
            <w:vMerge w:val="restart"/>
            <w:shd w:val="clear" w:color="auto" w:fill="auto"/>
            <w:vAlign w:val="center"/>
          </w:tcPr>
          <w:p w14:paraId="363EDCD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项目效益　</w:t>
            </w:r>
          </w:p>
        </w:tc>
        <w:tc>
          <w:tcPr>
            <w:tcW w:w="873" w:type="dxa"/>
            <w:shd w:val="clear" w:color="auto" w:fill="auto"/>
            <w:vAlign w:val="center"/>
          </w:tcPr>
          <w:p w14:paraId="186263D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实施效益</w:t>
            </w:r>
          </w:p>
        </w:tc>
        <w:tc>
          <w:tcPr>
            <w:tcW w:w="2353" w:type="dxa"/>
            <w:shd w:val="clear" w:color="auto" w:fill="auto"/>
            <w:vAlign w:val="center"/>
          </w:tcPr>
          <w:p w14:paraId="31A46B66">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项目实施所产生的效益。</w:t>
            </w:r>
          </w:p>
        </w:tc>
        <w:tc>
          <w:tcPr>
            <w:tcW w:w="5198" w:type="dxa"/>
            <w:shd w:val="clear" w:color="auto" w:fill="auto"/>
            <w:vAlign w:val="center"/>
          </w:tcPr>
          <w:p w14:paraId="28C35DE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项目实施所产生的社会效益、经济效益、生态效益、可持续影响等。可根据项目实际情况有选择地设置和细化。</w:t>
            </w:r>
          </w:p>
        </w:tc>
        <w:tc>
          <w:tcPr>
            <w:tcW w:w="1300" w:type="dxa"/>
            <w:shd w:val="clear" w:color="auto" w:fill="auto"/>
            <w:vAlign w:val="center"/>
          </w:tcPr>
          <w:p w14:paraId="2ED1F541">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10CCC648">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147C89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37" w:hRule="atLeast"/>
          <w:jc w:val="center"/>
        </w:trPr>
        <w:tc>
          <w:tcPr>
            <w:tcW w:w="832" w:type="dxa"/>
            <w:vMerge w:val="continue"/>
            <w:shd w:val="clear" w:color="auto" w:fill="auto"/>
            <w:vAlign w:val="center"/>
          </w:tcPr>
          <w:p w14:paraId="219AFA61">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5BDB2401">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0B27AF9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满意度</w:t>
            </w:r>
          </w:p>
        </w:tc>
        <w:tc>
          <w:tcPr>
            <w:tcW w:w="2353" w:type="dxa"/>
            <w:shd w:val="clear" w:color="auto" w:fill="auto"/>
            <w:vAlign w:val="center"/>
          </w:tcPr>
          <w:p w14:paraId="7DBC555F">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社会公众或服务对象对项目实施效果的满意程度。</w:t>
            </w:r>
          </w:p>
        </w:tc>
        <w:tc>
          <w:tcPr>
            <w:tcW w:w="5198" w:type="dxa"/>
            <w:shd w:val="clear" w:color="auto" w:fill="auto"/>
            <w:vAlign w:val="center"/>
          </w:tcPr>
          <w:p w14:paraId="5C95049F">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社会公众或服务对象是指因该项目实施而受到影响的部门（单位）、群体或个人。一般采取社会调查的方式。</w:t>
            </w:r>
          </w:p>
        </w:tc>
        <w:tc>
          <w:tcPr>
            <w:tcW w:w="1300" w:type="dxa"/>
            <w:shd w:val="clear" w:color="auto" w:fill="auto"/>
            <w:vAlign w:val="center"/>
          </w:tcPr>
          <w:p w14:paraId="35A964C6">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5839E4E6">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bl>
    <w:p w14:paraId="3F4EE514">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F9358AC-DA1A-47E3-97F1-74E1BE2B775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6D413EA5-733A-4FF7-AA04-1F5944367660}"/>
  </w:font>
  <w:font w:name="华文中宋">
    <w:panose1 w:val="02010600040101010101"/>
    <w:charset w:val="86"/>
    <w:family w:val="auto"/>
    <w:pitch w:val="default"/>
    <w:sig w:usb0="00000287" w:usb1="080F0000" w:usb2="00000000" w:usb3="00000000" w:csb0="0004009F" w:csb1="DFD70000"/>
    <w:embedRegular r:id="rId3" w:fontKey="{0B8F089E-E317-4D7B-AE3E-1D1ADA085F18}"/>
  </w:font>
  <w:font w:name="方正小标宋_GBK">
    <w:panose1 w:val="02000000000000000000"/>
    <w:charset w:val="86"/>
    <w:family w:val="script"/>
    <w:pitch w:val="default"/>
    <w:sig w:usb0="A00002BF" w:usb1="38CF7CFA" w:usb2="00082016" w:usb3="00000000" w:csb0="00040001" w:csb1="00000000"/>
    <w:embedRegular r:id="rId4" w:fontKey="{4F6BC271-9526-49F9-B334-AB05B95C363D}"/>
  </w:font>
  <w:font w:name="楷体">
    <w:panose1 w:val="02010609060101010101"/>
    <w:charset w:val="86"/>
    <w:family w:val="modern"/>
    <w:pitch w:val="default"/>
    <w:sig w:usb0="800002BF" w:usb1="38CF7CFA" w:usb2="00000016" w:usb3="00000000" w:csb0="00040001" w:csb1="00000000"/>
    <w:embedRegular r:id="rId5" w:fontKey="{B77F5587-29F0-4A8D-8C43-229691E783F7}"/>
  </w:font>
  <w:font w:name="楷体_GB2312">
    <w:panose1 w:val="02010609030101010101"/>
    <w:charset w:val="86"/>
    <w:family w:val="auto"/>
    <w:pitch w:val="default"/>
    <w:sig w:usb0="00000001" w:usb1="080E0000" w:usb2="00000000" w:usb3="00000000" w:csb0="00040000" w:csb1="00000000"/>
    <w:embedRegular r:id="rId6" w:fontKey="{E343D4D0-A66A-4DCD-A8BB-0F3A2B47F7BE}"/>
  </w:font>
  <w:font w:name="方正仿宋_GBK">
    <w:panose1 w:val="02000000000000000000"/>
    <w:charset w:val="86"/>
    <w:family w:val="auto"/>
    <w:pitch w:val="default"/>
    <w:sig w:usb0="A00002BF" w:usb1="38CF7CFA" w:usb2="00082016" w:usb3="00000000" w:csb0="00040001" w:csb1="00000000"/>
    <w:embedRegular r:id="rId7" w:fontKey="{7E75CCF6-92C5-495D-BA33-3C39E18E5806}"/>
  </w:font>
  <w:font w:name="方正楷体_GB2312">
    <w:panose1 w:val="02000000000000000000"/>
    <w:charset w:val="86"/>
    <w:family w:val="auto"/>
    <w:pitch w:val="default"/>
    <w:sig w:usb0="A00002BF" w:usb1="184F6CFA" w:usb2="00000012" w:usb3="00000000" w:csb0="00040001" w:csb1="00000000"/>
    <w:embedRegular r:id="rId8" w:fontKey="{BBFD841F-E75A-4A87-B930-AC32752C7A1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A25A88E">
        <w:pPr>
          <w:pStyle w:val="7"/>
          <w:jc w:val="center"/>
        </w:pPr>
        <w:r>
          <w:fldChar w:fldCharType="begin"/>
        </w:r>
        <w:r>
          <w:instrText xml:space="preserve">PAGE   \* MERGEFORMAT</w:instrText>
        </w:r>
        <w:r>
          <w:fldChar w:fldCharType="separate"/>
        </w:r>
        <w:r>
          <w:rPr>
            <w:lang w:val="zh-CN"/>
          </w:rPr>
          <w:t>13</w:t>
        </w:r>
        <w:r>
          <w:fldChar w:fldCharType="end"/>
        </w:r>
      </w:p>
    </w:sdtContent>
  </w:sdt>
  <w:p w14:paraId="77673C23">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08B698"/>
    <w:multiLevelType w:val="singleLevel"/>
    <w:tmpl w:val="A308B698"/>
    <w:lvl w:ilvl="0" w:tentative="0">
      <w:start w:val="2"/>
      <w:numFmt w:val="decimal"/>
      <w:suff w:val="nothing"/>
      <w:lvlText w:val="（%1）"/>
      <w:lvlJc w:val="left"/>
      <w:pPr>
        <w:ind w:left="642" w:leftChars="0" w:firstLine="0" w:firstLineChars="0"/>
      </w:pPr>
    </w:lvl>
  </w:abstractNum>
  <w:abstractNum w:abstractNumId="1">
    <w:nsid w:val="DEF60FE1"/>
    <w:multiLevelType w:val="singleLevel"/>
    <w:tmpl w:val="DEF60FE1"/>
    <w:lvl w:ilvl="0" w:tentative="0">
      <w:start w:val="1"/>
      <w:numFmt w:val="decimal"/>
      <w:suff w:val="nothing"/>
      <w:lvlText w:val="（%1）"/>
      <w:lvlJc w:val="left"/>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0039456"/>
    <w:multiLevelType w:val="singleLevel"/>
    <w:tmpl w:val="20039456"/>
    <w:lvl w:ilvl="0" w:tentative="0">
      <w:start w:val="4"/>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1"/>
  </w:num>
  <w:num w:numId="3">
    <w:abstractNumId w:val="4"/>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zYTUzZWU5NjcwMTQwY2YwMDczOTAyZDAxNWRiMzEifQ=="/>
  </w:docVars>
  <w:rsids>
    <w:rsidRoot w:val="FF6C4049"/>
    <w:rsid w:val="00373079"/>
    <w:rsid w:val="006F7242"/>
    <w:rsid w:val="007B168A"/>
    <w:rsid w:val="008B2CFE"/>
    <w:rsid w:val="00DA4509"/>
    <w:rsid w:val="00F06968"/>
    <w:rsid w:val="00F26FF6"/>
    <w:rsid w:val="00FA4DA7"/>
    <w:rsid w:val="011B3D16"/>
    <w:rsid w:val="0176587A"/>
    <w:rsid w:val="02187B41"/>
    <w:rsid w:val="03C76D96"/>
    <w:rsid w:val="043D6406"/>
    <w:rsid w:val="047333D2"/>
    <w:rsid w:val="048C0C43"/>
    <w:rsid w:val="05000B19"/>
    <w:rsid w:val="05407721"/>
    <w:rsid w:val="071311AA"/>
    <w:rsid w:val="07397B77"/>
    <w:rsid w:val="07903FF7"/>
    <w:rsid w:val="082271FD"/>
    <w:rsid w:val="0870106B"/>
    <w:rsid w:val="0896299A"/>
    <w:rsid w:val="0BC12741"/>
    <w:rsid w:val="0DFF7A65"/>
    <w:rsid w:val="0E161981"/>
    <w:rsid w:val="0F5D3A8D"/>
    <w:rsid w:val="0FAC27FD"/>
    <w:rsid w:val="0FB00A38"/>
    <w:rsid w:val="10976933"/>
    <w:rsid w:val="10B21B85"/>
    <w:rsid w:val="11963FB6"/>
    <w:rsid w:val="12AC5710"/>
    <w:rsid w:val="12D6188B"/>
    <w:rsid w:val="13057541"/>
    <w:rsid w:val="13471461"/>
    <w:rsid w:val="13B90F01"/>
    <w:rsid w:val="146209E7"/>
    <w:rsid w:val="148257B3"/>
    <w:rsid w:val="14A0198E"/>
    <w:rsid w:val="154C4BC0"/>
    <w:rsid w:val="158E1327"/>
    <w:rsid w:val="15CB2D95"/>
    <w:rsid w:val="15E31EF8"/>
    <w:rsid w:val="16B70D82"/>
    <w:rsid w:val="17C03A07"/>
    <w:rsid w:val="181066D2"/>
    <w:rsid w:val="1A015BBB"/>
    <w:rsid w:val="1AFB7A7E"/>
    <w:rsid w:val="1B6C14DF"/>
    <w:rsid w:val="1B6F3C48"/>
    <w:rsid w:val="1C671E73"/>
    <w:rsid w:val="1D716CE1"/>
    <w:rsid w:val="1EE16FB7"/>
    <w:rsid w:val="1F4B54B5"/>
    <w:rsid w:val="1FDC3282"/>
    <w:rsid w:val="20313DAA"/>
    <w:rsid w:val="20770D67"/>
    <w:rsid w:val="20E444D7"/>
    <w:rsid w:val="216C52B5"/>
    <w:rsid w:val="22053DFE"/>
    <w:rsid w:val="22627498"/>
    <w:rsid w:val="22A17CB1"/>
    <w:rsid w:val="256F79E7"/>
    <w:rsid w:val="26E41040"/>
    <w:rsid w:val="274F0D9D"/>
    <w:rsid w:val="286C2D61"/>
    <w:rsid w:val="2A7A5040"/>
    <w:rsid w:val="2AAE265D"/>
    <w:rsid w:val="2B320F46"/>
    <w:rsid w:val="2CF61A2F"/>
    <w:rsid w:val="2D0D7577"/>
    <w:rsid w:val="2D6C7591"/>
    <w:rsid w:val="2D6E5E79"/>
    <w:rsid w:val="2D7A6FA7"/>
    <w:rsid w:val="2DA524F9"/>
    <w:rsid w:val="2DC9557A"/>
    <w:rsid w:val="2DCD7B95"/>
    <w:rsid w:val="2E07434F"/>
    <w:rsid w:val="2E414972"/>
    <w:rsid w:val="3083703E"/>
    <w:rsid w:val="30850B9D"/>
    <w:rsid w:val="3119785A"/>
    <w:rsid w:val="315E56FD"/>
    <w:rsid w:val="322C3B28"/>
    <w:rsid w:val="33297194"/>
    <w:rsid w:val="336815CF"/>
    <w:rsid w:val="35D81224"/>
    <w:rsid w:val="36194C51"/>
    <w:rsid w:val="36BF0C62"/>
    <w:rsid w:val="37300D12"/>
    <w:rsid w:val="379E6016"/>
    <w:rsid w:val="38564591"/>
    <w:rsid w:val="38CA40DD"/>
    <w:rsid w:val="395F2B56"/>
    <w:rsid w:val="39941685"/>
    <w:rsid w:val="3AA35FBF"/>
    <w:rsid w:val="3B082735"/>
    <w:rsid w:val="3BEB470B"/>
    <w:rsid w:val="3BECE841"/>
    <w:rsid w:val="3C275DA6"/>
    <w:rsid w:val="3CF46907"/>
    <w:rsid w:val="3CFC1BFC"/>
    <w:rsid w:val="3D3617E3"/>
    <w:rsid w:val="3DE77067"/>
    <w:rsid w:val="3F1B2C95"/>
    <w:rsid w:val="3F253256"/>
    <w:rsid w:val="3F266AB3"/>
    <w:rsid w:val="3FA76BC5"/>
    <w:rsid w:val="3FF7797D"/>
    <w:rsid w:val="416045F4"/>
    <w:rsid w:val="41FC65D1"/>
    <w:rsid w:val="423170C2"/>
    <w:rsid w:val="42E8751A"/>
    <w:rsid w:val="441534CD"/>
    <w:rsid w:val="447B120C"/>
    <w:rsid w:val="44B7644A"/>
    <w:rsid w:val="4587774F"/>
    <w:rsid w:val="47214B48"/>
    <w:rsid w:val="4A185268"/>
    <w:rsid w:val="4A273895"/>
    <w:rsid w:val="4B1B136B"/>
    <w:rsid w:val="4C0F3963"/>
    <w:rsid w:val="4C9D46D4"/>
    <w:rsid w:val="4CE20237"/>
    <w:rsid w:val="4D197444"/>
    <w:rsid w:val="4DA824A6"/>
    <w:rsid w:val="4E7735C7"/>
    <w:rsid w:val="53316789"/>
    <w:rsid w:val="53DF5628"/>
    <w:rsid w:val="549D3FE7"/>
    <w:rsid w:val="549D7FB5"/>
    <w:rsid w:val="54E01327"/>
    <w:rsid w:val="55175B08"/>
    <w:rsid w:val="553440A9"/>
    <w:rsid w:val="55B74A17"/>
    <w:rsid w:val="562436D3"/>
    <w:rsid w:val="57402238"/>
    <w:rsid w:val="576D2B1A"/>
    <w:rsid w:val="57881873"/>
    <w:rsid w:val="57904C45"/>
    <w:rsid w:val="5BA92489"/>
    <w:rsid w:val="5BFF6039"/>
    <w:rsid w:val="5CEC7901"/>
    <w:rsid w:val="5CFD0A83"/>
    <w:rsid w:val="5D260AC7"/>
    <w:rsid w:val="5D435C2E"/>
    <w:rsid w:val="5D76A616"/>
    <w:rsid w:val="5D7F20B9"/>
    <w:rsid w:val="5DAC7D0E"/>
    <w:rsid w:val="5DD12657"/>
    <w:rsid w:val="5E2324EE"/>
    <w:rsid w:val="5E68756F"/>
    <w:rsid w:val="5EC6388D"/>
    <w:rsid w:val="5F0C47D4"/>
    <w:rsid w:val="5F98B5AF"/>
    <w:rsid w:val="5FFA7EA1"/>
    <w:rsid w:val="5FFE8511"/>
    <w:rsid w:val="5FFEACE2"/>
    <w:rsid w:val="603649D8"/>
    <w:rsid w:val="60367146"/>
    <w:rsid w:val="60B168B0"/>
    <w:rsid w:val="612E3FE1"/>
    <w:rsid w:val="6137675A"/>
    <w:rsid w:val="61EB2603"/>
    <w:rsid w:val="626D4608"/>
    <w:rsid w:val="643EE26D"/>
    <w:rsid w:val="645F07B6"/>
    <w:rsid w:val="646B1B68"/>
    <w:rsid w:val="651B5F9F"/>
    <w:rsid w:val="654F1AD9"/>
    <w:rsid w:val="6638261C"/>
    <w:rsid w:val="66ED6D2B"/>
    <w:rsid w:val="66F573FC"/>
    <w:rsid w:val="694E29D2"/>
    <w:rsid w:val="69E55254"/>
    <w:rsid w:val="6A1F7C27"/>
    <w:rsid w:val="6AC369D9"/>
    <w:rsid w:val="6AD522CF"/>
    <w:rsid w:val="6B557947"/>
    <w:rsid w:val="6B7678FF"/>
    <w:rsid w:val="6C450BB1"/>
    <w:rsid w:val="6CE43047"/>
    <w:rsid w:val="6D4425D2"/>
    <w:rsid w:val="6D937A20"/>
    <w:rsid w:val="6DE23889"/>
    <w:rsid w:val="6EA74ABF"/>
    <w:rsid w:val="6F5C41AC"/>
    <w:rsid w:val="6FA93AB6"/>
    <w:rsid w:val="6FAF6C78"/>
    <w:rsid w:val="718B6D3E"/>
    <w:rsid w:val="71EE6BAD"/>
    <w:rsid w:val="729F6154"/>
    <w:rsid w:val="72B41A3F"/>
    <w:rsid w:val="7317C656"/>
    <w:rsid w:val="734ED73F"/>
    <w:rsid w:val="735368EF"/>
    <w:rsid w:val="73C90408"/>
    <w:rsid w:val="747C12F4"/>
    <w:rsid w:val="74AC21A0"/>
    <w:rsid w:val="750715B5"/>
    <w:rsid w:val="751E7350"/>
    <w:rsid w:val="754F072D"/>
    <w:rsid w:val="75F37240"/>
    <w:rsid w:val="761A6F85"/>
    <w:rsid w:val="763F11E1"/>
    <w:rsid w:val="768062BE"/>
    <w:rsid w:val="769445FA"/>
    <w:rsid w:val="772B5869"/>
    <w:rsid w:val="77FD8BE9"/>
    <w:rsid w:val="77FF66EE"/>
    <w:rsid w:val="783A557A"/>
    <w:rsid w:val="798A0A7F"/>
    <w:rsid w:val="79A9BD3F"/>
    <w:rsid w:val="7B5E7074"/>
    <w:rsid w:val="7BFFFDD0"/>
    <w:rsid w:val="7C336E5F"/>
    <w:rsid w:val="7C5E4A19"/>
    <w:rsid w:val="7CFA05C0"/>
    <w:rsid w:val="7D7A5F86"/>
    <w:rsid w:val="7E001A25"/>
    <w:rsid w:val="7E764213"/>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annotation text"/>
    <w:basedOn w:val="1"/>
    <w:link w:val="23"/>
    <w:qFormat/>
    <w:uiPriority w:val="0"/>
    <w:pPr>
      <w:jc w:val="left"/>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1"/>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11"/>
    <w:pPr>
      <w:spacing w:before="240" w:after="60" w:line="312" w:lineRule="auto"/>
      <w:jc w:val="center"/>
      <w:outlineLvl w:val="1"/>
    </w:pPr>
    <w:rPr>
      <w:b/>
      <w:bCs/>
      <w:kern w:val="28"/>
      <w:sz w:val="32"/>
      <w:szCs w:val="32"/>
    </w:rPr>
  </w:style>
  <w:style w:type="paragraph" w:styleId="10">
    <w:name w:val="toc 2"/>
    <w:basedOn w:val="1"/>
    <w:next w:val="1"/>
    <w:qFormat/>
    <w:uiPriority w:val="0"/>
    <w:pPr>
      <w:ind w:left="420" w:leftChars="200"/>
    </w:p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annotation subject"/>
    <w:basedOn w:val="4"/>
    <w:next w:val="4"/>
    <w:link w:val="24"/>
    <w:qFormat/>
    <w:uiPriority w:val="0"/>
    <w:rPr>
      <w:b/>
      <w:bCs/>
    </w:rPr>
  </w:style>
  <w:style w:type="paragraph" w:styleId="13">
    <w:name w:val="Body Text First Indent"/>
    <w:basedOn w:val="2"/>
    <w:qFormat/>
    <w:uiPriority w:val="0"/>
    <w:pPr>
      <w:spacing w:after="0"/>
      <w:ind w:firstLine="200" w:firstLineChars="200"/>
    </w:pPr>
  </w:style>
  <w:style w:type="paragraph" w:styleId="14">
    <w:name w:val="Body Text First Indent 2"/>
    <w:basedOn w:val="5"/>
    <w:qFormat/>
    <w:uiPriority w:val="0"/>
    <w:pPr>
      <w:ind w:firstLine="420" w:firstLineChars="200"/>
    </w:pPr>
  </w:style>
  <w:style w:type="character" w:styleId="17">
    <w:name w:val="Strong"/>
    <w:basedOn w:val="16"/>
    <w:qFormat/>
    <w:uiPriority w:val="0"/>
    <w:rPr>
      <w:b/>
      <w:bCs/>
    </w:rPr>
  </w:style>
  <w:style w:type="character" w:styleId="18">
    <w:name w:val="annotation reference"/>
    <w:basedOn w:val="16"/>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6"/>
    <w:link w:val="6"/>
    <w:qFormat/>
    <w:uiPriority w:val="0"/>
    <w:rPr>
      <w:rFonts w:ascii="Times New Roman" w:hAnsi="Times New Roman" w:eastAsia="宋体" w:cs="Times New Roman"/>
      <w:kern w:val="2"/>
      <w:sz w:val="18"/>
      <w:szCs w:val="18"/>
    </w:rPr>
  </w:style>
  <w:style w:type="character" w:customStyle="1" w:styleId="22">
    <w:name w:val="页眉 字符"/>
    <w:basedOn w:val="16"/>
    <w:link w:val="8"/>
    <w:qFormat/>
    <w:uiPriority w:val="0"/>
    <w:rPr>
      <w:rFonts w:ascii="Times New Roman" w:hAnsi="Times New Roman" w:eastAsia="宋体" w:cs="Times New Roman"/>
      <w:kern w:val="2"/>
      <w:sz w:val="18"/>
      <w:szCs w:val="18"/>
    </w:rPr>
  </w:style>
  <w:style w:type="character" w:customStyle="1" w:styleId="23">
    <w:name w:val="批注文字 字符"/>
    <w:basedOn w:val="16"/>
    <w:link w:val="4"/>
    <w:qFormat/>
    <w:uiPriority w:val="0"/>
    <w:rPr>
      <w:rFonts w:ascii="Times New Roman" w:hAnsi="Times New Roman" w:eastAsia="宋体" w:cs="Times New Roman"/>
      <w:kern w:val="2"/>
      <w:sz w:val="21"/>
      <w:szCs w:val="24"/>
    </w:rPr>
  </w:style>
  <w:style w:type="character" w:customStyle="1" w:styleId="24">
    <w:name w:val="批注主题 字符"/>
    <w:basedOn w:val="23"/>
    <w:link w:val="12"/>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22</Pages>
  <Words>7927</Words>
  <Characters>8224</Characters>
  <Lines>58</Lines>
  <Paragraphs>16</Paragraphs>
  <TotalTime>1</TotalTime>
  <ScaleCrop>false</ScaleCrop>
  <LinksUpToDate>false</LinksUpToDate>
  <CharactersWithSpaces>8230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Half city、</cp:lastModifiedBy>
  <dcterms:modified xsi:type="dcterms:W3CDTF">2024-10-18T04:00:57Z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AAE9D8815139478489864A83413303E9</vt:lpwstr>
  </property>
</Properties>
</file>