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人工影响天气作业补助</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bookmarkStart w:id="6" w:name="_GoBack"/>
      <w:bookmarkEnd w:id="6"/>
    </w:p>
    <w:p>
      <w:pPr>
        <w:spacing w:line="540" w:lineRule="exact"/>
        <w:jc w:val="center"/>
        <w:rPr>
          <w:rFonts w:hint="default" w:ascii="Times New Roman" w:hAnsi="Times New Roman" w:eastAsia="仿宋_GB2312" w:cs="Times New Roman"/>
          <w:kern w:val="0"/>
          <w:sz w:val="30"/>
          <w:szCs w:val="30"/>
        </w:rPr>
      </w:pPr>
    </w:p>
    <w:p>
      <w:pPr>
        <w:pStyle w:val="13"/>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项目名称：人工影响天气作业补助</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default" w:ascii="Times New Roman" w:hAnsi="Times New Roman" w:eastAsia="仿宋_GB2312" w:cs="Times New Roman"/>
          <w:spacing w:val="-20"/>
          <w:kern w:val="0"/>
          <w:sz w:val="36"/>
          <w:szCs w:val="36"/>
        </w:rPr>
        <w:t>哈密市人工影响天气办公室</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default" w:ascii="Times New Roman" w:hAnsi="Times New Roman" w:eastAsia="仿宋_GB2312" w:cs="Times New Roman"/>
          <w:spacing w:val="-20"/>
          <w:kern w:val="0"/>
          <w:sz w:val="36"/>
          <w:szCs w:val="36"/>
        </w:rPr>
        <w:t>哈密市人工影响天气办公室</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王洪俊</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10</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5"/>
          <w:rFonts w:hint="default" w:ascii="Times New Roman" w:hAnsi="Times New Roman" w:eastAsia="黑体" w:cs="Times New Roman"/>
          <w:b w:val="0"/>
          <w:spacing w:val="-4"/>
          <w:sz w:val="32"/>
          <w:szCs w:val="32"/>
        </w:rPr>
      </w:pPr>
    </w:p>
    <w:p>
      <w:pPr>
        <w:rPr>
          <w:rStyle w:val="15"/>
          <w:rFonts w:hint="default" w:ascii="Times New Roman" w:hAnsi="Times New Roman" w:eastAsia="黑体" w:cs="Times New Roman"/>
          <w:b w:val="0"/>
          <w:spacing w:val="-4"/>
          <w:sz w:val="32"/>
          <w:szCs w:val="32"/>
        </w:rPr>
      </w:pPr>
      <w:r>
        <w:rPr>
          <w:rStyle w:val="15"/>
          <w:rFonts w:hint="default" w:ascii="Times New Roman" w:hAnsi="Times New Roman" w:eastAsia="黑体" w:cs="Times New Roman"/>
          <w:b w:val="0"/>
          <w:spacing w:val="-4"/>
          <w:sz w:val="32"/>
          <w:szCs w:val="32"/>
        </w:rPr>
        <w:br w:type="page"/>
      </w: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哈密市水资源短缺，干旱趋势严重，蓄水量严重下降，通过人工影响天气作业，利用空中云水资源并加大山区空中云水转化率，增加降水量、蓄水量，缓解旱情，为当地生态环境建设、经济建设发展服务。</w:t>
      </w:r>
      <w:bookmarkStart w:id="0" w:name="OLE_LINK2"/>
      <w:r>
        <w:rPr>
          <w:rFonts w:hint="eastAsia" w:ascii="Times New Roman" w:hAnsi="Times New Roman" w:eastAsia="仿宋_GB2312" w:cs="Times New Roman"/>
          <w:sz w:val="32"/>
          <w:szCs w:val="32"/>
          <w:highlight w:val="none"/>
          <w:lang w:val="en-US" w:eastAsia="zh-CN"/>
        </w:rPr>
        <w:t>2008年政府经济领导小组会议确立人工影响天气作业补助项目作为部门重点项目。</w:t>
      </w:r>
      <w:bookmarkEnd w:id="0"/>
    </w:p>
    <w:p>
      <w:pPr>
        <w:pStyle w:val="13"/>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围绕哈密市生态保护与经济建设需要，以开发利用空中云水资源，缓解哈密市水资源短缺为根本宗旨，以提升哈密市人工影响天气科学作业能力，加大山区空中云水转化率，增加降水量为重点，把人工影响天气作为生态环境建设、水资源安全保障、农业公共服务体系建设的有力手段、重要举措和有效途径，强化基础设施和装备建设，开展常态化人工增雨（雪）作业，推动人工影响天气工作的全面、协调、可持续发展，为哈密市社会稳定和社会发展提供保障。</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项目实施情况：项目目前已经完成实际设立的目标，项目在实施过程中严格按照目标设立的任务进行开展工作，</w:t>
      </w:r>
      <w:r>
        <w:rPr>
          <w:rFonts w:hint="eastAsia" w:eastAsia="仿宋_GB2312" w:cs="Times New Roman"/>
          <w:sz w:val="32"/>
          <w:szCs w:val="32"/>
          <w:highlight w:val="none"/>
          <w:lang w:val="en-US" w:eastAsia="zh-CN"/>
        </w:rPr>
        <w:t>按计划完成辖区内10座人影效果评估自动站、20座人影碘化银烟炉、1座人影雷达站，15套人影作业系统、26辆人影作业车辆等业务设备的维护，购置人影作业专业材料500枚，</w:t>
      </w:r>
      <w:r>
        <w:rPr>
          <w:rFonts w:hint="default" w:ascii="Times New Roman" w:hAnsi="Times New Roman" w:eastAsia="仿宋_GB2312" w:cs="Times New Roman"/>
          <w:sz w:val="32"/>
          <w:szCs w:val="32"/>
          <w:highlight w:val="none"/>
        </w:rPr>
        <w:t>在</w:t>
      </w:r>
      <w:r>
        <w:rPr>
          <w:rFonts w:hint="eastAsia" w:eastAsia="仿宋_GB2312" w:cs="Times New Roman"/>
          <w:color w:val="auto"/>
          <w:sz w:val="32"/>
          <w:szCs w:val="32"/>
          <w:highlight w:val="none"/>
          <w:lang w:val="en-US" w:eastAsia="zh-CN"/>
        </w:rPr>
        <w:t>人工增雨雪方面</w:t>
      </w:r>
      <w:r>
        <w:rPr>
          <w:rFonts w:hint="default" w:ascii="Times New Roman" w:hAnsi="Times New Roman" w:eastAsia="仿宋_GB2312" w:cs="Times New Roman"/>
          <w:sz w:val="32"/>
          <w:szCs w:val="32"/>
          <w:highlight w:val="none"/>
        </w:rPr>
        <w:t>取得了显著的成效，</w:t>
      </w:r>
      <w:r>
        <w:rPr>
          <w:rFonts w:hint="eastAsia" w:eastAsia="仿宋_GB2312" w:cs="Times New Roman"/>
          <w:sz w:val="32"/>
          <w:szCs w:val="32"/>
          <w:highlight w:val="none"/>
          <w:lang w:val="en-US" w:eastAsia="zh-CN"/>
        </w:rPr>
        <w:t>增水影响面积较往年增加20%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冬季积雪与历年同期均值相比偏多三成</w:t>
      </w:r>
      <w:r>
        <w:rPr>
          <w:rFonts w:hint="default" w:ascii="Times New Roman" w:hAnsi="Times New Roman" w:eastAsia="仿宋_GB2312" w:cs="Times New Roman"/>
          <w:sz w:val="32"/>
          <w:szCs w:val="32"/>
          <w:highlight w:val="none"/>
        </w:rPr>
        <w:t>等</w:t>
      </w:r>
      <w:r>
        <w:rPr>
          <w:rFonts w:hint="eastAsia" w:eastAsia="仿宋_GB2312" w:cs="Times New Roman"/>
          <w:sz w:val="32"/>
          <w:szCs w:val="32"/>
          <w:highlight w:val="none"/>
          <w:lang w:eastAsia="zh-CN"/>
        </w:rPr>
        <w:t>，</w:t>
      </w:r>
      <w:r>
        <w:rPr>
          <w:rFonts w:hint="eastAsia" w:ascii="仿宋" w:hAnsi="仿宋" w:eastAsia="仿宋"/>
          <w:color w:val="auto"/>
          <w:sz w:val="32"/>
          <w:szCs w:val="32"/>
        </w:rPr>
        <w:t>缓解</w:t>
      </w:r>
      <w:r>
        <w:rPr>
          <w:rFonts w:hint="eastAsia" w:ascii="仿宋" w:hAnsi="仿宋" w:eastAsia="仿宋"/>
          <w:color w:val="auto"/>
          <w:sz w:val="32"/>
          <w:szCs w:val="32"/>
          <w:lang w:val="en-US" w:eastAsia="zh-CN"/>
        </w:rPr>
        <w:t>了</w:t>
      </w:r>
      <w:r>
        <w:rPr>
          <w:rFonts w:hint="eastAsia" w:ascii="仿宋" w:hAnsi="仿宋" w:eastAsia="仿宋"/>
          <w:color w:val="auto"/>
          <w:sz w:val="32"/>
          <w:szCs w:val="32"/>
        </w:rPr>
        <w:t>旱情</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社会公众对于人影办的工作表示肯定</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哈密市本级</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人工影响天气作业项目相关工作的开展，</w:t>
      </w:r>
      <w:r>
        <w:rPr>
          <w:rFonts w:hint="eastAsia" w:eastAsia="仿宋_GB2312" w:cs="Times New Roman"/>
          <w:sz w:val="32"/>
          <w:szCs w:val="32"/>
          <w:highlight w:val="none"/>
          <w:lang w:val="en-US" w:eastAsia="zh-CN"/>
        </w:rPr>
        <w:t>10个</w:t>
      </w:r>
      <w:r>
        <w:rPr>
          <w:rFonts w:hint="eastAsia" w:ascii="Times New Roman" w:hAnsi="Times New Roman" w:eastAsia="仿宋_GB2312" w:cs="Times New Roman"/>
          <w:sz w:val="32"/>
          <w:szCs w:val="32"/>
          <w:highlight w:val="none"/>
          <w:lang w:val="en-US" w:eastAsia="zh-CN"/>
        </w:rPr>
        <w:t>人影效果评估自动站、</w:t>
      </w:r>
      <w:r>
        <w:rPr>
          <w:rFonts w:hint="eastAsia" w:eastAsia="仿宋_GB2312" w:cs="Times New Roman"/>
          <w:sz w:val="32"/>
          <w:szCs w:val="32"/>
          <w:highlight w:val="none"/>
          <w:lang w:val="en-US" w:eastAsia="zh-CN"/>
        </w:rPr>
        <w:t>20个</w:t>
      </w:r>
      <w:r>
        <w:rPr>
          <w:rFonts w:hint="eastAsia" w:ascii="Times New Roman" w:hAnsi="Times New Roman" w:eastAsia="仿宋_GB2312" w:cs="Times New Roman"/>
          <w:sz w:val="32"/>
          <w:szCs w:val="32"/>
          <w:highlight w:val="none"/>
          <w:lang w:val="en-US" w:eastAsia="zh-CN"/>
        </w:rPr>
        <w:t>碘化银烟炉</w:t>
      </w:r>
      <w:r>
        <w:rPr>
          <w:rFonts w:hint="eastAsia" w:eastAsia="仿宋_GB2312" w:cs="Times New Roman"/>
          <w:sz w:val="32"/>
          <w:szCs w:val="32"/>
          <w:highlight w:val="none"/>
          <w:lang w:val="en-US" w:eastAsia="zh-CN"/>
        </w:rPr>
        <w:t>及1个</w:t>
      </w:r>
      <w:r>
        <w:rPr>
          <w:rFonts w:hint="eastAsia" w:ascii="Times New Roman" w:hAnsi="Times New Roman" w:eastAsia="仿宋_GB2312" w:cs="Times New Roman"/>
          <w:sz w:val="32"/>
          <w:szCs w:val="32"/>
          <w:highlight w:val="none"/>
          <w:lang w:val="en-US" w:eastAsia="zh-CN"/>
        </w:rPr>
        <w:t>雷达</w:t>
      </w:r>
      <w:r>
        <w:rPr>
          <w:rFonts w:hint="eastAsia" w:eastAsia="仿宋_GB2312" w:cs="Times New Roman"/>
          <w:sz w:val="32"/>
          <w:szCs w:val="32"/>
          <w:highlight w:val="none"/>
          <w:lang w:val="en-US" w:eastAsia="zh-CN"/>
        </w:rPr>
        <w:t>的</w:t>
      </w:r>
      <w:r>
        <w:rPr>
          <w:rFonts w:hint="eastAsia" w:ascii="Times New Roman" w:hAnsi="Times New Roman" w:eastAsia="仿宋_GB2312" w:cs="Times New Roman"/>
          <w:sz w:val="32"/>
          <w:szCs w:val="32"/>
          <w:highlight w:val="none"/>
          <w:lang w:val="en-US" w:eastAsia="zh-CN"/>
        </w:rPr>
        <w:t>维护</w:t>
      </w:r>
      <w:r>
        <w:rPr>
          <w:rFonts w:hint="eastAsia" w:eastAsia="仿宋_GB2312" w:cs="Times New Roman"/>
          <w:sz w:val="32"/>
          <w:szCs w:val="32"/>
          <w:highlight w:val="none"/>
          <w:lang w:val="en-US" w:eastAsia="zh-CN"/>
        </w:rPr>
        <w:t>费57.20万元</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500枚</w:t>
      </w:r>
      <w:r>
        <w:rPr>
          <w:rFonts w:hint="eastAsia" w:ascii="Times New Roman" w:hAnsi="Times New Roman" w:eastAsia="仿宋_GB2312" w:cs="Times New Roman"/>
          <w:sz w:val="32"/>
          <w:szCs w:val="32"/>
          <w:highlight w:val="none"/>
          <w:lang w:val="en-US" w:eastAsia="zh-CN"/>
        </w:rPr>
        <w:t>作业专用材料购买</w:t>
      </w:r>
      <w:r>
        <w:rPr>
          <w:rFonts w:hint="eastAsia" w:eastAsia="仿宋_GB2312" w:cs="Times New Roman"/>
          <w:sz w:val="32"/>
          <w:szCs w:val="32"/>
          <w:highlight w:val="none"/>
          <w:lang w:val="en-US" w:eastAsia="zh-CN"/>
        </w:rPr>
        <w:t>费95.24万元</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委托业务费26.91万元</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交通费用20.00万元，其他商品和服务支出0.66万元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1.总体目标</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人工影响天气作业补助总经费200万元，按计划按时完成辖区内所有人影效果评估自动站、雷达站、碘化银烟炉、作业系统、人影作业车等常规业务设备的维护任务；确保所有人影作业用设备正常运转，达到最大效能；购置人影作业专用</w:t>
      </w:r>
      <w:r>
        <w:rPr>
          <w:rFonts w:hint="eastAsia" w:eastAsia="仿宋_GB2312" w:cs="Times New Roman"/>
          <w:sz w:val="32"/>
          <w:szCs w:val="32"/>
          <w:highlight w:val="none"/>
          <w:lang w:val="en-US" w:eastAsia="zh-CN"/>
        </w:rPr>
        <w:t>材料</w:t>
      </w:r>
      <w:r>
        <w:rPr>
          <w:rFonts w:hint="eastAsia" w:ascii="Times New Roman" w:hAnsi="Times New Roman" w:eastAsia="仿宋_GB2312" w:cs="Times New Roman"/>
          <w:sz w:val="32"/>
          <w:szCs w:val="32"/>
          <w:highlight w:val="none"/>
          <w:lang w:val="en-US" w:eastAsia="zh-CN"/>
        </w:rPr>
        <w:t>合格率达100%；按项目申报计划全面完成项目实施；预期项目实施后对提高地区水资源供给能力和空中水资源开发利用水平，促进区域经济发展产生重要意义；项目实施后为水资源安全、粮食安全、抗旱减灾、森林防火等提供了有力保障；项目实施后为当地生态建设提</w:t>
      </w:r>
      <w:r>
        <w:rPr>
          <w:rFonts w:hint="eastAsia" w:eastAsia="仿宋_GB2312" w:cs="Times New Roman"/>
          <w:sz w:val="32"/>
          <w:szCs w:val="32"/>
          <w:highlight w:val="none"/>
          <w:lang w:val="en-US" w:eastAsia="zh-CN"/>
        </w:rPr>
        <w:t>供了</w:t>
      </w:r>
      <w:r>
        <w:rPr>
          <w:rFonts w:hint="eastAsia" w:ascii="Times New Roman" w:hAnsi="Times New Roman" w:eastAsia="仿宋_GB2312" w:cs="Times New Roman"/>
          <w:sz w:val="32"/>
          <w:szCs w:val="32"/>
          <w:highlight w:val="none"/>
          <w:lang w:val="en-US" w:eastAsia="zh-CN"/>
        </w:rPr>
        <w:t>有力保障；项目实施后社会公众满意，人影现代化建设能力得到提高，并满足气象业务发展需求。</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1-2月制定绩效目标</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3-5月完成人影作业设施设备的维护保养，购买作业人员意外保险，为开展一年的作业任务做好准备；专用材料的购买分为上半年和下半年各一次；对人影自动站、烟炉实施分批分时间段维护，按照周维护、月维护完成维护任务，于当年10月前全部完成；年初对接，逐步推进预警信息发布工作，于年终支付相关费用。预算按照“时间过半，进度过半”的原则，紧跟项目进度推进预算执行。</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w:t>
      </w:r>
      <w:r>
        <w:rPr>
          <w:rFonts w:hint="eastAsia" w:eastAsia="仿宋_GB2312" w:cs="Times New Roman"/>
          <w:sz w:val="32"/>
          <w:szCs w:val="32"/>
          <w:highlight w:val="none"/>
          <w:lang w:val="en-US" w:eastAsia="zh-CN"/>
        </w:rPr>
        <w:t>地</w:t>
      </w:r>
      <w:r>
        <w:rPr>
          <w:rFonts w:hint="default" w:ascii="Times New Roman" w:hAnsi="Times New Roman" w:eastAsia="仿宋_GB2312" w:cs="Times New Roman"/>
          <w:sz w:val="32"/>
          <w:szCs w:val="32"/>
          <w:highlight w:val="none"/>
          <w:lang w:val="en-US" w:eastAsia="zh-CN"/>
        </w:rPr>
        <w:t>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w:t>
      </w:r>
      <w:r>
        <w:rPr>
          <w:rFonts w:hint="eastAsia" w:eastAsia="仿宋_GB2312" w:cs="Times New Roman"/>
          <w:sz w:val="32"/>
          <w:szCs w:val="32"/>
          <w:highlight w:val="none"/>
          <w:lang w:val="en-US" w:eastAsia="zh-CN"/>
        </w:rPr>
        <w:t>地</w:t>
      </w:r>
      <w:r>
        <w:rPr>
          <w:rFonts w:hint="default" w:ascii="Times New Roman" w:hAnsi="Times New Roman" w:eastAsia="仿宋_GB2312" w:cs="Times New Roman"/>
          <w:sz w:val="32"/>
          <w:szCs w:val="32"/>
          <w:highlight w:val="none"/>
          <w:lang w:val="en-US" w:eastAsia="zh-CN"/>
        </w:rPr>
        <w:t>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w:t>
      </w:r>
      <w:r>
        <w:rPr>
          <w:rFonts w:hint="eastAsia" w:eastAsia="仿宋_GB2312" w:cs="Times New Roman"/>
          <w:sz w:val="32"/>
          <w:szCs w:val="32"/>
          <w:highlight w:val="none"/>
          <w:lang w:val="en-US" w:eastAsia="zh-CN"/>
        </w:rPr>
        <w:t>制</w:t>
      </w:r>
      <w:r>
        <w:rPr>
          <w:rFonts w:hint="default" w:ascii="Times New Roman" w:hAnsi="Times New Roman" w:eastAsia="仿宋_GB2312" w:cs="Times New Roman"/>
          <w:sz w:val="32"/>
          <w:szCs w:val="32"/>
          <w:highlight w:val="none"/>
          <w:lang w:val="en-US" w:eastAsia="zh-CN"/>
        </w:rPr>
        <w:t>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green"/>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效益与社会效益。</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本项目预算绩效评价报告的评价对象是人工影响天气作业补助</w:t>
      </w:r>
      <w:r>
        <w:rPr>
          <w:rFonts w:hint="eastAsia" w:ascii="Times New Roman" w:hAnsi="Times New Roman" w:eastAsia="仿宋_GB2312" w:cs="Times New Roman"/>
          <w:b w:val="0"/>
          <w:bCs w:val="0"/>
          <w:highlight w:val="none"/>
          <w:lang w:val="en-US" w:eastAsia="zh-CN"/>
        </w:rPr>
        <w:t>项目</w:t>
      </w:r>
      <w:r>
        <w:rPr>
          <w:rFonts w:hint="default" w:ascii="Times New Roman" w:hAnsi="Times New Roman" w:eastAsia="仿宋_GB2312" w:cs="Times New Roman"/>
          <w:b w:val="0"/>
          <w:bCs w:val="0"/>
          <w:highlight w:val="none"/>
        </w:rPr>
        <w:t>及其预算执行情况。该项目由哈密市人工影响天气办公室负责实施，旨在提高地区水资源供给能力和空中水资源开发利用水平</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促进区域经济发展</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为水资源安全、粮食安全、抗旱减灾、森林防火等提供了有力保障</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为当地生态建设提供有力保障。项目预算涵盖从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200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本项目预算绩效评价报告的评价范围广泛而全面，涵盖了从项目立项至评价期间的所有关键预算活动和财务流程。具体而言，评价范围包括但不限于以下几个方面：</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w:t>
      </w:r>
      <w:r>
        <w:rPr>
          <w:rFonts w:hint="eastAsia" w:ascii="Times New Roman" w:hAnsi="Times New Roman" w:eastAsia="仿宋_GB2312" w:cs="Times New Roman"/>
          <w:b w:val="0"/>
          <w:bCs w:val="0"/>
          <w:lang w:eastAsia="zh-CN"/>
        </w:rPr>
        <w:t>地</w:t>
      </w:r>
      <w:r>
        <w:rPr>
          <w:rFonts w:hint="default" w:ascii="Times New Roman" w:hAnsi="Times New Roman" w:eastAsia="仿宋_GB2312" w:cs="Times New Roman"/>
          <w:b w:val="0"/>
          <w:bCs w:val="0"/>
        </w:rPr>
        <w:t>反映。</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（3）激励约束。绩效评价结果应与预算安排、政策调整、改进管理实质性挂钩，体现奖优罚劣和激励导向，有效要安排、低效要压减、无效要问责。</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eastAsia="仿宋_GB2312" w:cs="Times New Roman"/>
          <w:color w:val="000000"/>
          <w:spacing w:val="17"/>
          <w:sz w:val="32"/>
          <w:szCs w:val="32"/>
          <w:highlight w:val="none"/>
          <w:lang w:eastAsia="zh-CN"/>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w:t>
      </w:r>
    </w:p>
    <w:p>
      <w:pPr>
        <w:numPr>
          <w:ilvl w:val="0"/>
          <w:numId w:val="0"/>
        </w:numPr>
        <w:spacing w:line="560" w:lineRule="exact"/>
        <w:ind w:firstLine="708" w:firstLineChars="200"/>
        <w:rPr>
          <w:rFonts w:eastAsia="仿宋_GB2312"/>
          <w:color w:val="000000"/>
          <w:spacing w:val="17"/>
          <w:sz w:val="32"/>
          <w:szCs w:val="32"/>
        </w:rPr>
      </w:pPr>
      <w:r>
        <w:rPr>
          <w:rFonts w:hint="eastAsia" w:eastAsia="仿宋_GB2312" w:cs="Times New Roman"/>
          <w:color w:val="000000"/>
          <w:spacing w:val="17"/>
          <w:sz w:val="32"/>
          <w:szCs w:val="32"/>
          <w:highlight w:val="none"/>
          <w:lang w:val="en-US" w:eastAsia="zh-CN"/>
        </w:rPr>
        <w:t>可以</w:t>
      </w: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r>
        <w:rPr>
          <w:rFonts w:hint="eastAsia" w:eastAsia="仿宋_GB2312"/>
          <w:color w:val="000000"/>
          <w:spacing w:val="17"/>
          <w:sz w:val="32"/>
          <w:szCs w:val="32"/>
          <w:lang w:eastAsia="zh-CN"/>
        </w:rPr>
        <w:t>，</w:t>
      </w:r>
      <w:r>
        <w:rPr>
          <w:rFonts w:hint="eastAsia" w:eastAsia="仿宋_GB2312"/>
          <w:color w:val="000000"/>
          <w:spacing w:val="17"/>
          <w:sz w:val="32"/>
          <w:szCs w:val="32"/>
          <w:lang w:val="en-US" w:eastAsia="zh-CN"/>
        </w:rPr>
        <w:t>得出项目实际完成效果结论</w:t>
      </w:r>
      <w:r>
        <w:rPr>
          <w:rFonts w:eastAsia="仿宋_GB2312"/>
          <w:color w:val="000000"/>
          <w:spacing w:val="17"/>
          <w:sz w:val="32"/>
          <w:szCs w:val="32"/>
        </w:rPr>
        <w:t>。</w:t>
      </w:r>
    </w:p>
    <w:p>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eastAsia="仿宋_GB2312" w:cs="Times New Roman"/>
          <w:color w:val="000000"/>
          <w:spacing w:val="17"/>
          <w:sz w:val="32"/>
          <w:szCs w:val="32"/>
          <w:highlight w:val="none"/>
          <w:lang w:eastAsia="zh-CN"/>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w:t>
      </w:r>
    </w:p>
    <w:p>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eastAsia="仿宋_GB2312" w:cs="Times New Roman"/>
          <w:color w:val="000000"/>
          <w:spacing w:val="17"/>
          <w:sz w:val="32"/>
          <w:szCs w:val="32"/>
          <w:highlight w:val="none"/>
          <w:lang w:val="en-US" w:eastAsia="zh-CN"/>
        </w:rPr>
        <w:t>可以</w:t>
      </w: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b w:val="0"/>
          <w:bCs w:val="0"/>
          <w:lang w:val="en-US" w:eastAsia="zh-CN"/>
        </w:rPr>
        <w:t>计划标准、行业</w:t>
      </w:r>
      <w:r>
        <w:rPr>
          <w:rFonts w:hint="default" w:ascii="Times New Roman" w:hAnsi="Times New Roman" w:eastAsia="仿宋_GB2312" w:cs="Times New Roman"/>
          <w:b w:val="0"/>
          <w:bCs w:val="0"/>
        </w:rPr>
        <w:t>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pPr>
        <w:pStyle w:val="13"/>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w:t>
      </w:r>
      <w:r>
        <w:rPr>
          <w:rFonts w:hint="eastAsia" w:eastAsia="仿宋_GB2312" w:cs="Times New Roman"/>
          <w:sz w:val="32"/>
          <w:szCs w:val="32"/>
          <w:highlight w:val="none"/>
          <w:lang w:eastAsia="zh-CN"/>
        </w:rPr>
        <w:t>地</w:t>
      </w:r>
      <w:r>
        <w:rPr>
          <w:rFonts w:hint="default" w:ascii="Times New Roman" w:hAnsi="Times New Roman" w:eastAsia="仿宋_GB2312" w:cs="Times New Roman"/>
          <w:sz w:val="32"/>
          <w:szCs w:val="32"/>
          <w:highlight w:val="none"/>
          <w:lang w:eastAsia="zh-CN"/>
        </w:rPr>
        <w:t>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本项目的综合评价基于对项目各方面绩效的深入分析与评估。从项目目标的达成情况来看，人工影响天气作业补助</w:t>
      </w:r>
      <w:r>
        <w:rPr>
          <w:rFonts w:hint="eastAsia" w:eastAsia="仿宋_GB2312" w:cs="Times New Roman"/>
          <w:sz w:val="32"/>
          <w:szCs w:val="32"/>
          <w:highlight w:val="none"/>
          <w:lang w:eastAsia="zh-CN"/>
        </w:rPr>
        <w:t>项目按时完成</w:t>
      </w:r>
      <w:r>
        <w:rPr>
          <w:rFonts w:hint="eastAsia" w:eastAsia="仿宋_GB2312" w:cs="Times New Roman"/>
          <w:sz w:val="32"/>
          <w:szCs w:val="32"/>
          <w:highlight w:val="none"/>
          <w:lang w:val="en-US" w:eastAsia="zh-CN"/>
        </w:rPr>
        <w:t>碘化银烟炉维护</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人影雷达站维护</w:t>
      </w:r>
      <w:r>
        <w:rPr>
          <w:rFonts w:hint="eastAsia" w:eastAsia="仿宋_GB2312" w:cs="Times New Roman"/>
          <w:sz w:val="32"/>
          <w:szCs w:val="32"/>
          <w:highlight w:val="none"/>
          <w:lang w:eastAsia="zh-CN"/>
        </w:rPr>
        <w:t>工作</w:t>
      </w:r>
      <w:r>
        <w:rPr>
          <w:rFonts w:hint="default" w:ascii="Times New Roman" w:hAnsi="Times New Roman" w:eastAsia="仿宋_GB2312" w:cs="Times New Roman"/>
          <w:sz w:val="32"/>
          <w:szCs w:val="32"/>
          <w:highlight w:val="none"/>
        </w:rPr>
        <w:t>，达到了预期的标准与要求。</w:t>
      </w:r>
      <w:r>
        <w:rPr>
          <w:rFonts w:hint="eastAsia" w:eastAsia="仿宋_GB2312" w:cs="Times New Roman"/>
          <w:sz w:val="32"/>
          <w:szCs w:val="32"/>
          <w:highlight w:val="none"/>
          <w:lang w:eastAsia="zh-CN"/>
        </w:rPr>
        <w:t>根据气候条件，在具备人工增水的气候条件下及时完成增水作业</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增水影响面积较往年增加20%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冬季积雪与历年同期均值相比偏多三成</w:t>
      </w:r>
      <w:r>
        <w:rPr>
          <w:rFonts w:hint="default" w:ascii="Times New Roman" w:hAnsi="Times New Roman" w:eastAsia="仿宋_GB2312" w:cs="Times New Roman"/>
          <w:sz w:val="32"/>
          <w:szCs w:val="32"/>
          <w:highlight w:val="none"/>
        </w:rPr>
        <w:t>。</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在项目管理方面，哈密市人工影响天气办公室通过有效</w:t>
      </w:r>
      <w:r>
        <w:rPr>
          <w:rFonts w:hint="eastAsia" w:eastAsia="仿宋_GB2312" w:cs="Times New Roman"/>
          <w:sz w:val="32"/>
          <w:szCs w:val="32"/>
          <w:highlight w:val="none"/>
          <w:lang w:eastAsia="zh-CN"/>
        </w:rPr>
        <w:t>地</w:t>
      </w:r>
      <w:r>
        <w:rPr>
          <w:rFonts w:hint="default" w:ascii="Times New Roman" w:hAnsi="Times New Roman" w:eastAsia="仿宋_GB2312" w:cs="Times New Roman"/>
          <w:sz w:val="32"/>
          <w:szCs w:val="32"/>
          <w:highlight w:val="none"/>
        </w:rPr>
        <w:t>规划、组织与协调，项目得以顺利实施，并在预算与时间上保持了良好的控制。</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w:t>
      </w:r>
      <w:r>
        <w:rPr>
          <w:rFonts w:hint="eastAsia" w:eastAsia="仿宋_GB2312" w:cs="Times New Roman"/>
          <w:sz w:val="32"/>
          <w:szCs w:val="32"/>
          <w:highlight w:val="none"/>
          <w:lang w:eastAsia="zh-CN"/>
        </w:rPr>
        <w:t>实施对</w:t>
      </w:r>
      <w:r>
        <w:rPr>
          <w:rFonts w:hint="eastAsia" w:eastAsia="仿宋_GB2312" w:cs="Times New Roman"/>
          <w:sz w:val="32"/>
          <w:szCs w:val="32"/>
          <w:highlight w:val="none"/>
          <w:lang w:val="en-US" w:eastAsia="zh-CN"/>
        </w:rPr>
        <w:t>当地生态建设</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粮食安全与防灾减灾</w:t>
      </w:r>
      <w:r>
        <w:rPr>
          <w:rFonts w:hint="default" w:ascii="Times New Roman" w:hAnsi="Times New Roman" w:eastAsia="仿宋_GB2312" w:cs="Times New Roman"/>
          <w:sz w:val="32"/>
          <w:szCs w:val="32"/>
          <w:highlight w:val="none"/>
        </w:rPr>
        <w:t>等方面</w:t>
      </w:r>
      <w:r>
        <w:rPr>
          <w:rFonts w:hint="eastAsia" w:eastAsia="仿宋_GB2312" w:cs="Times New Roman"/>
          <w:sz w:val="32"/>
          <w:szCs w:val="32"/>
          <w:highlight w:val="none"/>
          <w:lang w:eastAsia="zh-CN"/>
        </w:rPr>
        <w:t>提供了保障</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对促进区域经济发展产生重要意义</w:t>
      </w:r>
      <w:r>
        <w:rPr>
          <w:rFonts w:hint="default" w:ascii="Times New Roman" w:hAnsi="Times New Roman" w:eastAsia="仿宋_GB2312" w:cs="Times New Roman"/>
          <w:sz w:val="32"/>
          <w:szCs w:val="32"/>
          <w:highlight w:val="none"/>
        </w:rPr>
        <w:t>。</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综上所述，人工影响天气作业补助在绩效评价中表现出色，达到了项目的预期目标，并在多个方面取得了显著的成效。</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99.47</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39.47</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98.68</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w:t>
      </w:r>
      <w:r>
        <w:rPr>
          <w:rFonts w:hint="default" w:ascii="Times New Roman" w:hAnsi="Times New Roman" w:eastAsia="仿宋_GB2312" w:cs="Times New Roman"/>
          <w:b w:val="0"/>
          <w:bCs w:val="0"/>
        </w:rPr>
        <w:t>体打分情况详见：附件1综合评分表</w:t>
      </w:r>
      <w:r>
        <w:rPr>
          <w:rFonts w:hint="default" w:ascii="Times New Roman" w:hAnsi="Times New Roman" w:eastAsia="仿宋_GB2312" w:cs="Times New Roman"/>
          <w:b w:val="0"/>
          <w:bCs w:val="0"/>
          <w:lang w:eastAsia="zh-CN"/>
        </w:rPr>
        <w:t>。</w:t>
      </w:r>
    </w:p>
    <w:p>
      <w:pPr>
        <w:pStyle w:val="13"/>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9270" w:type="dxa"/>
        <w:jc w:val="center"/>
        <w:tblInd w:w="0" w:type="dxa"/>
        <w:tblLayout w:type="fixed"/>
        <w:tblCellMar>
          <w:top w:w="0" w:type="dxa"/>
          <w:left w:w="108" w:type="dxa"/>
          <w:bottom w:w="0" w:type="dxa"/>
          <w:right w:w="108" w:type="dxa"/>
        </w:tblCellMar>
      </w:tblPr>
      <w:tblGrid>
        <w:gridCol w:w="3137"/>
        <w:gridCol w:w="2168"/>
        <w:gridCol w:w="2278"/>
        <w:gridCol w:w="1687"/>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68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c>
          <w:tcPr>
            <w:tcW w:w="168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c>
          <w:tcPr>
            <w:tcW w:w="168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39.47</w:t>
            </w:r>
          </w:p>
        </w:tc>
        <w:tc>
          <w:tcPr>
            <w:tcW w:w="1687" w:type="dxa"/>
            <w:tcBorders>
              <w:top w:val="nil"/>
              <w:left w:val="nil"/>
              <w:bottom w:val="single" w:color="auto" w:sz="4" w:space="0"/>
              <w:right w:val="single" w:color="auto" w:sz="4" w:space="0"/>
            </w:tcBorders>
            <w:shd w:val="clear" w:color="auto" w:fill="auto"/>
            <w:vAlign w:val="center"/>
          </w:tcPr>
          <w:p>
            <w:pPr>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98.68%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c>
          <w:tcPr>
            <w:tcW w:w="168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kern w:val="2"/>
                <w:sz w:val="21"/>
                <w:szCs w:val="21"/>
                <w:lang w:val="en-US" w:eastAsia="zh-CN" w:bidi="ar-SA"/>
              </w:rPr>
            </w:pPr>
            <w:r>
              <w:rPr>
                <w:rFonts w:hint="eastAsia" w:eastAsia="仿宋_GB2312" w:cs="Times New Roman"/>
                <w:b/>
                <w:bCs/>
                <w:color w:val="000000"/>
                <w:sz w:val="21"/>
                <w:szCs w:val="21"/>
                <w:lang w:val="en-US" w:eastAsia="zh-CN"/>
              </w:rPr>
              <w:t>99.47</w:t>
            </w:r>
          </w:p>
        </w:tc>
        <w:tc>
          <w:tcPr>
            <w:tcW w:w="1687" w:type="dxa"/>
            <w:tcBorders>
              <w:top w:val="nil"/>
              <w:left w:val="nil"/>
              <w:bottom w:val="single" w:color="auto" w:sz="4" w:space="0"/>
              <w:right w:val="single" w:color="auto" w:sz="4" w:space="0"/>
            </w:tcBorders>
            <w:shd w:val="clear" w:color="auto" w:fill="auto"/>
            <w:vAlign w:val="center"/>
          </w:tcPr>
          <w:p>
            <w:pPr>
              <w:jc w:val="center"/>
              <w:rPr>
                <w:rFonts w:hint="default"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99.47%</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3"/>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highlight w:val="none"/>
          <w:lang w:val="en-US" w:eastAsia="zh-CN"/>
        </w:rPr>
        <w:t>2008年政府经济领导小组会议确立人工影响天气作业补助项目作为部门重点项目。</w:t>
      </w:r>
      <w:r>
        <w:rPr>
          <w:rFonts w:hint="default" w:ascii="Times New Roman" w:hAnsi="Times New Roman" w:eastAsia="仿宋_GB2312" w:cs="Times New Roman"/>
          <w:sz w:val="32"/>
          <w:szCs w:val="32"/>
          <w:lang w:val="en-US" w:eastAsia="zh-CN"/>
        </w:rPr>
        <w:t>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w:t>
      </w:r>
      <w:r>
        <w:rPr>
          <w:rFonts w:hint="eastAsia" w:eastAsia="仿宋_GB2312" w:cs="Times New Roman"/>
          <w:sz w:val="32"/>
          <w:szCs w:val="32"/>
          <w:lang w:val="en-US" w:eastAsia="zh-CN"/>
        </w:rPr>
        <w:t>的</w:t>
      </w:r>
      <w:r>
        <w:rPr>
          <w:rFonts w:hint="default" w:ascii="Times New Roman" w:hAnsi="Times New Roman" w:eastAsia="仿宋_GB2312" w:cs="Times New Roman"/>
          <w:sz w:val="32"/>
          <w:szCs w:val="32"/>
          <w:lang w:val="en-US" w:eastAsia="zh-CN"/>
        </w:rPr>
        <w:t>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3"/>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lang w:eastAsia="zh-CN"/>
        </w:rPr>
        <w:t>本项目在执行过程中，管理制度得到了全面、有效</w:t>
      </w:r>
      <w:r>
        <w:rPr>
          <w:rFonts w:hint="eastAsia" w:eastAsia="仿宋_GB2312" w:cs="Times New Roman"/>
          <w:sz w:val="32"/>
          <w:szCs w:val="32"/>
          <w:highlight w:val="none"/>
          <w:lang w:eastAsia="zh-CN"/>
        </w:rPr>
        <w:t>地</w:t>
      </w:r>
      <w:r>
        <w:rPr>
          <w:rFonts w:hint="default" w:ascii="Times New Roman" w:hAnsi="Times New Roman" w:eastAsia="仿宋_GB2312" w:cs="Times New Roman"/>
          <w:sz w:val="32"/>
          <w:szCs w:val="32"/>
          <w:highlight w:val="none"/>
          <w:lang w:eastAsia="zh-CN"/>
        </w:rPr>
        <w:t>落实，为确保项目的顺利实施与目标实现提供了坚实</w:t>
      </w:r>
      <w:r>
        <w:rPr>
          <w:rFonts w:hint="default" w:ascii="Times New Roman" w:hAnsi="Times New Roman" w:eastAsia="仿宋_GB2312" w:cs="Times New Roman"/>
          <w:sz w:val="32"/>
          <w:szCs w:val="32"/>
          <w:lang w:eastAsia="zh-CN"/>
        </w:rPr>
        <w:t>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6"/>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lang w:val="en-US" w:eastAsia="zh-CN"/>
        </w:rPr>
        <w:t>个三级指标构成，权重分为40分，得分为39.47分，得分率为98.68%。具体产出指标完成情况如下：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：人影效果评估自动站维护数，年初指标值：=</w:t>
      </w: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lang w:eastAsia="zh-CN"/>
        </w:rPr>
        <w:t>个，实际完成值：=</w:t>
      </w: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lang w:eastAsia="zh-CN"/>
        </w:rPr>
        <w:t>个，完成率=100%</w:t>
      </w:r>
      <w:bookmarkStart w:id="1" w:name="OLE_LINK1"/>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2：人影</w:t>
      </w:r>
      <w:r>
        <w:rPr>
          <w:rFonts w:hint="eastAsia" w:ascii="Times New Roman" w:hAnsi="Times New Roman" w:eastAsia="仿宋_GB2312" w:cs="Times New Roman"/>
          <w:sz w:val="32"/>
          <w:szCs w:val="32"/>
          <w:lang w:eastAsia="zh-CN"/>
        </w:rPr>
        <w:t>作业系统维护数，年初指标值：=22套，实际完成值：=</w:t>
      </w:r>
      <w:r>
        <w:rPr>
          <w:rFonts w:hint="eastAsia" w:eastAsia="仿宋_GB2312" w:cs="Times New Roman"/>
          <w:sz w:val="32"/>
          <w:szCs w:val="32"/>
          <w:lang w:val="en-US" w:eastAsia="zh-CN"/>
        </w:rPr>
        <w:t>15</w:t>
      </w:r>
      <w:r>
        <w:rPr>
          <w:rFonts w:hint="eastAsia" w:ascii="Times New Roman" w:hAnsi="Times New Roman" w:eastAsia="仿宋_GB2312" w:cs="Times New Roman"/>
          <w:sz w:val="32"/>
          <w:szCs w:val="32"/>
          <w:lang w:eastAsia="zh-CN"/>
        </w:rPr>
        <w:t>套，完成率=</w:t>
      </w:r>
      <w:r>
        <w:rPr>
          <w:rFonts w:hint="eastAsia" w:eastAsia="仿宋_GB2312" w:cs="Times New Roman"/>
          <w:sz w:val="32"/>
          <w:szCs w:val="32"/>
          <w:lang w:val="en-US" w:eastAsia="zh-CN"/>
        </w:rPr>
        <w:t>68.18</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w:t>
      </w:r>
      <w:r>
        <w:rPr>
          <w:rFonts w:hint="eastAsia" w:eastAsia="仿宋_GB2312" w:cs="Times New Roman"/>
          <w:sz w:val="32"/>
          <w:szCs w:val="32"/>
          <w:lang w:val="en-US" w:eastAsia="zh-CN"/>
        </w:rPr>
        <w:t>偏差率为31.82%。偏差原因：哈密市</w:t>
      </w:r>
      <w:r>
        <w:rPr>
          <w:rFonts w:hint="eastAsia" w:ascii="仿宋" w:hAnsi="仿宋" w:eastAsia="仿宋"/>
          <w:color w:val="auto"/>
          <w:sz w:val="32"/>
          <w:szCs w:val="32"/>
          <w:lang w:eastAsia="zh-CN"/>
        </w:rPr>
        <w:t>人影办原有</w:t>
      </w:r>
      <w:r>
        <w:rPr>
          <w:rFonts w:hint="eastAsia" w:ascii="Times New Roman" w:hAnsi="Times New Roman" w:eastAsia="仿宋_GB2312" w:cs="Times New Roman"/>
          <w:sz w:val="32"/>
          <w:szCs w:val="32"/>
          <w:lang w:val="en-US" w:eastAsia="zh-CN"/>
        </w:rPr>
        <w:t>人影</w:t>
      </w:r>
      <w:r>
        <w:rPr>
          <w:rFonts w:hint="eastAsia" w:ascii="Times New Roman" w:hAnsi="Times New Roman" w:eastAsia="仿宋_GB2312" w:cs="Times New Roman"/>
          <w:sz w:val="32"/>
          <w:szCs w:val="32"/>
          <w:lang w:eastAsia="zh-CN"/>
        </w:rPr>
        <w:t>作业系统</w:t>
      </w:r>
      <w:r>
        <w:rPr>
          <w:rFonts w:hint="eastAsia" w:eastAsia="仿宋_GB2312" w:cs="Times New Roman"/>
          <w:sz w:val="32"/>
          <w:szCs w:val="32"/>
          <w:lang w:val="en-US" w:eastAsia="zh-CN"/>
        </w:rPr>
        <w:t>22套，在2024年开展年审时，已有7套设备出现损毁无法使用的情况，故无需年审，正常参与年审的设备为15套</w:t>
      </w:r>
      <w:r>
        <w:rPr>
          <w:rFonts w:hint="eastAsia" w:ascii="仿宋" w:hAnsi="仿宋" w:eastAsia="仿宋"/>
          <w:color w:val="auto"/>
          <w:sz w:val="32"/>
          <w:szCs w:val="32"/>
          <w:lang w:val="en-US" w:eastAsia="zh-CN"/>
        </w:rPr>
        <w:t>。</w:t>
      </w:r>
      <w:r>
        <w:rPr>
          <w:rFonts w:hint="eastAsia" w:ascii="仿宋" w:hAnsi="仿宋" w:eastAsia="仿宋"/>
          <w:color w:val="auto"/>
          <w:sz w:val="32"/>
          <w:szCs w:val="32"/>
          <w:lang w:eastAsia="zh-CN"/>
        </w:rPr>
        <w:t>改进措施：在设立目标值时，要检查设备仪器是否有损毁无法使用情况，要加强绩效目标设定的合理性、精准性。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碘化银烟炉维护数，年初指标值：=</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个，实际完成值：=</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个，完成率=100%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年作业专用材料用量，年初指标值：≥</w:t>
      </w:r>
      <w:r>
        <w:rPr>
          <w:rFonts w:hint="eastAsia" w:ascii="Times New Roman" w:hAnsi="Times New Roman" w:eastAsia="仿宋_GB2312" w:cs="Times New Roman"/>
          <w:sz w:val="32"/>
          <w:szCs w:val="32"/>
          <w:lang w:val="en-US" w:eastAsia="zh-CN"/>
        </w:rPr>
        <w:t>500</w:t>
      </w:r>
      <w:r>
        <w:rPr>
          <w:rFonts w:hint="eastAsia" w:ascii="Times New Roman" w:hAnsi="Times New Roman" w:eastAsia="仿宋_GB2312" w:cs="Times New Roman"/>
          <w:sz w:val="32"/>
          <w:szCs w:val="32"/>
          <w:lang w:eastAsia="zh-CN"/>
        </w:rPr>
        <w:t>枚，实际完成</w:t>
      </w:r>
      <w:r>
        <w:rPr>
          <w:rFonts w:hint="eastAsia" w:ascii="Times New Roman" w:hAnsi="Times New Roman" w:eastAsia="仿宋_GB2312" w:cs="Times New Roman"/>
          <w:color w:val="auto"/>
          <w:sz w:val="32"/>
          <w:szCs w:val="32"/>
          <w:lang w:eastAsia="zh-CN"/>
        </w:rPr>
        <w:t>值=</w:t>
      </w:r>
      <w:r>
        <w:rPr>
          <w:rFonts w:hint="eastAsia" w:eastAsia="仿宋_GB2312" w:cs="Times New Roman"/>
          <w:color w:val="auto"/>
          <w:sz w:val="32"/>
          <w:szCs w:val="32"/>
          <w:lang w:val="en-US" w:eastAsia="zh-CN"/>
        </w:rPr>
        <w:t>500</w:t>
      </w:r>
      <w:r>
        <w:rPr>
          <w:rFonts w:hint="eastAsia" w:ascii="Times New Roman" w:hAnsi="Times New Roman" w:eastAsia="仿宋_GB2312" w:cs="Times New Roman"/>
          <w:color w:val="auto"/>
          <w:sz w:val="32"/>
          <w:szCs w:val="32"/>
          <w:lang w:eastAsia="zh-CN"/>
        </w:rPr>
        <w:t>枚</w:t>
      </w:r>
      <w:r>
        <w:rPr>
          <w:rFonts w:hint="eastAsia" w:ascii="Times New Roman" w:hAnsi="Times New Roman" w:eastAsia="仿宋_GB2312" w:cs="Times New Roman"/>
          <w:sz w:val="32"/>
          <w:szCs w:val="32"/>
          <w:lang w:eastAsia="zh-CN"/>
        </w:rPr>
        <w:t>，完成率=</w:t>
      </w:r>
      <w:r>
        <w:rPr>
          <w:rFonts w:hint="eastAsia" w:ascii="Times New Roman" w:hAnsi="Times New Roman" w:eastAsia="仿宋_GB2312" w:cs="Times New Roman"/>
          <w:sz w:val="32"/>
          <w:szCs w:val="32"/>
          <w:lang w:val="en-US" w:eastAsia="zh-CN"/>
        </w:rPr>
        <w:t>10</w:t>
      </w:r>
      <w:r>
        <w:rPr>
          <w:rFonts w:hint="eastAsia" w:eastAsia="仿宋_GB2312" w:cs="Times New Roman"/>
          <w:sz w:val="32"/>
          <w:szCs w:val="32"/>
          <w:lang w:val="en-US" w:eastAsia="zh-CN"/>
        </w:rPr>
        <w:t>0</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eastAsia="zh-CN"/>
        </w:rPr>
        <w:t>人影作业专用车辆数，年初指标值：</w:t>
      </w:r>
      <w:r>
        <w:rPr>
          <w:rFonts w:hint="eastAsia" w:ascii="Times New Roman" w:hAnsi="Times New Roman" w:eastAsia="仿宋_GB2312" w:cs="Times New Roman"/>
          <w:sz w:val="32"/>
          <w:szCs w:val="32"/>
          <w:lang w:val="en-US" w:eastAsia="zh-CN"/>
        </w:rPr>
        <w:t>=26辆，实际完成值：=26辆，完成率=100%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指标6：人影雷达站维护数，年初指标值：=1个，实际完成值：1个，完成率=100%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②质量指标：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人影作业专用材料合格率，年初指标值：≥</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%，实际完成值：=100%，完成率=100%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2：人影</w:t>
      </w:r>
      <w:r>
        <w:rPr>
          <w:rFonts w:hint="eastAsia" w:ascii="Times New Roman" w:hAnsi="Times New Roman" w:eastAsia="仿宋_GB2312" w:cs="Times New Roman"/>
          <w:sz w:val="32"/>
          <w:szCs w:val="32"/>
          <w:lang w:eastAsia="zh-CN"/>
        </w:rPr>
        <w:t>作业车辆维护保养率，年初指标值：=100%，实际完成值：=100%，完成率=100%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作业人员保险购买率，年初指标值：=100%，实际完成值：=100%，完成率=100%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③时效指标：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维护人影效果评估自动站、烟炉、作业系统、车辆等设备及时率，年初指标值：</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%，实际完成值：=100%，完成率=100%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作业人员保险购买及时率，年初指标值：=100%，实际完成值：=100%，完成率=100%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④成本指标：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指标1：其他交通费用，年初指标值：≦20万元，实际完成值：=20万元，完成率=100%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指标2：专用材料购置费，年初指标值：≦95.24万元，实际完成值：=95.24万元，完成率=100%；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指标</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维修（</w:t>
      </w:r>
      <w:r>
        <w:rPr>
          <w:rFonts w:hint="eastAsia" w:ascii="Times New Roman" w:hAnsi="Times New Roman" w:eastAsia="仿宋_GB2312" w:cs="Times New Roman"/>
          <w:sz w:val="32"/>
          <w:szCs w:val="32"/>
          <w:lang w:val="en-US" w:eastAsia="zh-CN"/>
        </w:rPr>
        <w:t>维</w:t>
      </w:r>
      <w:r>
        <w:rPr>
          <w:rFonts w:hint="eastAsia" w:ascii="Times New Roman" w:hAnsi="Times New Roman" w:eastAsia="仿宋_GB2312" w:cs="Times New Roman"/>
          <w:sz w:val="32"/>
          <w:szCs w:val="32"/>
          <w:lang w:eastAsia="zh-CN"/>
        </w:rPr>
        <w:t>护）费，年初指标值：≦</w:t>
      </w:r>
      <w:r>
        <w:rPr>
          <w:rFonts w:hint="eastAsia" w:ascii="Times New Roman" w:hAnsi="Times New Roman" w:eastAsia="仿宋_GB2312" w:cs="Times New Roman"/>
          <w:sz w:val="32"/>
          <w:szCs w:val="32"/>
          <w:lang w:val="en-US" w:eastAsia="zh-CN"/>
        </w:rPr>
        <w:t>57.20万元，实际完成值：=57.20万元，完成率=100%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指标4：委托业务费，年初指标值：≦26.91万元，实际完成值：=26.91万元，完成率=100%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指标5：其他商品和服务支出，年初指标值：≦0.66万元，实际完成值：=0.66万元，完成率=100%</w:t>
      </w:r>
      <w:r>
        <w:rPr>
          <w:rFonts w:hint="eastAsia" w:eastAsia="仿宋_GB2312" w:cs="Times New Roman"/>
          <w:sz w:val="32"/>
          <w:szCs w:val="32"/>
          <w:lang w:eastAsia="zh-CN"/>
        </w:rPr>
        <w:t>，</w:t>
      </w:r>
      <w:r>
        <w:rPr>
          <w:rFonts w:hint="eastAsia" w:eastAsia="仿宋_GB2312" w:cs="Times New Roman"/>
          <w:sz w:val="32"/>
          <w:szCs w:val="32"/>
          <w:lang w:val="en-US" w:eastAsia="zh-CN"/>
        </w:rPr>
        <w:t>偏差率为0%。</w:t>
      </w:r>
    </w:p>
    <w:p>
      <w:pPr>
        <w:pStyle w:val="6"/>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bookmarkStart w:id="2" w:name="_Toc64969835"/>
      <w:r>
        <w:rPr>
          <w:rFonts w:hint="eastAsia" w:ascii="Times New Roman" w:hAnsi="Times New Roman" w:eastAsia="仿宋_GB2312" w:cs="Times New Roman"/>
          <w:sz w:val="32"/>
          <w:szCs w:val="32"/>
          <w:lang w:val="en-US" w:eastAsia="zh-CN"/>
        </w:rPr>
        <w:t>①社会效益指标：粮食安全、抗旱防灾减灾、森林防火得到保障，年初指标值：有效保障，实际完成值：有效保障，完成率=100%。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②生态效益指标：当地生态建设，年初指标值：有效保障，实际完成值：有效保障，完成率=100%。</w:t>
      </w:r>
    </w:p>
    <w:bookmarkEnd w:id="2"/>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2.满意度</w:t>
      </w:r>
    </w:p>
    <w:p>
      <w:pPr>
        <w:pStyle w:val="19"/>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满意度指标：社会公众满意度，年初指标值＞=90%，实际完成值=100%，完成率=111%。偏差原因：因哈密区域干旱形势严峻，按照市委、市政府的要求，加大了作业力度，</w:t>
      </w:r>
      <w:r>
        <w:rPr>
          <w:rFonts w:hint="default" w:ascii="Times New Roman" w:hAnsi="Times New Roman"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人工增雨雪方面</w:t>
      </w:r>
      <w:r>
        <w:rPr>
          <w:rFonts w:hint="default" w:ascii="Times New Roman" w:hAnsi="Times New Roman" w:eastAsia="仿宋_GB2312" w:cs="Times New Roman"/>
          <w:sz w:val="32"/>
          <w:szCs w:val="32"/>
          <w:highlight w:val="none"/>
          <w:lang w:val="en-US" w:eastAsia="zh-CN"/>
        </w:rPr>
        <w:t>取得了显著的成效，如</w:t>
      </w:r>
      <w:r>
        <w:rPr>
          <w:rFonts w:hint="eastAsia" w:ascii="Times New Roman" w:hAnsi="Times New Roman" w:eastAsia="仿宋_GB2312" w:cs="Times New Roman"/>
          <w:sz w:val="32"/>
          <w:szCs w:val="32"/>
          <w:highlight w:val="none"/>
          <w:lang w:val="en-US" w:eastAsia="zh-CN"/>
        </w:rPr>
        <w:t>增水影响面积较往年增加20%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冬季积雪与历年同期均值相比偏多三成</w:t>
      </w:r>
      <w:r>
        <w:rPr>
          <w:rFonts w:hint="default" w:ascii="Times New Roman" w:hAnsi="Times New Roman" w:eastAsia="仿宋_GB2312" w:cs="Times New Roman"/>
          <w:sz w:val="32"/>
          <w:szCs w:val="32"/>
          <w:highlight w:val="none"/>
          <w:lang w:val="en-US" w:eastAsia="zh-CN"/>
        </w:rPr>
        <w:t>等</w:t>
      </w:r>
      <w:r>
        <w:rPr>
          <w:rFonts w:hint="eastAsia" w:ascii="Times New Roman" w:hAnsi="Times New Roman" w:eastAsia="仿宋_GB2312" w:cs="Times New Roman"/>
          <w:sz w:val="32"/>
          <w:szCs w:val="32"/>
          <w:highlight w:val="none"/>
          <w:lang w:val="en-US" w:eastAsia="zh-CN"/>
        </w:rPr>
        <w:t>，缓解了旱情，社会公众对于人影办的工作表示肯定。改进措施：加强绩效目标设定的合理性、精准性。</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人工影响天气作业补助项目年初预算200万元，全年预算200万元，实际支出200万元，预算执行率为100%，项目绩效指标总体完成率为98.9%，</w:t>
      </w:r>
      <w:r>
        <w:rPr>
          <w:rFonts w:hint="default" w:ascii="Times New Roman" w:hAnsi="Times New Roman" w:eastAsia="仿宋_GB2312" w:cs="Times New Roman"/>
          <w:sz w:val="32"/>
          <w:szCs w:val="32"/>
          <w:highlight w:val="none"/>
          <w:lang w:val="en-US" w:eastAsia="zh-Hans"/>
        </w:rPr>
        <w:t>总体</w:t>
      </w:r>
      <w:r>
        <w:rPr>
          <w:rFonts w:hint="default" w:ascii="Times New Roman" w:hAnsi="Times New Roman" w:eastAsia="仿宋_GB2312" w:cs="Times New Roman"/>
          <w:sz w:val="32"/>
          <w:szCs w:val="32"/>
          <w:highlight w:val="none"/>
          <w:lang w:val="en-US" w:eastAsia="zh-CN"/>
        </w:rPr>
        <w:t>偏差率为-1.1%。偏差原因：哈密市人影办原有人影作业系统22套，在2024年开展年审时，已有7套设备出现损毁无法使用的情况，故无需年审，正常参与年审的设备为15套。改进措施：在设立目标值时，要检查设备仪器是否有损毁无法使用情况，要加强绩效目标设定的合理性、精准性。</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pStyle w:val="19"/>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总结上年在制定、执行、落实项目预算绩效目标的过程中的经验、不足，查漏补缺，进一步加强绩效目标的管理工作，完善实施过程中的不足之处，使项目预算绩效目标管理更规范化、合理化，可操作性增强。</w:t>
      </w:r>
    </w:p>
    <w:p>
      <w:pPr>
        <w:pStyle w:val="19"/>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抓紧研究制定更全面更完善的绩效评价管理办法。结合人影工作考核建立绩效工作考核制度，加大对全面实施预算绩效管理和绩效管理工作的学习力度，让“花钱必问效，无效必问责”的理念深入工作每个环节。进一步建立健全工作机制，完善内控制度，形成更加科学合理、高效严谨的全面绩效管理制度和体系。</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.因轮岗、调动</w:t>
      </w:r>
      <w:r>
        <w:rPr>
          <w:rFonts w:hint="eastAsia" w:eastAsia="仿宋_GB2312" w:cs="Times New Roman"/>
          <w:sz w:val="32"/>
          <w:szCs w:val="32"/>
          <w:lang w:val="en-US" w:eastAsia="zh-CN"/>
        </w:rPr>
        <w:t>等</w:t>
      </w:r>
      <w:r>
        <w:rPr>
          <w:rFonts w:hint="eastAsia" w:ascii="Times New Roman" w:hAnsi="Times New Roman" w:eastAsia="仿宋_GB2312" w:cs="Times New Roman"/>
          <w:sz w:val="32"/>
          <w:szCs w:val="32"/>
          <w:lang w:val="en-US" w:eastAsia="zh-CN"/>
        </w:rPr>
        <w:t>因素使我单位绩效工作人员流动频繁，</w:t>
      </w:r>
      <w:r>
        <w:rPr>
          <w:rFonts w:hint="eastAsia" w:eastAsia="仿宋_GB2312" w:cs="Times New Roman"/>
          <w:sz w:val="32"/>
          <w:szCs w:val="32"/>
          <w:lang w:val="en-US" w:eastAsia="zh-CN"/>
        </w:rPr>
        <w:t>造成</w:t>
      </w:r>
      <w:r>
        <w:rPr>
          <w:rFonts w:hint="eastAsia" w:ascii="Times New Roman" w:hAnsi="Times New Roman" w:eastAsia="仿宋_GB2312" w:cs="Times New Roman"/>
          <w:sz w:val="32"/>
          <w:szCs w:val="32"/>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1.多进行有关绩效管理工作方面的培训。积极组织第三方开展绩效管理工作培训，进一步夯实业务基础，提高我单位绩效人员水平。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2.专门设定对绩效工作人员定职、定岗、定责等相关制度措施，进一步提升我单位绩效管理工作业务水平，扎实做好绩效管理工作。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3.进一步规范项目建设的程序。项目前期做好可行性研究报告，更加细化实施方案，严格执行资金管理办法和财政资金管理制度，严格按照项目实施方案、招投标管理办法等稳步推进工作。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Times New Roman" w:hAnsi="Times New Roman" w:eastAsia="仿宋_GB2312" w:cs="Times New Roman"/>
          <w:sz w:val="32"/>
          <w:szCs w:val="32"/>
          <w:lang w:eastAsia="zh-CN"/>
        </w:rPr>
        <w:t>。</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3" w:name="page8"/>
      <w:bookmarkEnd w:id="3"/>
      <w:r>
        <w:rPr>
          <w:rFonts w:hint="default" w:ascii="Times New Roman" w:hAnsi="Times New Roman" w:eastAsia="黑体" w:cs="Times New Roman"/>
          <w:sz w:val="32"/>
          <w:szCs w:val="32"/>
        </w:rPr>
        <w:t>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1、该项目在财政的指导和帮助下，项目在资金申请前置条件的落实上，发挥了积极的“花钱必问效，无效必问责”的项目绩效管理和实施的理念引导；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2、项目在实施的过程中进行了绩效的全过程管理，资金使用流程严谨合规，确保资金用途显效、高效。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p>
    <w:p>
      <w:pPr>
        <w:pStyle w:val="10"/>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4" w:name="_Toc26499_WPSOffice_Level2"/>
      <w:bookmarkStart w:id="5" w:name="_Toc30064_WPSOffice_Level1"/>
      <w:r>
        <w:rPr>
          <w:rFonts w:hint="eastAsia" w:ascii="仿宋_GB2312" w:hAnsi="仿宋_GB2312" w:eastAsia="仿宋_GB2312" w:cs="仿宋_GB2312"/>
          <w:b/>
          <w:bCs/>
          <w:sz w:val="28"/>
          <w:szCs w:val="40"/>
          <w:highlight w:val="none"/>
          <w:lang w:val="en-US" w:eastAsia="zh-CN"/>
        </w:rPr>
        <w:t>人工影响天气作业补助</w:t>
      </w:r>
      <w:r>
        <w:rPr>
          <w:rFonts w:hint="eastAsia" w:ascii="仿宋_GB2312" w:hAnsi="仿宋_GB2312" w:eastAsia="仿宋_GB2312" w:cs="仿宋_GB2312"/>
          <w:b/>
          <w:bCs/>
          <w:sz w:val="28"/>
          <w:szCs w:val="40"/>
          <w:highlight w:val="none"/>
        </w:rPr>
        <w:t>项目绩</w:t>
      </w:r>
      <w:r>
        <w:rPr>
          <w:rFonts w:hint="eastAsia" w:ascii="仿宋_GB2312" w:hAnsi="仿宋_GB2312" w:eastAsia="仿宋_GB2312" w:cs="仿宋_GB2312"/>
          <w:b/>
          <w:bCs/>
          <w:sz w:val="28"/>
          <w:szCs w:val="40"/>
        </w:rPr>
        <w:t>效评价指标体系及综合评分表</w:t>
      </w:r>
      <w:bookmarkEnd w:id="4"/>
      <w:bookmarkEnd w:id="5"/>
    </w:p>
    <w:tbl>
      <w:tblPr>
        <w:tblStyle w:val="17"/>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552" w:hRule="atLeast"/>
          <w:tblHeader/>
          <w:jc w:val="center"/>
        </w:trPr>
        <w:tc>
          <w:tcPr>
            <w:tcW w:w="1004"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①项目立项是否符合国家法律法规、国民经济和社会发展规划和相关政策；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w:t>
            </w:r>
            <w:r>
              <w:rPr>
                <w:rFonts w:hint="eastAsia" w:eastAsia="仿宋_GB2312" w:cs="Times New Roman"/>
                <w:color w:val="000000"/>
                <w:kern w:val="0"/>
                <w:sz w:val="18"/>
                <w:szCs w:val="18"/>
                <w:lang w:eastAsia="zh-CN"/>
              </w:rPr>
              <w:t>的</w:t>
            </w:r>
            <w:r>
              <w:rPr>
                <w:rFonts w:hint="default" w:ascii="Times New Roman" w:hAnsi="Times New Roman" w:eastAsia="仿宋_GB2312" w:cs="Times New Roman"/>
                <w:color w:val="000000"/>
                <w:kern w:val="0"/>
                <w:sz w:val="18"/>
                <w:szCs w:val="18"/>
              </w:rPr>
              <w:t>细化情况。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w:t>
            </w:r>
            <w:r>
              <w:rPr>
                <w:rFonts w:hint="eastAsia" w:eastAsia="仿宋_GB2312" w:cs="Times New Roman"/>
                <w:color w:val="000000"/>
                <w:kern w:val="0"/>
                <w:sz w:val="18"/>
                <w:szCs w:val="18"/>
                <w:lang w:eastAsia="zh-CN"/>
              </w:rPr>
              <w:t>数量</w:t>
            </w:r>
            <w:r>
              <w:rPr>
                <w:rFonts w:hint="default" w:ascii="Times New Roman" w:hAnsi="Times New Roman" w:eastAsia="仿宋_GB2312" w:cs="Times New Roman"/>
                <w:color w:val="000000"/>
                <w:kern w:val="0"/>
                <w:sz w:val="18"/>
                <w:szCs w:val="18"/>
              </w:rPr>
              <w:t>：一定时期（本年度或项目期）内项目实际产出的产品或提供的服务数量。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9.47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7" w:hRule="atLeast"/>
          <w:jc w:val="center"/>
        </w:trPr>
        <w:tc>
          <w:tcPr>
            <w:tcW w:w="1004" w:type="dxa"/>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013" w:type="dxa"/>
            <w:gridSpan w:val="4"/>
            <w:shd w:val="clear" w:color="auto" w:fill="auto"/>
            <w:vAlign w:val="center"/>
          </w:tcPr>
          <w:p>
            <w:pPr>
              <w:widowControl/>
              <w:spacing w:line="0" w:lineRule="atLeast"/>
              <w:jc w:val="center"/>
              <w:rPr>
                <w:rFonts w:hint="eastAsia" w:ascii="Times New Roman" w:hAnsi="Times New Roman" w:eastAsia="仿宋_GB2312" w:cs="Times New Roman"/>
                <w:color w:val="000000"/>
                <w:kern w:val="0"/>
                <w:sz w:val="18"/>
                <w:szCs w:val="18"/>
                <w:lang w:val="en-US" w:eastAsia="zh-CN"/>
              </w:rPr>
            </w:pPr>
            <w:r>
              <w:rPr>
                <w:rFonts w:hint="eastAsia" w:eastAsia="仿宋_GB2312" w:cs="Times New Roman"/>
                <w:b/>
                <w:bCs/>
                <w:color w:val="000000"/>
                <w:kern w:val="0"/>
                <w:sz w:val="20"/>
                <w:szCs w:val="20"/>
                <w:lang w:val="en-US" w:eastAsia="zh-CN"/>
              </w:rPr>
              <w:t>合计</w:t>
            </w:r>
          </w:p>
        </w:tc>
        <w:tc>
          <w:tcPr>
            <w:tcW w:w="1300"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100</w:t>
            </w:r>
          </w:p>
        </w:tc>
        <w:tc>
          <w:tcPr>
            <w:tcW w:w="1366" w:type="dxa"/>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99.47</w:t>
            </w:r>
          </w:p>
        </w:tc>
      </w:tr>
    </w:tbl>
    <w:p>
      <w:pPr>
        <w:rPr>
          <w:rFonts w:hint="default" w:ascii="Times New Roman" w:hAnsi="Times New Roman" w:cs="Times New Roman"/>
        </w:rPr>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pPr>
    </w:p>
    <w:p>
      <w:pPr>
        <w:spacing w:line="600" w:lineRule="exact"/>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附件2</w:t>
      </w:r>
    </w:p>
    <w:tbl>
      <w:tblPr>
        <w:tblStyle w:val="17"/>
        <w:tblW w:w="14216" w:type="dxa"/>
        <w:tblInd w:w="-1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
        <w:gridCol w:w="613"/>
        <w:gridCol w:w="596"/>
        <w:gridCol w:w="709"/>
        <w:gridCol w:w="1"/>
        <w:gridCol w:w="2793"/>
        <w:gridCol w:w="1"/>
        <w:gridCol w:w="919"/>
        <w:gridCol w:w="3"/>
        <w:gridCol w:w="1484"/>
        <w:gridCol w:w="1"/>
        <w:gridCol w:w="2"/>
        <w:gridCol w:w="2"/>
        <w:gridCol w:w="3"/>
        <w:gridCol w:w="866"/>
        <w:gridCol w:w="11"/>
        <w:gridCol w:w="539"/>
        <w:gridCol w:w="1095"/>
        <w:gridCol w:w="3"/>
        <w:gridCol w:w="672"/>
        <w:gridCol w:w="239"/>
        <w:gridCol w:w="456"/>
        <w:gridCol w:w="752"/>
        <w:gridCol w:w="14"/>
        <w:gridCol w:w="229"/>
        <w:gridCol w:w="452"/>
        <w:gridCol w:w="14"/>
        <w:gridCol w:w="1703"/>
        <w:gridCol w:w="8"/>
        <w:gridCol w:w="3"/>
        <w:gridCol w:w="3"/>
        <w:gridCol w:w="3"/>
        <w:gridCol w:w="2"/>
        <w:gridCol w:w="3"/>
        <w:gridCol w:w="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gridAfter w:val="6"/>
          <w:wAfter w:w="18" w:type="dxa"/>
          <w:trHeight w:val="405" w:hRule="atLeast"/>
        </w:trPr>
        <w:tc>
          <w:tcPr>
            <w:tcW w:w="14198" w:type="dxa"/>
            <w:gridSpan w:val="2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18" w:type="dxa"/>
          <w:trHeight w:val="270" w:hRule="atLeast"/>
        </w:trPr>
        <w:tc>
          <w:tcPr>
            <w:tcW w:w="14198" w:type="dxa"/>
            <w:gridSpan w:val="34"/>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8" w:type="dxa"/>
          <w:wAfter w:w="4" w:type="dxa"/>
          <w:trHeight w:val="380" w:hRule="atLeast"/>
        </w:trPr>
        <w:tc>
          <w:tcPr>
            <w:tcW w:w="1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985"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人工影响天气作业补助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3"/>
          <w:wBefore w:w="18" w:type="dxa"/>
          <w:wAfter w:w="9" w:type="dxa"/>
          <w:trHeight w:val="380" w:hRule="atLeast"/>
        </w:trPr>
        <w:tc>
          <w:tcPr>
            <w:tcW w:w="1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4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哈密市人工影响天气办公室</w:t>
            </w: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7067"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5"/>
          <w:wBefore w:w="18" w:type="dxa"/>
          <w:wAfter w:w="15" w:type="dxa"/>
          <w:trHeight w:val="380" w:hRule="atLeast"/>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4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21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5"/>
          <w:wBefore w:w="18" w:type="dxa"/>
          <w:wAfter w:w="15" w:type="dxa"/>
          <w:trHeight w:val="38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24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25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21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5"/>
          <w:wBefore w:w="18" w:type="dxa"/>
          <w:wAfter w:w="15" w:type="dxa"/>
          <w:trHeight w:val="38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24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25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1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5"/>
          <w:wBefore w:w="18" w:type="dxa"/>
          <w:wAfter w:w="15" w:type="dxa"/>
          <w:trHeight w:val="38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4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1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2"/>
          <w:wBefore w:w="18" w:type="dxa"/>
          <w:wAfter w:w="7" w:type="dxa"/>
          <w:trHeight w:val="360" w:hRule="atLeast"/>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三、目标完成情况</w:t>
            </w:r>
          </w:p>
        </w:tc>
        <w:tc>
          <w:tcPr>
            <w:tcW w:w="651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7067"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2"/>
          <w:wBefore w:w="18" w:type="dxa"/>
          <w:wAfter w:w="7" w:type="dxa"/>
          <w:trHeight w:val="274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工影响天气作业补助总经费200万元，按计划按时完成辖区内所有人影效果评估自动站、雷达站、碘化银烟炉、作业系统、人影作业车辆等常规业务设备的维护任务，确保所有人影作业用设备正常运转，达到最大效能；购置人影作业专用材料合格率达100%；按项目申报计划全面完成项目实施；项目实施后对提高地区水资源供给能力和空中水资源开发利用水平，促进区域经济发展产生重要意义；项目实施后为水资源安全、粮食安全、抗旱减灾、森林防火等提供有力保障；项目实施后为当地生态建设提供有力保障；项目实施后社会公众满意，人影现代化建设能力得到提高，并满足气象业务发展需求。</w:t>
            </w:r>
          </w:p>
        </w:tc>
        <w:tc>
          <w:tcPr>
            <w:tcW w:w="7067"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目前已经完成实际设立的目标，项目在实施过程中严格按照目标设立的任务进行开展工作，按计划完成辖区内10座人影效果评估自动站、20座人影碘化银烟炉、1座人影雷达站，15套人影作业系统、26辆人影作业车辆等业务设备的维护，购置人影作业专业材料500枚，在人工增雨雪方面取得了显著的成效，增水影响面积较往年增加20%、冬季积雪与历年同期均值相比偏多三成等，缓解了旱情，社会公众对于人影办的工作表示肯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指标值设定依据</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上年完成情况</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权重</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赋分规则</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佐证资料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人影效果评估自动站维护数</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=10个</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=12个</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=10个</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26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人影作业系统维护数</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=22套</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=22套</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=15套</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68.18%</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哈密市人影办原有人影作业系统22套，在2024年开展年审时，已有7套设备出现损毁无法使用的情况，故无需年审，正常参与年审的设备为15套。改进措施：在设立目标值时，要检查设备仪器是否有损毁无法使用情况，要加强绩效目标设定的合理性、精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碘化银烟炉维护数</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=20个</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=27个</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=20个</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年作业专用材料用量</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&gt;=500枚</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&gt;=500枚</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=500枚</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人影作业专用车辆数</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=26辆</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=33辆</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=26辆</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人影雷达站维护数</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人影作业车辆维护保养率</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人影作业专用材料合格率</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行业标准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&gt;=99%</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作业人员保险购买率</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维护人影效果评估自动站、烟炉、作业系统、车辆、储存库等设备及时率</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&gt;=96%</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作业人员保险购买及时率</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维修（维护）费</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&lt;=57.20万元</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&lt;=45.3万元</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=57.2万元</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委托业务费</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&lt;=26.91万元</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&lt;=31.20万元</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=26.91万元</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其他商品和服务支出</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&lt;=0.66万元</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&lt;=0.71万元</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=0.66万元</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其他交通费用</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&lt;=20万元</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&lt;=20万元</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=20万元</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专用材料购置费</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&lt;=95.24万元</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&lt;=89.89万元</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=95.24万元</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粮食安全、抗旱防灾减灾、森林防火得到保障</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80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当地生态建设</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7"/>
          <w:wBefore w:w="18" w:type="dxa"/>
          <w:wAfter w:w="26" w:type="dxa"/>
          <w:trHeight w:val="1572"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社会公众满意度</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哈密区域干旱形势严峻，按照市委市政府的要求，加大了作业力度，在人工增雨雪方面取得了显著的成效，如增水影响面积较往年增加20%、冬季积雪与历年同期均值相比偏多3成等，缓解了旱情，社会公众对于人影办的工作表示肯定。改进措施：加强绩效目标设定的合理性、精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4"/>
          <w:wBefore w:w="18" w:type="dxa"/>
          <w:wAfter w:w="12" w:type="dxa"/>
          <w:trHeight w:val="800" w:hRule="atLeast"/>
        </w:trPr>
        <w:tc>
          <w:tcPr>
            <w:tcW w:w="712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377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98.73分</w:t>
            </w:r>
          </w:p>
        </w:tc>
        <w:tc>
          <w:tcPr>
            <w:tcW w:w="17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bl>
    <w:p>
      <w:pPr>
        <w:pStyle w:val="2"/>
        <w:rPr>
          <w:rFonts w:hint="default"/>
          <w:lang w:val="en-US" w:eastAsia="zh-CN"/>
        </w:rPr>
      </w:pPr>
    </w:p>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roman"/>
    <w:pitch w:val="default"/>
    <w:sig w:usb0="A00002EF" w:usb1="4000207B"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 w:name="KSO_WPS_MARK_KEY" w:val="d32e48ad-fd42-4bb9-a1cf-15a51549dcf9"/>
  </w:docVars>
  <w:rsids>
    <w:rsidRoot w:val="FF6C4049"/>
    <w:rsid w:val="006F7242"/>
    <w:rsid w:val="007B168A"/>
    <w:rsid w:val="008B2CFE"/>
    <w:rsid w:val="00F26FF6"/>
    <w:rsid w:val="01610122"/>
    <w:rsid w:val="016B11DB"/>
    <w:rsid w:val="021F1854"/>
    <w:rsid w:val="02510197"/>
    <w:rsid w:val="03EC461B"/>
    <w:rsid w:val="048108F4"/>
    <w:rsid w:val="06F74194"/>
    <w:rsid w:val="07397B77"/>
    <w:rsid w:val="0AD007F3"/>
    <w:rsid w:val="0D507152"/>
    <w:rsid w:val="0DF91F98"/>
    <w:rsid w:val="0E3C619F"/>
    <w:rsid w:val="0F185FEC"/>
    <w:rsid w:val="100F38EC"/>
    <w:rsid w:val="10CC2EB1"/>
    <w:rsid w:val="11170296"/>
    <w:rsid w:val="12C66037"/>
    <w:rsid w:val="12CD1ABC"/>
    <w:rsid w:val="13471461"/>
    <w:rsid w:val="13B90F01"/>
    <w:rsid w:val="14775809"/>
    <w:rsid w:val="155E4C4D"/>
    <w:rsid w:val="16D476EB"/>
    <w:rsid w:val="181066D2"/>
    <w:rsid w:val="198805EA"/>
    <w:rsid w:val="1C671E73"/>
    <w:rsid w:val="1D322C47"/>
    <w:rsid w:val="23616034"/>
    <w:rsid w:val="23696C97"/>
    <w:rsid w:val="24480FA2"/>
    <w:rsid w:val="25227A45"/>
    <w:rsid w:val="26AC3A6A"/>
    <w:rsid w:val="2B9D7E25"/>
    <w:rsid w:val="2C7C7A3B"/>
    <w:rsid w:val="2E231BED"/>
    <w:rsid w:val="2EB81090"/>
    <w:rsid w:val="2F364819"/>
    <w:rsid w:val="2F5D5615"/>
    <w:rsid w:val="2FD63906"/>
    <w:rsid w:val="31AD6A0A"/>
    <w:rsid w:val="34B667F4"/>
    <w:rsid w:val="355E5C87"/>
    <w:rsid w:val="37215DAE"/>
    <w:rsid w:val="3826139A"/>
    <w:rsid w:val="38CA40DD"/>
    <w:rsid w:val="395F2B56"/>
    <w:rsid w:val="3B6F0FCC"/>
    <w:rsid w:val="3BBA0580"/>
    <w:rsid w:val="3BECE841"/>
    <w:rsid w:val="3C15041F"/>
    <w:rsid w:val="3CDE204C"/>
    <w:rsid w:val="3D363C36"/>
    <w:rsid w:val="3E9C3F6D"/>
    <w:rsid w:val="3E9D2481"/>
    <w:rsid w:val="3FF7797D"/>
    <w:rsid w:val="425B3923"/>
    <w:rsid w:val="46690BD8"/>
    <w:rsid w:val="49B145F3"/>
    <w:rsid w:val="49F70BF1"/>
    <w:rsid w:val="4B4340EE"/>
    <w:rsid w:val="503D507A"/>
    <w:rsid w:val="50946F12"/>
    <w:rsid w:val="51FA74D0"/>
    <w:rsid w:val="52AA4A52"/>
    <w:rsid w:val="52B04522"/>
    <w:rsid w:val="5380070E"/>
    <w:rsid w:val="562C0CFC"/>
    <w:rsid w:val="56F52014"/>
    <w:rsid w:val="573B6716"/>
    <w:rsid w:val="58EA7A4A"/>
    <w:rsid w:val="59943D66"/>
    <w:rsid w:val="59E051FD"/>
    <w:rsid w:val="59E6355E"/>
    <w:rsid w:val="59F7062A"/>
    <w:rsid w:val="5B821531"/>
    <w:rsid w:val="5BFF6039"/>
    <w:rsid w:val="5D76A616"/>
    <w:rsid w:val="5D7F20B9"/>
    <w:rsid w:val="5DAC7D0E"/>
    <w:rsid w:val="5E0453B0"/>
    <w:rsid w:val="5E761BAD"/>
    <w:rsid w:val="5F98B5AF"/>
    <w:rsid w:val="5FFE8511"/>
    <w:rsid w:val="5FFEACE2"/>
    <w:rsid w:val="609D5BF6"/>
    <w:rsid w:val="61073070"/>
    <w:rsid w:val="61B9080E"/>
    <w:rsid w:val="61DF3FED"/>
    <w:rsid w:val="642B176B"/>
    <w:rsid w:val="643EE26D"/>
    <w:rsid w:val="64A758F9"/>
    <w:rsid w:val="64B51165"/>
    <w:rsid w:val="656019A0"/>
    <w:rsid w:val="65654CE4"/>
    <w:rsid w:val="656B6A85"/>
    <w:rsid w:val="65F242EE"/>
    <w:rsid w:val="666D7E19"/>
    <w:rsid w:val="68376930"/>
    <w:rsid w:val="68F91E38"/>
    <w:rsid w:val="68FB795E"/>
    <w:rsid w:val="6B3158B9"/>
    <w:rsid w:val="6BA02A3F"/>
    <w:rsid w:val="6C1E5A53"/>
    <w:rsid w:val="6D7E3040"/>
    <w:rsid w:val="6DA05119"/>
    <w:rsid w:val="6F5C41AC"/>
    <w:rsid w:val="6FAF6C78"/>
    <w:rsid w:val="716167CC"/>
    <w:rsid w:val="718A7AD1"/>
    <w:rsid w:val="72A44BC2"/>
    <w:rsid w:val="7317C656"/>
    <w:rsid w:val="734ED73F"/>
    <w:rsid w:val="73C82B32"/>
    <w:rsid w:val="73F94DAE"/>
    <w:rsid w:val="74220495"/>
    <w:rsid w:val="747D1B6F"/>
    <w:rsid w:val="749E5641"/>
    <w:rsid w:val="74F53273"/>
    <w:rsid w:val="75547071"/>
    <w:rsid w:val="76271066"/>
    <w:rsid w:val="76DB7386"/>
    <w:rsid w:val="77FD8BE9"/>
    <w:rsid w:val="78000AED"/>
    <w:rsid w:val="78B42C50"/>
    <w:rsid w:val="79A9BD3F"/>
    <w:rsid w:val="7B776F12"/>
    <w:rsid w:val="7BFFFDD0"/>
    <w:rsid w:val="7C336E5F"/>
    <w:rsid w:val="7C8D4919"/>
    <w:rsid w:val="7CE7291B"/>
    <w:rsid w:val="7D7A5F86"/>
    <w:rsid w:val="7DD37DFE"/>
    <w:rsid w:val="7E33504C"/>
    <w:rsid w:val="7E4B683A"/>
    <w:rsid w:val="7E5E656D"/>
    <w:rsid w:val="7E8F2BCB"/>
    <w:rsid w:val="7F37BB4E"/>
    <w:rsid w:val="7F9E5512"/>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subject"/>
    <w:basedOn w:val="5"/>
    <w:next w:val="5"/>
    <w:link w:val="23"/>
    <w:qFormat/>
    <w:uiPriority w:val="0"/>
    <w:rPr>
      <w:b/>
      <w:bCs/>
    </w:rPr>
  </w:style>
  <w:style w:type="paragraph" w:styleId="5">
    <w:name w:val="annotation text"/>
    <w:basedOn w:val="1"/>
    <w:link w:val="22"/>
    <w:qFormat/>
    <w:uiPriority w:val="0"/>
    <w:pPr>
      <w:jc w:val="left"/>
    </w:pPr>
  </w:style>
  <w:style w:type="paragraph" w:styleId="6">
    <w:name w:val="Body Text First Indent"/>
    <w:basedOn w:val="2"/>
    <w:qFormat/>
    <w:uiPriority w:val="0"/>
    <w:pPr>
      <w:spacing w:after="0"/>
      <w:ind w:firstLine="200" w:firstLineChars="20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Body Text First Indent 2"/>
    <w:basedOn w:val="7"/>
    <w:qFormat/>
    <w:uiPriority w:val="0"/>
    <w:pPr>
      <w:ind w:firstLine="420" w:firstLineChars="200"/>
    </w:p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4"/>
    <w:link w:val="8"/>
    <w:qFormat/>
    <w:uiPriority w:val="0"/>
    <w:rPr>
      <w:rFonts w:ascii="Times New Roman" w:hAnsi="Times New Roman" w:eastAsia="宋体" w:cs="Times New Roman"/>
      <w:kern w:val="2"/>
      <w:sz w:val="18"/>
      <w:szCs w:val="18"/>
    </w:rPr>
  </w:style>
  <w:style w:type="character" w:customStyle="1" w:styleId="21">
    <w:name w:val="页眉 字符"/>
    <w:basedOn w:val="14"/>
    <w:link w:val="11"/>
    <w:qFormat/>
    <w:uiPriority w:val="0"/>
    <w:rPr>
      <w:rFonts w:ascii="Times New Roman" w:hAnsi="Times New Roman" w:eastAsia="宋体" w:cs="Times New Roman"/>
      <w:kern w:val="2"/>
      <w:sz w:val="18"/>
      <w:szCs w:val="18"/>
    </w:rPr>
  </w:style>
  <w:style w:type="character" w:customStyle="1" w:styleId="22">
    <w:name w:val="批注文字 字符"/>
    <w:basedOn w:val="14"/>
    <w:link w:val="5"/>
    <w:qFormat/>
    <w:uiPriority w:val="0"/>
    <w:rPr>
      <w:rFonts w:ascii="Times New Roman" w:hAnsi="Times New Roman" w:eastAsia="宋体" w:cs="Times New Roman"/>
      <w:kern w:val="2"/>
      <w:sz w:val="21"/>
      <w:szCs w:val="24"/>
    </w:rPr>
  </w:style>
  <w:style w:type="character" w:customStyle="1" w:styleId="23">
    <w:name w:val="批注主题 字符"/>
    <w:basedOn w:val="22"/>
    <w:link w:val="4"/>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14675</Words>
  <Characters>15502</Characters>
  <Lines>58</Lines>
  <Paragraphs>16</Paragraphs>
  <TotalTime>0</TotalTime>
  <ScaleCrop>false</ScaleCrop>
  <LinksUpToDate>false</LinksUpToDate>
  <CharactersWithSpaces>15513</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财务科</cp:lastModifiedBy>
  <dcterms:modified xsi:type="dcterms:W3CDTF">2025-09-25T09:39:22Z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395BD8F1161740089EA01020C2669046</vt:lpwstr>
  </property>
  <property fmtid="{D5CDD505-2E9C-101B-9397-08002B2CF9AE}" pid="4" name="KSOTemplateDocerSaveRecord">
    <vt:lpwstr>eyJoZGlkIjoiOGQzOGI1N2U3NDI0Y2Y4ZjMzZmE4MjM0YTYxYzE2OTYiLCJ1c2VySWQiOiI0MTI0OTExNjEifQ==</vt:lpwstr>
  </property>
</Properties>
</file>