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EBC0F">
      <w:pPr>
        <w:spacing w:line="540" w:lineRule="exact"/>
        <w:jc w:val="center"/>
        <w:rPr>
          <w:rFonts w:hint="default" w:ascii="Times New Roman" w:hAnsi="Times New Roman" w:eastAsia="华文中宋" w:cs="Times New Roman"/>
          <w:b/>
          <w:kern w:val="0"/>
          <w:sz w:val="52"/>
          <w:szCs w:val="52"/>
        </w:rPr>
      </w:pPr>
    </w:p>
    <w:p w14:paraId="4A611603">
      <w:pPr>
        <w:spacing w:line="540" w:lineRule="exact"/>
        <w:rPr>
          <w:rFonts w:hint="default" w:ascii="Times New Roman" w:hAnsi="Times New Roman" w:eastAsia="华文中宋" w:cs="Times New Roman"/>
          <w:b/>
          <w:kern w:val="0"/>
          <w:sz w:val="52"/>
          <w:szCs w:val="52"/>
        </w:rPr>
      </w:pPr>
    </w:p>
    <w:p w14:paraId="028D98EA">
      <w:pPr>
        <w:spacing w:line="540" w:lineRule="exact"/>
        <w:jc w:val="center"/>
        <w:rPr>
          <w:rFonts w:hint="default" w:ascii="Times New Roman" w:hAnsi="Times New Roman" w:eastAsia="华文中宋" w:cs="Times New Roman"/>
          <w:b/>
          <w:kern w:val="0"/>
          <w:sz w:val="52"/>
          <w:szCs w:val="52"/>
        </w:rPr>
      </w:pPr>
    </w:p>
    <w:p w14:paraId="01B54DB2">
      <w:pPr>
        <w:spacing w:line="540" w:lineRule="exact"/>
        <w:jc w:val="center"/>
        <w:rPr>
          <w:rFonts w:hint="default" w:ascii="Times New Roman" w:hAnsi="Times New Roman" w:eastAsia="华文中宋" w:cs="Times New Roman"/>
          <w:b/>
          <w:kern w:val="0"/>
          <w:sz w:val="52"/>
          <w:szCs w:val="52"/>
        </w:rPr>
      </w:pPr>
    </w:p>
    <w:p w14:paraId="680DC50C">
      <w:pPr>
        <w:spacing w:line="540" w:lineRule="exact"/>
        <w:jc w:val="center"/>
        <w:rPr>
          <w:rFonts w:hint="default" w:ascii="Times New Roman" w:hAnsi="Times New Roman" w:eastAsia="华文中宋" w:cs="Times New Roman"/>
          <w:b/>
          <w:kern w:val="0"/>
          <w:sz w:val="52"/>
          <w:szCs w:val="52"/>
        </w:rPr>
      </w:pPr>
      <w:r>
        <w:rPr>
          <w:rFonts w:hint="eastAsia" w:ascii="黑体" w:hAnsi="黑体" w:eastAsia="黑体" w:cs="黑体"/>
          <w:b w:val="0"/>
          <w:bCs w:val="0"/>
          <w:kern w:val="0"/>
          <w:sz w:val="48"/>
          <w:szCs w:val="48"/>
          <w:highlight w:val="none"/>
        </w:rPr>
        <w:t>方特文化科技创新示范园产业扶持资金项目支出绩效评价报告</w:t>
      </w:r>
    </w:p>
    <w:p w14:paraId="3DC1D747">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56250280">
      <w:pPr>
        <w:spacing w:line="540" w:lineRule="exact"/>
        <w:jc w:val="center"/>
        <w:rPr>
          <w:rFonts w:hint="default" w:ascii="Times New Roman" w:hAnsi="Times New Roman" w:eastAsia="仿宋_GB2312" w:cs="Times New Roman"/>
          <w:kern w:val="0"/>
          <w:sz w:val="30"/>
          <w:szCs w:val="30"/>
        </w:rPr>
      </w:pPr>
    </w:p>
    <w:p w14:paraId="23A531EA">
      <w:pPr>
        <w:spacing w:line="540" w:lineRule="exact"/>
        <w:jc w:val="center"/>
        <w:rPr>
          <w:rFonts w:hint="default" w:ascii="Times New Roman" w:hAnsi="Times New Roman" w:eastAsia="仿宋_GB2312" w:cs="Times New Roman"/>
          <w:kern w:val="0"/>
          <w:sz w:val="30"/>
          <w:szCs w:val="30"/>
        </w:rPr>
      </w:pPr>
    </w:p>
    <w:p w14:paraId="27DD55F3">
      <w:pPr>
        <w:spacing w:line="540" w:lineRule="exact"/>
        <w:jc w:val="center"/>
        <w:rPr>
          <w:rFonts w:hint="default" w:ascii="Times New Roman" w:hAnsi="Times New Roman" w:eastAsia="仿宋_GB2312" w:cs="Times New Roman"/>
          <w:kern w:val="0"/>
          <w:sz w:val="30"/>
          <w:szCs w:val="30"/>
        </w:rPr>
      </w:pPr>
    </w:p>
    <w:p w14:paraId="4C89BBCB">
      <w:pPr>
        <w:pStyle w:val="10"/>
        <w:rPr>
          <w:rFonts w:hint="default" w:ascii="Times New Roman" w:hAnsi="Times New Roman" w:cs="Times New Roman"/>
        </w:rPr>
      </w:pPr>
    </w:p>
    <w:p w14:paraId="5E39C2CA">
      <w:pPr>
        <w:spacing w:line="540" w:lineRule="exact"/>
        <w:jc w:val="center"/>
        <w:rPr>
          <w:rFonts w:hint="default" w:ascii="Times New Roman" w:hAnsi="Times New Roman" w:eastAsia="仿宋_GB2312" w:cs="Times New Roman"/>
          <w:kern w:val="0"/>
          <w:sz w:val="30"/>
          <w:szCs w:val="30"/>
        </w:rPr>
      </w:pPr>
    </w:p>
    <w:p w14:paraId="3F74BDF6">
      <w:pPr>
        <w:spacing w:line="540" w:lineRule="exact"/>
        <w:rPr>
          <w:rFonts w:hint="default" w:ascii="Times New Roman" w:hAnsi="Times New Roman" w:eastAsia="仿宋_GB2312" w:cs="Times New Roman"/>
          <w:kern w:val="0"/>
          <w:sz w:val="30"/>
          <w:szCs w:val="30"/>
        </w:rPr>
      </w:pPr>
    </w:p>
    <w:p w14:paraId="67258E7A">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项目名称：方特文化科技创新示范园产业扶持资金</w:t>
      </w:r>
    </w:p>
    <w:p w14:paraId="48444801">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实施单位（公章）：哈密市文化体育广播电视和旅游局</w:t>
      </w:r>
    </w:p>
    <w:p w14:paraId="152F47D9">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主管部门（公章）：哈密市文化体育广播电视和旅游局</w:t>
      </w:r>
    </w:p>
    <w:p w14:paraId="516832A8">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项目负责人（签章）：沙静雯</w:t>
      </w:r>
    </w:p>
    <w:p w14:paraId="2C6D1648">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20</w:t>
      </w:r>
      <w:r>
        <w:rPr>
          <w:rFonts w:hint="default" w:ascii="Times New Roman" w:hAnsi="Times New Roman" w:eastAsia="仿宋_GB2312" w:cs="Times New Roman"/>
          <w:kern w:val="0"/>
          <w:sz w:val="36"/>
          <w:szCs w:val="36"/>
        </w:rPr>
        <w:t>日</w:t>
      </w:r>
    </w:p>
    <w:p w14:paraId="6ED3EE6E">
      <w:pPr>
        <w:spacing w:line="540" w:lineRule="exact"/>
        <w:jc w:val="center"/>
        <w:rPr>
          <w:rFonts w:hint="default" w:ascii="Times New Roman" w:hAnsi="Times New Roman" w:eastAsia="仿宋_GB2312" w:cs="Times New Roman"/>
          <w:kern w:val="0"/>
          <w:sz w:val="30"/>
          <w:szCs w:val="30"/>
        </w:rPr>
      </w:pPr>
    </w:p>
    <w:p w14:paraId="4109212A">
      <w:pPr>
        <w:spacing w:line="540" w:lineRule="exact"/>
        <w:rPr>
          <w:rStyle w:val="16"/>
          <w:rFonts w:hint="default" w:ascii="Times New Roman" w:hAnsi="Times New Roman" w:eastAsia="黑体" w:cs="Times New Roman"/>
          <w:b w:val="0"/>
          <w:spacing w:val="-4"/>
          <w:sz w:val="32"/>
          <w:szCs w:val="32"/>
        </w:rPr>
      </w:pPr>
    </w:p>
    <w:p w14:paraId="29187D96">
      <w:pPr>
        <w:spacing w:line="540" w:lineRule="exact"/>
        <w:ind w:firstLine="640"/>
        <w:rPr>
          <w:rStyle w:val="16"/>
          <w:rFonts w:hint="default" w:ascii="Times New Roman" w:hAnsi="Times New Roman" w:eastAsia="黑体" w:cs="Times New Roman"/>
          <w:b w:val="0"/>
          <w:spacing w:val="-4"/>
          <w:sz w:val="32"/>
          <w:szCs w:val="32"/>
        </w:rPr>
      </w:pPr>
    </w:p>
    <w:p w14:paraId="4CB39769">
      <w:pPr>
        <w:spacing w:line="540" w:lineRule="exact"/>
        <w:rPr>
          <w:rStyle w:val="16"/>
          <w:rFonts w:hint="default" w:ascii="Times New Roman" w:hAnsi="Times New Roman" w:eastAsia="黑体" w:cs="Times New Roman"/>
          <w:b w:val="0"/>
          <w:spacing w:val="-4"/>
          <w:sz w:val="32"/>
          <w:szCs w:val="32"/>
        </w:rPr>
      </w:pPr>
    </w:p>
    <w:p w14:paraId="68705A05">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F59538D">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B5CD75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0AB5B20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7B2B6A99">
      <w:pPr>
        <w:pStyle w:val="10"/>
        <w:numPr>
          <w:ilvl w:val="0"/>
          <w:numId w:val="0"/>
        </w:numPr>
        <w:spacing w:before="0" w:after="0" w:line="560" w:lineRule="exact"/>
        <w:ind w:firstLine="640" w:firstLineChars="200"/>
        <w:jc w:val="both"/>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深入发展大众旅游、智慧旅游，创新旅游产品体系，改善旅游消费体验。加强区域旅游品牌和服务整合，建设一批富有文化底蕴的世界级旅游景区和度假区，打造一批文化特色鲜明的国家级旅游休闲城市和街区。推进红色旅游、文化遗产旅游、旅游演艺等创新发展，提升度假休闲、乡村旅游等服务品质，完善邮轮游艇、低空旅游等发展政策。</w:t>
      </w:r>
    </w:p>
    <w:p w14:paraId="599D4BAE">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31A405A5">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仿宋_GB2312" w:hAnsi="仿宋_GB2312" w:eastAsia="仿宋_GB2312" w:cs="仿宋_GB2312"/>
          <w:b w:val="0"/>
          <w:bCs w:val="0"/>
          <w:kern w:val="0"/>
          <w:sz w:val="32"/>
          <w:szCs w:val="32"/>
          <w:lang w:val="en-US" w:eastAsia="zh-CN" w:bidi="ar"/>
        </w:rPr>
        <w:t>哈密方特文化科技创新示范园内容：以文化和科技的深度融合为背景，结合第三方在国内成熟的文化科技主题乐园的成功经验和模式，紧扣文化科技创新的主题，适当融合地方特色文化，打造文化科技主题乐园。该项目将深入挖掘文化与科技的内在结合动力，采用最新高科技形式，打造一批标志性的主题项目，展现文化发展新能量。合作项目的具</w:t>
      </w:r>
      <w:r>
        <w:rPr>
          <w:rFonts w:hint="eastAsia" w:ascii="仿宋_GB2312" w:hAnsi="仿宋_GB2312" w:eastAsia="仿宋_GB2312" w:cs="仿宋_GB2312"/>
          <w:kern w:val="0"/>
          <w:sz w:val="32"/>
          <w:szCs w:val="32"/>
          <w:lang w:val="en-US" w:eastAsia="zh-CN" w:bidi="ar"/>
        </w:rPr>
        <w:t>体建设内容由乙方根据项目用地等实际情况实施创意设计确定。</w:t>
      </w:r>
    </w:p>
    <w:p w14:paraId="68A0FCCD">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default" w:ascii="仿宋_GB2312" w:hAnsi="仿宋_GB2312" w:eastAsia="仿宋_GB2312" w:cs="仿宋_GB2312"/>
          <w:b w:val="0"/>
          <w:bCs w:val="0"/>
          <w:kern w:val="0"/>
          <w:sz w:val="32"/>
          <w:szCs w:val="32"/>
          <w:lang w:val="en-US" w:eastAsia="zh-CN" w:bidi="ar"/>
        </w:rPr>
        <w:t>方特文化科技创新示范园产业扶持资金项目主要用于支付哈密方特文化科技创新示范园项目土地转让金费用，该项目已于2024年9月取得1004亩的使用权，并缴纳土地转让金，保障哈密方特文化科技创新示范园项目建设顺利开展。</w:t>
      </w:r>
    </w:p>
    <w:p w14:paraId="0E35D538">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5A48924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5289F2F">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30000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30000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哈密市本级财政资金。</w:t>
      </w:r>
    </w:p>
    <w:p w14:paraId="746CBBF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E63ECB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30000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30000</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30000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为确保重点项目的有序推进，</w:t>
      </w:r>
      <w:r>
        <w:rPr>
          <w:rFonts w:hint="default" w:ascii="Times New Roman" w:hAnsi="Times New Roman" w:eastAsia="仿宋_GB2312" w:cs="Times New Roman"/>
          <w:sz w:val="32"/>
          <w:szCs w:val="32"/>
          <w:highlight w:val="none"/>
          <w:lang w:val="en-US" w:eastAsia="zh-CN"/>
        </w:rPr>
        <w:t>分期给予该项目6</w:t>
      </w:r>
      <w:r>
        <w:rPr>
          <w:rFonts w:hint="eastAsia" w:eastAsia="仿宋_GB2312" w:cs="Times New Roman"/>
          <w:sz w:val="32"/>
          <w:szCs w:val="32"/>
          <w:highlight w:val="none"/>
          <w:lang w:val="en-US" w:eastAsia="zh-CN"/>
        </w:rPr>
        <w:t>0000万</w:t>
      </w:r>
      <w:r>
        <w:rPr>
          <w:rFonts w:hint="default" w:ascii="Times New Roman" w:hAnsi="Times New Roman" w:eastAsia="仿宋_GB2312" w:cs="Times New Roman"/>
          <w:sz w:val="32"/>
          <w:szCs w:val="32"/>
          <w:highlight w:val="none"/>
          <w:lang w:val="en-US" w:eastAsia="zh-CN"/>
        </w:rPr>
        <w:t>元产业扶持资金支持。</w:t>
      </w:r>
      <w:r>
        <w:rPr>
          <w:rFonts w:hint="eastAsia" w:eastAsia="仿宋_GB2312" w:cs="Times New Roman"/>
          <w:sz w:val="32"/>
          <w:szCs w:val="32"/>
          <w:highlight w:val="none"/>
          <w:lang w:val="en-US" w:eastAsia="zh-CN"/>
        </w:rPr>
        <w:t>2024年支付扶持资金30000万元</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以</w:t>
      </w:r>
      <w:r>
        <w:rPr>
          <w:rFonts w:hint="default" w:ascii="Times New Roman" w:hAnsi="Times New Roman" w:eastAsia="仿宋_GB2312" w:cs="Times New Roman"/>
          <w:sz w:val="32"/>
          <w:szCs w:val="32"/>
          <w:highlight w:val="none"/>
          <w:lang w:val="en-US" w:eastAsia="zh-CN"/>
        </w:rPr>
        <w:t>保障哈密方特文化科技创新示范园项目建设顺利开展。</w:t>
      </w:r>
    </w:p>
    <w:p w14:paraId="0CEC9AB8">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FF4EE5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5383204B">
      <w:pPr>
        <w:spacing w:line="560" w:lineRule="exact"/>
        <w:ind w:firstLine="624" w:firstLineChars="200"/>
        <w:rPr>
          <w:rStyle w:val="16"/>
          <w:rFonts w:hint="eastAsia" w:ascii="仿宋_GB2312" w:hAnsi="仿宋_GB2312" w:eastAsia="仿宋_GB2312" w:cs="仿宋_GB2312"/>
          <w:b w:val="0"/>
          <w:bCs/>
          <w:spacing w:val="-4"/>
          <w:sz w:val="32"/>
          <w:szCs w:val="32"/>
          <w:highlight w:val="none"/>
        </w:rPr>
      </w:pPr>
      <w:r>
        <w:rPr>
          <w:rStyle w:val="16"/>
          <w:rFonts w:hint="eastAsia" w:ascii="仿宋_GB2312" w:hAnsi="仿宋_GB2312" w:eastAsia="仿宋_GB2312" w:cs="仿宋_GB2312"/>
          <w:b w:val="0"/>
          <w:bCs/>
          <w:spacing w:val="-4"/>
          <w:sz w:val="32"/>
          <w:szCs w:val="32"/>
          <w:highlight w:val="none"/>
        </w:rPr>
        <w:t>哈密方特文化科技创新示范园项目，该项目总预算40亿，计划建设时间为30个月。2024年哈密市本级财政投入3亿元；项目计划建于新疆维吾尔自治区哈密市伊州区新民四路与锦绣路交界处西北角。用地面积约1002亩（用地范围及面积根据实际需求确定）根据国土空间调查、规划、用途管制用地用海分类指南，方特项目用地性质为商业服务业用地中的娱乐用地（绿地率小于65%的大型游乐等设施用地）。项目2024年计划对该项目逐步开展相关前期工作,该项目系文化科技创新示范产业项目建设，项目的实施有效提升城市形象品质；带动本地就业；健全本地旅游服务管理体系；加快三产服务业发展；推动本地旅游产业提质增效；完善城市功能；推动本地文化旅游产业的提质升级。</w:t>
      </w:r>
    </w:p>
    <w:p w14:paraId="12E3E418">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692D85FE">
      <w:pPr>
        <w:spacing w:line="560" w:lineRule="exact"/>
        <w:ind w:firstLine="624" w:firstLineChars="200"/>
        <w:rPr>
          <w:rStyle w:val="16"/>
          <w:rFonts w:hint="default" w:ascii="仿宋_GB2312" w:hAnsi="仿宋_GB2312" w:eastAsia="仿宋_GB2312" w:cs="仿宋_GB2312"/>
          <w:b w:val="0"/>
          <w:bCs/>
          <w:spacing w:val="-4"/>
          <w:sz w:val="32"/>
          <w:szCs w:val="32"/>
          <w:highlight w:val="none"/>
        </w:rPr>
      </w:pPr>
      <w:r>
        <w:rPr>
          <w:rStyle w:val="16"/>
          <w:rFonts w:hint="eastAsia" w:ascii="仿宋_GB2312" w:hAnsi="仿宋_GB2312" w:eastAsia="仿宋_GB2312" w:cs="仿宋_GB2312"/>
          <w:b w:val="0"/>
          <w:bCs/>
          <w:spacing w:val="-4"/>
          <w:sz w:val="32"/>
          <w:szCs w:val="32"/>
          <w:highlight w:val="none"/>
          <w:lang w:val="en-US" w:eastAsia="zh-CN"/>
        </w:rPr>
        <w:t>计划于2024年6月完成扶持资金支付工作。该项目计划于</w:t>
      </w:r>
      <w:r>
        <w:rPr>
          <w:rStyle w:val="16"/>
          <w:rFonts w:hint="default" w:ascii="仿宋_GB2312" w:hAnsi="仿宋_GB2312" w:eastAsia="仿宋_GB2312" w:cs="仿宋_GB2312"/>
          <w:b w:val="0"/>
          <w:bCs/>
          <w:spacing w:val="-4"/>
          <w:sz w:val="32"/>
          <w:szCs w:val="32"/>
          <w:highlight w:val="none"/>
        </w:rPr>
        <w:t>2024</w:t>
      </w:r>
      <w:r>
        <w:rPr>
          <w:rStyle w:val="16"/>
          <w:rFonts w:hint="eastAsia" w:ascii="仿宋_GB2312" w:hAnsi="仿宋_GB2312" w:eastAsia="仿宋_GB2312" w:cs="仿宋_GB2312"/>
          <w:b w:val="0"/>
          <w:bCs/>
          <w:spacing w:val="-4"/>
          <w:sz w:val="32"/>
          <w:szCs w:val="32"/>
          <w:highlight w:val="none"/>
          <w:lang w:val="en-US" w:eastAsia="zh-CN"/>
        </w:rPr>
        <w:t>年</w:t>
      </w:r>
      <w:r>
        <w:rPr>
          <w:rStyle w:val="16"/>
          <w:rFonts w:hint="default" w:ascii="仿宋_GB2312" w:hAnsi="仿宋_GB2312" w:eastAsia="仿宋_GB2312" w:cs="仿宋_GB2312"/>
          <w:b w:val="0"/>
          <w:bCs/>
          <w:spacing w:val="-4"/>
          <w:sz w:val="32"/>
          <w:szCs w:val="32"/>
          <w:highlight w:val="none"/>
        </w:rPr>
        <w:t>9</w:t>
      </w:r>
      <w:r>
        <w:rPr>
          <w:rStyle w:val="16"/>
          <w:rFonts w:hint="eastAsia" w:ascii="仿宋_GB2312" w:hAnsi="仿宋_GB2312" w:eastAsia="仿宋_GB2312" w:cs="仿宋_GB2312"/>
          <w:b w:val="0"/>
          <w:bCs/>
          <w:spacing w:val="-4"/>
          <w:sz w:val="32"/>
          <w:szCs w:val="32"/>
          <w:highlight w:val="none"/>
          <w:lang w:val="en-US" w:eastAsia="zh-CN"/>
        </w:rPr>
        <w:t>月</w:t>
      </w:r>
      <w:r>
        <w:rPr>
          <w:rStyle w:val="16"/>
          <w:rFonts w:hint="default" w:ascii="仿宋_GB2312" w:hAnsi="仿宋_GB2312" w:eastAsia="仿宋_GB2312" w:cs="仿宋_GB2312"/>
          <w:b w:val="0"/>
          <w:bCs/>
          <w:spacing w:val="-4"/>
          <w:sz w:val="32"/>
          <w:szCs w:val="32"/>
          <w:highlight w:val="none"/>
        </w:rPr>
        <w:t>取得公园项目用地1004亩，</w:t>
      </w:r>
      <w:r>
        <w:rPr>
          <w:rStyle w:val="16"/>
          <w:rFonts w:hint="eastAsia" w:ascii="仿宋_GB2312" w:hAnsi="仿宋_GB2312" w:eastAsia="仿宋_GB2312" w:cs="仿宋_GB2312"/>
          <w:b w:val="0"/>
          <w:bCs/>
          <w:spacing w:val="-4"/>
          <w:sz w:val="32"/>
          <w:szCs w:val="32"/>
          <w:highlight w:val="none"/>
          <w:lang w:val="en-US" w:eastAsia="zh-CN"/>
        </w:rPr>
        <w:t>及时</w:t>
      </w:r>
      <w:r>
        <w:rPr>
          <w:rStyle w:val="16"/>
          <w:rFonts w:hint="default" w:ascii="仿宋_GB2312" w:hAnsi="仿宋_GB2312" w:eastAsia="仿宋_GB2312" w:cs="仿宋_GB2312"/>
          <w:b w:val="0"/>
          <w:bCs/>
          <w:spacing w:val="-4"/>
          <w:sz w:val="32"/>
          <w:szCs w:val="32"/>
          <w:highlight w:val="none"/>
        </w:rPr>
        <w:t>缴纳土地出让金</w:t>
      </w:r>
      <w:r>
        <w:rPr>
          <w:rStyle w:val="16"/>
          <w:rFonts w:hint="eastAsia" w:ascii="仿宋_GB2312" w:hAnsi="仿宋_GB2312" w:eastAsia="仿宋_GB2312" w:cs="仿宋_GB2312"/>
          <w:b w:val="0"/>
          <w:bCs/>
          <w:spacing w:val="-4"/>
          <w:sz w:val="32"/>
          <w:szCs w:val="32"/>
          <w:highlight w:val="none"/>
          <w:lang w:eastAsia="zh-CN"/>
        </w:rPr>
        <w:t>；</w:t>
      </w:r>
      <w:r>
        <w:rPr>
          <w:rStyle w:val="16"/>
          <w:rFonts w:hint="eastAsia" w:ascii="仿宋_GB2312" w:hAnsi="仿宋_GB2312" w:eastAsia="仿宋_GB2312" w:cs="仿宋_GB2312"/>
          <w:b w:val="0"/>
          <w:bCs/>
          <w:spacing w:val="-4"/>
          <w:sz w:val="32"/>
          <w:szCs w:val="32"/>
          <w:highlight w:val="none"/>
          <w:lang w:val="en-US" w:eastAsia="zh-CN"/>
        </w:rPr>
        <w:t>计划</w:t>
      </w:r>
      <w:r>
        <w:rPr>
          <w:rStyle w:val="16"/>
          <w:rFonts w:hint="default" w:ascii="仿宋_GB2312" w:hAnsi="仿宋_GB2312" w:eastAsia="仿宋_GB2312" w:cs="仿宋_GB2312"/>
          <w:b w:val="0"/>
          <w:bCs/>
          <w:spacing w:val="-4"/>
          <w:sz w:val="32"/>
          <w:szCs w:val="32"/>
          <w:highlight w:val="none"/>
        </w:rPr>
        <w:t>于2024</w:t>
      </w:r>
      <w:r>
        <w:rPr>
          <w:rStyle w:val="16"/>
          <w:rFonts w:hint="eastAsia" w:ascii="仿宋_GB2312" w:hAnsi="仿宋_GB2312" w:eastAsia="仿宋_GB2312" w:cs="仿宋_GB2312"/>
          <w:b w:val="0"/>
          <w:bCs/>
          <w:spacing w:val="-4"/>
          <w:sz w:val="32"/>
          <w:szCs w:val="32"/>
          <w:highlight w:val="none"/>
          <w:lang w:val="en-US" w:eastAsia="zh-CN"/>
        </w:rPr>
        <w:t>年</w:t>
      </w:r>
      <w:r>
        <w:rPr>
          <w:rStyle w:val="16"/>
          <w:rFonts w:hint="default" w:ascii="仿宋_GB2312" w:hAnsi="仿宋_GB2312" w:eastAsia="仿宋_GB2312" w:cs="仿宋_GB2312"/>
          <w:b w:val="0"/>
          <w:bCs/>
          <w:spacing w:val="-4"/>
          <w:sz w:val="32"/>
          <w:szCs w:val="32"/>
          <w:highlight w:val="none"/>
        </w:rPr>
        <w:t>12</w:t>
      </w:r>
      <w:r>
        <w:rPr>
          <w:rStyle w:val="16"/>
          <w:rFonts w:hint="eastAsia" w:ascii="仿宋_GB2312" w:hAnsi="仿宋_GB2312" w:eastAsia="仿宋_GB2312" w:cs="仿宋_GB2312"/>
          <w:b w:val="0"/>
          <w:bCs/>
          <w:spacing w:val="-4"/>
          <w:sz w:val="32"/>
          <w:szCs w:val="32"/>
          <w:highlight w:val="none"/>
          <w:lang w:val="en-US" w:eastAsia="zh-CN"/>
        </w:rPr>
        <w:t>月</w:t>
      </w:r>
      <w:r>
        <w:rPr>
          <w:rStyle w:val="16"/>
          <w:rFonts w:hint="default" w:ascii="仿宋_GB2312" w:hAnsi="仿宋_GB2312" w:eastAsia="仿宋_GB2312" w:cs="仿宋_GB2312"/>
          <w:b w:val="0"/>
          <w:bCs/>
          <w:spacing w:val="-4"/>
          <w:sz w:val="32"/>
          <w:szCs w:val="32"/>
          <w:highlight w:val="none"/>
        </w:rPr>
        <w:t>完成地勘、场地平整、造价咨询、设计招标。为2025</w:t>
      </w:r>
      <w:r>
        <w:rPr>
          <w:rStyle w:val="16"/>
          <w:rFonts w:hint="eastAsia" w:ascii="仿宋_GB2312" w:hAnsi="仿宋_GB2312" w:eastAsia="仿宋_GB2312" w:cs="仿宋_GB2312"/>
          <w:b w:val="0"/>
          <w:bCs/>
          <w:spacing w:val="-4"/>
          <w:sz w:val="32"/>
          <w:szCs w:val="32"/>
          <w:highlight w:val="none"/>
          <w:lang w:val="en-US" w:eastAsia="zh-CN"/>
        </w:rPr>
        <w:t>年</w:t>
      </w:r>
      <w:r>
        <w:rPr>
          <w:rStyle w:val="16"/>
          <w:rFonts w:hint="default" w:ascii="仿宋_GB2312" w:hAnsi="仿宋_GB2312" w:eastAsia="仿宋_GB2312" w:cs="仿宋_GB2312"/>
          <w:b w:val="0"/>
          <w:bCs/>
          <w:spacing w:val="-4"/>
          <w:sz w:val="32"/>
          <w:szCs w:val="32"/>
          <w:highlight w:val="none"/>
        </w:rPr>
        <w:t>3</w:t>
      </w:r>
      <w:r>
        <w:rPr>
          <w:rStyle w:val="16"/>
          <w:rFonts w:hint="eastAsia" w:ascii="仿宋_GB2312" w:hAnsi="仿宋_GB2312" w:eastAsia="仿宋_GB2312" w:cs="仿宋_GB2312"/>
          <w:b w:val="0"/>
          <w:bCs/>
          <w:spacing w:val="-4"/>
          <w:sz w:val="32"/>
          <w:szCs w:val="32"/>
          <w:highlight w:val="none"/>
          <w:lang w:val="en-US" w:eastAsia="zh-CN"/>
        </w:rPr>
        <w:t>月项目</w:t>
      </w:r>
      <w:r>
        <w:rPr>
          <w:rStyle w:val="16"/>
          <w:rFonts w:hint="default" w:ascii="仿宋_GB2312" w:hAnsi="仿宋_GB2312" w:eastAsia="仿宋_GB2312" w:cs="仿宋_GB2312"/>
          <w:b w:val="0"/>
          <w:bCs/>
          <w:spacing w:val="-4"/>
          <w:sz w:val="32"/>
          <w:szCs w:val="32"/>
          <w:highlight w:val="none"/>
        </w:rPr>
        <w:t>正式动工奠定基础。</w:t>
      </w:r>
    </w:p>
    <w:p w14:paraId="68FBC62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4CE368CE">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607124F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2465711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w:t>
      </w:r>
      <w:r>
        <w:rPr>
          <w:rFonts w:hint="eastAsia" w:eastAsia="仿宋_GB2312" w:cs="Times New Roman"/>
          <w:sz w:val="32"/>
          <w:szCs w:val="32"/>
          <w:highlight w:val="none"/>
          <w:lang w:val="en-US" w:eastAsia="zh-CN"/>
        </w:rPr>
        <w:t>地</w:t>
      </w:r>
      <w:r>
        <w:rPr>
          <w:rFonts w:hint="default" w:ascii="Times New Roman" w:hAnsi="Times New Roman" w:eastAsia="仿宋_GB2312" w:cs="Times New Roman"/>
          <w:sz w:val="32"/>
          <w:szCs w:val="32"/>
          <w:highlight w:val="none"/>
          <w:lang w:val="en-US" w:eastAsia="zh-CN"/>
        </w:rPr>
        <w:t>梳理与评估。</w:t>
      </w:r>
    </w:p>
    <w:p w14:paraId="2A512D3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45E8149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w:t>
      </w:r>
      <w:r>
        <w:rPr>
          <w:rFonts w:hint="eastAsia" w:eastAsia="仿宋_GB2312" w:cs="Times New Roman"/>
          <w:sz w:val="32"/>
          <w:szCs w:val="32"/>
          <w:highlight w:val="none"/>
          <w:lang w:val="en-US" w:eastAsia="zh-CN"/>
        </w:rPr>
        <w:t>地</w:t>
      </w:r>
      <w:r>
        <w:rPr>
          <w:rFonts w:hint="default" w:ascii="Times New Roman" w:hAnsi="Times New Roman" w:eastAsia="仿宋_GB2312" w:cs="Times New Roman"/>
          <w:sz w:val="32"/>
          <w:szCs w:val="32"/>
          <w:highlight w:val="none"/>
          <w:lang w:val="en-US" w:eastAsia="zh-CN"/>
        </w:rPr>
        <w:t>处理和说明，保证了评价数据的真实性和有效性。</w:t>
      </w:r>
    </w:p>
    <w:p w14:paraId="66EC3C91">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w:t>
      </w:r>
      <w:r>
        <w:rPr>
          <w:rFonts w:hint="eastAsia" w:eastAsia="仿宋_GB2312" w:cs="Times New Roman"/>
          <w:sz w:val="32"/>
          <w:szCs w:val="32"/>
          <w:highlight w:val="none"/>
          <w:lang w:val="en-US" w:eastAsia="zh-CN"/>
        </w:rPr>
        <w:t>复制</w:t>
      </w:r>
      <w:r>
        <w:rPr>
          <w:rFonts w:hint="default" w:ascii="Times New Roman" w:hAnsi="Times New Roman" w:eastAsia="仿宋_GB2312" w:cs="Times New Roman"/>
          <w:sz w:val="32"/>
          <w:szCs w:val="32"/>
          <w:highlight w:val="none"/>
          <w:lang w:val="en-US" w:eastAsia="zh-CN"/>
        </w:rPr>
        <w:t>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E173336">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09FDA0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6184DD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478A7F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14:paraId="219110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B2C70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环节与低效领域，挖掘潜在的资源优化配置空间，推动项目在有限的预算资源下实现更高的绩效产出，提升整体资源利用效率，确保财政资金的合理、高效运用。</w:t>
      </w:r>
    </w:p>
    <w:p w14:paraId="3C8149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6BB919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5DE53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1137AA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342EB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51E993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关键环节，持续优化项目实施方案，加强过程监控与质量把控，形成项目绩效持续改进的良性循环，不断提升项目整体绩效水平，实现项目长期稳定发展的目标。</w:t>
      </w:r>
    </w:p>
    <w:p w14:paraId="339CEC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96A787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6D10D65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本项目预算绩效评价报告的评价对象是方特文化科技创新示范园产业扶持资金</w:t>
      </w:r>
      <w:r>
        <w:rPr>
          <w:rFonts w:hint="eastAsia" w:ascii="Times New Roman" w:hAnsi="Times New Roman" w:eastAsia="仿宋_GB2312" w:cs="Times New Roman"/>
          <w:b w:val="0"/>
          <w:bCs w:val="0"/>
          <w:highlight w:val="none"/>
          <w:lang w:val="en-US" w:eastAsia="zh-CN"/>
        </w:rPr>
        <w:t>项目</w:t>
      </w:r>
      <w:r>
        <w:rPr>
          <w:rFonts w:hint="default" w:ascii="Times New Roman" w:hAnsi="Times New Roman" w:eastAsia="仿宋_GB2312" w:cs="Times New Roman"/>
          <w:b w:val="0"/>
          <w:bCs w:val="0"/>
          <w:highlight w:val="none"/>
        </w:rPr>
        <w:t>及其预算执行情况。该项目由哈密市文化体育广播电视和旅游局负责实施，旨在</w:t>
      </w:r>
      <w:r>
        <w:rPr>
          <w:rFonts w:hint="eastAsia" w:ascii="Times New Roman" w:hAnsi="Times New Roman" w:eastAsia="仿宋_GB2312" w:cs="Times New Roman"/>
          <w:b w:val="0"/>
          <w:bCs w:val="0"/>
          <w:highlight w:val="none"/>
          <w:lang w:val="en-US" w:eastAsia="zh-CN"/>
        </w:rPr>
        <w:t>为该项目动工前完成各项前期工作，为动工奠定基础</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30000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015851D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417840A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06FF8BE3">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4AC10E7">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资金管理：深入分析项目资金的分配、使用情况，确保资金使用的合规性、高效性和透明度。</w:t>
      </w:r>
    </w:p>
    <w:p w14:paraId="49D7154C">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54430C4C">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w:t>
      </w:r>
      <w:r>
        <w:rPr>
          <w:rFonts w:hint="eastAsia" w:ascii="Times New Roman" w:hAnsi="Times New Roman" w:eastAsia="仿宋_GB2312" w:cs="Times New Roman"/>
          <w:b w:val="0"/>
          <w:bCs w:val="0"/>
          <w:highlight w:val="none"/>
          <w:lang w:val="en-US" w:eastAsia="zh-CN"/>
        </w:rPr>
        <w:t>各</w:t>
      </w:r>
      <w:r>
        <w:rPr>
          <w:rFonts w:hint="default" w:ascii="Times New Roman" w:hAnsi="Times New Roman" w:eastAsia="仿宋_GB2312" w:cs="Times New Roman"/>
          <w:b w:val="0"/>
          <w:bCs w:val="0"/>
          <w:highlight w:val="none"/>
        </w:rPr>
        <w:t>方面的综合影响。</w:t>
      </w:r>
    </w:p>
    <w:p w14:paraId="2781132A">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w:t>
      </w:r>
      <w:r>
        <w:rPr>
          <w:rFonts w:hint="eastAsia" w:eastAsia="楷体_GB2312" w:cs="Times New Roman"/>
          <w:b/>
          <w:bCs/>
          <w:sz w:val="32"/>
          <w:szCs w:val="32"/>
          <w:lang w:eastAsia="zh-CN"/>
        </w:rPr>
        <w:t>附件</w:t>
      </w:r>
      <w:r>
        <w:rPr>
          <w:rFonts w:hint="default" w:ascii="Times New Roman" w:hAnsi="Times New Roman" w:eastAsia="楷体_GB2312" w:cs="Times New Roman"/>
          <w:b/>
          <w:bCs/>
          <w:sz w:val="32"/>
          <w:szCs w:val="32"/>
        </w:rPr>
        <w:t>1）、评价方法、评价标准。</w:t>
      </w:r>
    </w:p>
    <w:p w14:paraId="778598B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622F3580">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0FACA77A">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w:t>
      </w:r>
      <w:r>
        <w:rPr>
          <w:rFonts w:hint="eastAsia" w:ascii="Times New Roman" w:hAnsi="Times New Roman" w:eastAsia="仿宋_GB2312" w:cs="Times New Roman"/>
          <w:b w:val="0"/>
          <w:bCs w:val="0"/>
          <w:lang w:eastAsia="zh-CN"/>
        </w:rPr>
        <w:t>地</w:t>
      </w:r>
      <w:r>
        <w:rPr>
          <w:rFonts w:hint="default" w:ascii="Times New Roman" w:hAnsi="Times New Roman" w:eastAsia="仿宋_GB2312" w:cs="Times New Roman"/>
          <w:b w:val="0"/>
          <w:bCs w:val="0"/>
        </w:rPr>
        <w:t>反映。</w:t>
      </w:r>
    </w:p>
    <w:p w14:paraId="6764C962">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212DBAFF">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（3）激励约束。绩效评价结果应与预算安排、政策调整、改进管理实质性挂钩，体现奖优罚劣和激励导向，有效要安排、低效要压减、无效要问责。</w:t>
      </w:r>
    </w:p>
    <w:p w14:paraId="5A86B5C1">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3D60EE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57FBF307">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0118C48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35A0977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895BE2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718D93D4">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A758BA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61EB782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1D84559">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3BEB1BFB">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05F7135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1C9EE79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2784FA7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898CDB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（一）因素分析法。是指综合分析影响绩效目标实现、实施效果的内外部因素的方法。</w:t>
      </w:r>
      <w:r>
        <w:rPr>
          <w:rFonts w:hint="eastAsia" w:eastAsia="仿宋_GB2312" w:cs="Times New Roman"/>
          <w:color w:val="000000"/>
          <w:spacing w:val="17"/>
          <w:sz w:val="32"/>
          <w:szCs w:val="32"/>
          <w:highlight w:val="none"/>
          <w:lang w:val="en-US" w:eastAsia="zh-CN"/>
        </w:rPr>
        <w:t>该项目采用该评价方法主要为分析方特文化科技创新示范园产业扶持资金项目的适用性，明确各项前期工作所带来的优势，以及如何具体应用。明确分析对象，通过项目前期工作进行分析，并将该指标分解分析指标带来的后期开工基础奠定情况，通过其他地区项目经验确定工作内容，提升项目评估的科学性和全面性，以便更好地展示项目的成效。</w:t>
      </w:r>
    </w:p>
    <w:p w14:paraId="620EED1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4FC861D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val="en-US" w:eastAsia="zh-CN"/>
        </w:rPr>
        <w:t>计划</w:t>
      </w:r>
      <w:r>
        <w:rPr>
          <w:rFonts w:hint="default" w:ascii="Times New Roman" w:hAnsi="Times New Roman" w:eastAsia="仿宋_GB2312" w:cs="Times New Roman"/>
          <w:b w:val="0"/>
          <w:bCs w:val="0"/>
        </w:rPr>
        <w:t>标准。</w:t>
      </w:r>
    </w:p>
    <w:p w14:paraId="0C0C2D3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41D9746F">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28B1C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3693C2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项目专业人员及相关领域技术骨干组成，确保从多角度、全方位对项目绩效进行评价。同时，明确了评价工作的目标、范围、重点及时间安排，制定了详细的工作计划，为评价工作的顺利开展奠定了坚实基础。</w:t>
      </w:r>
    </w:p>
    <w:p w14:paraId="17B7B0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08100D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98542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681C99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广泛收集与项目相关的各类数据，包括财务报表、项目文档、业务数据等。在数据收集过程中，注重数据的质量与完整性，对缺失或异常的数据进行了合理</w:t>
      </w:r>
      <w:r>
        <w:rPr>
          <w:rFonts w:hint="eastAsia" w:eastAsia="仿宋_GB2312" w:cs="Times New Roman"/>
          <w:sz w:val="32"/>
          <w:szCs w:val="32"/>
          <w:highlight w:val="none"/>
          <w:lang w:eastAsia="zh-CN"/>
        </w:rPr>
        <w:t>地</w:t>
      </w:r>
      <w:r>
        <w:rPr>
          <w:rFonts w:hint="default" w:ascii="Times New Roman" w:hAnsi="Times New Roman" w:eastAsia="仿宋_GB2312" w:cs="Times New Roman"/>
          <w:sz w:val="32"/>
          <w:szCs w:val="32"/>
          <w:highlight w:val="none"/>
          <w:lang w:eastAsia="zh-CN"/>
        </w:rPr>
        <w:t>处理和补充。随后，对收集到的数据进行了系统的整理与分类，为后续的数据分析提供了有力支持。</w:t>
      </w:r>
    </w:p>
    <w:p w14:paraId="2D1D78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6F6995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E4462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37AAAC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E8856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54F91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E7237AA">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6EE07C50">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76B2B0BF">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方特文化科技创新示范园产业扶持资金</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项目前期准备工作中</w:t>
      </w:r>
      <w:r>
        <w:rPr>
          <w:rFonts w:hint="default" w:ascii="Times New Roman" w:hAnsi="Times New Roman" w:eastAsia="仿宋_GB2312" w:cs="Times New Roman"/>
          <w:sz w:val="32"/>
          <w:szCs w:val="32"/>
          <w:highlight w:val="none"/>
        </w:rPr>
        <w:t>表现出色，达到了预期的标准与要求。同时，项目也在</w:t>
      </w:r>
      <w:r>
        <w:rPr>
          <w:rFonts w:hint="eastAsia" w:eastAsia="仿宋_GB2312" w:cs="Times New Roman"/>
          <w:sz w:val="32"/>
          <w:szCs w:val="32"/>
          <w:highlight w:val="none"/>
          <w:lang w:val="en-US" w:eastAsia="zh-CN"/>
        </w:rPr>
        <w:t>前期管理工作中</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项目土地使用权的取得</w:t>
      </w:r>
      <w:r>
        <w:rPr>
          <w:rFonts w:hint="default" w:ascii="Times New Roman" w:hAnsi="Times New Roman" w:eastAsia="仿宋_GB2312" w:cs="Times New Roman"/>
          <w:sz w:val="32"/>
          <w:szCs w:val="32"/>
          <w:highlight w:val="none"/>
        </w:rPr>
        <w:t>等。</w:t>
      </w:r>
    </w:p>
    <w:p w14:paraId="50BF92C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在项目管理方面，哈密市文化体育广播电视和旅游局通过有效</w:t>
      </w:r>
      <w:r>
        <w:rPr>
          <w:rFonts w:hint="eastAsia" w:eastAsia="仿宋_GB2312" w:cs="Times New Roman"/>
          <w:sz w:val="32"/>
          <w:szCs w:val="32"/>
          <w:highlight w:val="none"/>
          <w:lang w:eastAsia="zh-CN"/>
        </w:rPr>
        <w:t>地</w:t>
      </w:r>
      <w:r>
        <w:rPr>
          <w:rFonts w:hint="default" w:ascii="Times New Roman" w:hAnsi="Times New Roman" w:eastAsia="仿宋_GB2312" w:cs="Times New Roman"/>
          <w:sz w:val="32"/>
          <w:szCs w:val="32"/>
          <w:highlight w:val="none"/>
        </w:rPr>
        <w:t>规划、组织与协调，项目得以顺利实施，并在预算与时间上保持了良好的控制。</w:t>
      </w:r>
    </w:p>
    <w:p w14:paraId="6D69057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从项目效益的角度来看，本项目不仅实现了预期的社会效益等方面产生了积极的影响。具体而言，保障哈密方特文化科技创新示范园项目建设顺利开展等方面</w:t>
      </w:r>
      <w:r>
        <w:rPr>
          <w:rFonts w:hint="eastAsia" w:eastAsia="仿宋_GB2312" w:cs="Times New Roman"/>
          <w:sz w:val="32"/>
          <w:szCs w:val="32"/>
          <w:highlight w:val="none"/>
          <w:lang w:val="en-US" w:eastAsia="zh-CN"/>
        </w:rPr>
        <w:t>实施</w:t>
      </w:r>
      <w:r>
        <w:rPr>
          <w:rFonts w:hint="default" w:ascii="Times New Roman" w:hAnsi="Times New Roman" w:eastAsia="仿宋_GB2312" w:cs="Times New Roman"/>
          <w:sz w:val="32"/>
          <w:szCs w:val="32"/>
          <w:highlight w:val="none"/>
        </w:rPr>
        <w:t>，为项目的利益相关者带来了实实在在的利益。</w:t>
      </w:r>
    </w:p>
    <w:p w14:paraId="14F669A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综上所述，方特文化科技创新示范园产业扶持资金在绩效评价中表现出色，达到了项目的预期目标，并在多个方面取得了显著的成效。</w:t>
      </w:r>
    </w:p>
    <w:p w14:paraId="045A8BD2">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0A840DF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w:t>
      </w:r>
      <w:r>
        <w:rPr>
          <w:rFonts w:hint="eastAsia" w:ascii="Times New Roman" w:hAnsi="Times New Roman" w:eastAsia="仿宋_GB2312" w:cs="Times New Roman"/>
          <w:b w:val="0"/>
          <w:bCs w:val="0"/>
          <w:highlight w:val="none"/>
          <w:lang w:val="en-US" w:eastAsia="zh-CN"/>
        </w:rPr>
        <w:t>6</w:t>
      </w:r>
      <w:r>
        <w:rPr>
          <w:rFonts w:hint="default" w:ascii="Times New Roman" w:hAnsi="Times New Roman" w:eastAsia="仿宋_GB2312" w:cs="Times New Roman"/>
          <w:b w:val="0"/>
          <w:bCs w:val="0"/>
          <w:highlight w:val="none"/>
        </w:rPr>
        <w:t>0分，得分为</w:t>
      </w:r>
      <w:r>
        <w:rPr>
          <w:rFonts w:hint="eastAsia" w:ascii="Times New Roman" w:hAnsi="Times New Roman" w:eastAsia="仿宋_GB2312" w:cs="Times New Roman"/>
          <w:b w:val="0"/>
          <w:bCs w:val="0"/>
          <w:highlight w:val="none"/>
          <w:lang w:val="en-US" w:eastAsia="zh-CN"/>
        </w:rPr>
        <w:t>60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5CCE3E3E">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59" w:type="dxa"/>
        <w:jc w:val="center"/>
        <w:tblLayout w:type="fixed"/>
        <w:tblCellMar>
          <w:top w:w="0" w:type="dxa"/>
          <w:left w:w="108" w:type="dxa"/>
          <w:bottom w:w="0" w:type="dxa"/>
          <w:right w:w="108" w:type="dxa"/>
        </w:tblCellMar>
      </w:tblPr>
      <w:tblGrid>
        <w:gridCol w:w="2787"/>
        <w:gridCol w:w="1926"/>
        <w:gridCol w:w="2023"/>
        <w:gridCol w:w="2023"/>
      </w:tblGrid>
      <w:tr w14:paraId="512893D8">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9A16C5D">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6"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C03D4D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22E56D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721952F">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0B09266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2773379">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6" w:type="dxa"/>
            <w:tcBorders>
              <w:top w:val="nil"/>
              <w:left w:val="nil"/>
              <w:bottom w:val="single" w:color="auto" w:sz="4" w:space="0"/>
              <w:right w:val="single" w:color="auto" w:sz="4" w:space="0"/>
            </w:tcBorders>
            <w:shd w:val="clear" w:color="auto" w:fill="auto"/>
            <w:vAlign w:val="center"/>
          </w:tcPr>
          <w:p w14:paraId="0629F62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8DC2760">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84202C4">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3674FD2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EF0A2D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6" w:type="dxa"/>
            <w:tcBorders>
              <w:top w:val="nil"/>
              <w:left w:val="nil"/>
              <w:bottom w:val="single" w:color="auto" w:sz="4" w:space="0"/>
              <w:right w:val="single" w:color="auto" w:sz="4" w:space="0"/>
            </w:tcBorders>
            <w:shd w:val="clear" w:color="auto" w:fill="auto"/>
            <w:vAlign w:val="center"/>
          </w:tcPr>
          <w:p w14:paraId="4144D6D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594207B">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A9FE9A4">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33F038C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FC994A1">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6" w:type="dxa"/>
            <w:tcBorders>
              <w:top w:val="nil"/>
              <w:left w:val="nil"/>
              <w:bottom w:val="single" w:color="auto" w:sz="4" w:space="0"/>
              <w:right w:val="single" w:color="auto" w:sz="4" w:space="0"/>
            </w:tcBorders>
            <w:shd w:val="clear" w:color="auto" w:fill="auto"/>
            <w:vAlign w:val="center"/>
          </w:tcPr>
          <w:p w14:paraId="628AB4DA">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6</w:t>
            </w:r>
            <w:r>
              <w:rPr>
                <w:rFonts w:hint="default" w:ascii="Times New Roman" w:hAnsi="Times New Roman" w:eastAsia="仿宋_GB2312" w:cs="Times New Roman"/>
                <w:color w:val="000000"/>
                <w:sz w:val="21"/>
                <w:szCs w:val="21"/>
                <w:highlight w:val="none"/>
                <w:lang w:val="en-US" w:eastAsia="zh-CN"/>
              </w:rPr>
              <w:t>0</w:t>
            </w:r>
          </w:p>
        </w:tc>
        <w:tc>
          <w:tcPr>
            <w:tcW w:w="2023" w:type="dxa"/>
            <w:tcBorders>
              <w:top w:val="nil"/>
              <w:left w:val="nil"/>
              <w:bottom w:val="single" w:color="auto" w:sz="4" w:space="0"/>
              <w:right w:val="single" w:color="auto" w:sz="4" w:space="0"/>
            </w:tcBorders>
            <w:shd w:val="clear" w:color="auto" w:fill="auto"/>
            <w:vAlign w:val="center"/>
          </w:tcPr>
          <w:p w14:paraId="2EF02408">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60</w:t>
            </w:r>
          </w:p>
        </w:tc>
        <w:tc>
          <w:tcPr>
            <w:tcW w:w="2023" w:type="dxa"/>
            <w:tcBorders>
              <w:top w:val="nil"/>
              <w:left w:val="nil"/>
              <w:bottom w:val="single" w:color="auto" w:sz="4" w:space="0"/>
              <w:right w:val="single" w:color="auto" w:sz="4" w:space="0"/>
            </w:tcBorders>
            <w:shd w:val="clear" w:color="auto" w:fill="auto"/>
            <w:vAlign w:val="center"/>
          </w:tcPr>
          <w:p w14:paraId="5390C312">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394D4B5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9B4F9C8">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6" w:type="dxa"/>
            <w:tcBorders>
              <w:top w:val="nil"/>
              <w:left w:val="nil"/>
              <w:bottom w:val="single" w:color="auto" w:sz="4" w:space="0"/>
              <w:right w:val="single" w:color="auto" w:sz="4" w:space="0"/>
            </w:tcBorders>
            <w:shd w:val="clear" w:color="auto" w:fill="auto"/>
            <w:vAlign w:val="center"/>
          </w:tcPr>
          <w:p w14:paraId="4D1DAC38">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7A1ED1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B5A788D">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100%</w:t>
            </w:r>
          </w:p>
        </w:tc>
      </w:tr>
    </w:tbl>
    <w:p w14:paraId="51761229">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733C90B6">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5860D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294E45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0703654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867EEC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4347CE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33540BB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kern w:val="0"/>
          <w:sz w:val="32"/>
          <w:szCs w:val="32"/>
          <w:lang w:val="en-US" w:eastAsia="zh-CN" w:bidi="ar"/>
        </w:rPr>
        <w:t>与第三方文化公司</w:t>
      </w:r>
      <w:r>
        <w:rPr>
          <w:rFonts w:hint="eastAsia" w:ascii="仿宋_GB2312" w:hAnsi="仿宋_GB2312" w:eastAsia="仿宋_GB2312" w:cs="仿宋_GB2312"/>
          <w:kern w:val="0"/>
          <w:sz w:val="32"/>
          <w:szCs w:val="32"/>
          <w:highlight w:val="none"/>
          <w:lang w:val="en-US" w:eastAsia="zh-CN" w:bidi="ar"/>
        </w:rPr>
        <w:t>2023年7月签订的投资合作协议，</w:t>
      </w:r>
      <w:r>
        <w:rPr>
          <w:rFonts w:hint="default" w:ascii="Times New Roman" w:hAnsi="Times New Roman" w:eastAsia="仿宋_GB2312" w:cs="Times New Roman"/>
          <w:sz w:val="32"/>
          <w:szCs w:val="32"/>
          <w:highlight w:val="none"/>
        </w:rPr>
        <w:t>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概算</w:t>
      </w:r>
      <w:r>
        <w:rPr>
          <w:rFonts w:hint="default" w:ascii="Times New Roman" w:hAnsi="Times New Roman" w:eastAsia="仿宋_GB2312" w:cs="Times New Roman"/>
          <w:sz w:val="32"/>
          <w:szCs w:val="32"/>
          <w:highlight w:val="none"/>
          <w:lang w:val="en-US" w:eastAsia="zh-CN"/>
        </w:rPr>
        <w:t>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84AE96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0A6AF21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251EB8E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w:t>
      </w:r>
      <w:r>
        <w:rPr>
          <w:rFonts w:hint="eastAsia" w:eastAsia="仿宋_GB2312" w:cs="Times New Roman"/>
          <w:sz w:val="32"/>
          <w:szCs w:val="32"/>
          <w:lang w:val="en-US" w:eastAsia="zh-CN"/>
        </w:rPr>
        <w:t>的</w:t>
      </w:r>
      <w:r>
        <w:rPr>
          <w:rFonts w:hint="default" w:ascii="Times New Roman" w:hAnsi="Times New Roman" w:eastAsia="仿宋_GB2312" w:cs="Times New Roman"/>
          <w:sz w:val="32"/>
          <w:szCs w:val="32"/>
          <w:lang w:val="en-US" w:eastAsia="zh-CN"/>
        </w:rPr>
        <w:t>细化情况。绩效目标表经过审核，绩效目标与实际工作内容具有相关性，预算与确定的项目投资额相匹配，对项目任务进行了详细分解。项目预期产出效益及效果符合正常的业绩水平。</w:t>
      </w:r>
    </w:p>
    <w:p w14:paraId="09861B0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1EA4A6D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项目设置了明确的预期产出效益和效果，将绩效目标细化分解为具体的绩效指标，绩效目标与项目目标任务相对应，绩效目标设定的绩效指标清晰、细化、可衡量。</w:t>
      </w:r>
    </w:p>
    <w:p w14:paraId="2FB0BE7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5ED8590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2DB582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03CE41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044CBD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0DD5CC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51E38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7E9A8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0A5F7EA">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035F018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w:t>
      </w:r>
      <w:r>
        <w:rPr>
          <w:rFonts w:hint="default" w:ascii="Times New Roman" w:hAnsi="Times New Roman" w:eastAsia="仿宋_GB2312" w:cs="Times New Roman"/>
          <w:sz w:val="32"/>
          <w:szCs w:val="32"/>
          <w:highlight w:val="none"/>
          <w:lang w:val="en-US" w:eastAsia="zh-CN"/>
        </w:rPr>
        <w:t>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19B7AD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4928B58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32E2FDA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30000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08F3E9F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102D541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30000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384B48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9170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w:t>
      </w:r>
      <w:r>
        <w:rPr>
          <w:rFonts w:hint="eastAsia" w:eastAsia="仿宋_GB2312" w:cs="Times New Roman"/>
          <w:sz w:val="32"/>
          <w:szCs w:val="32"/>
          <w:highlight w:val="none"/>
          <w:lang w:eastAsia="zh-CN"/>
        </w:rPr>
        <w:t>和哈密市文化体育广播电视和旅游局</w:t>
      </w:r>
      <w:r>
        <w:rPr>
          <w:rFonts w:hint="default" w:ascii="Times New Roman" w:hAnsi="Times New Roman" w:eastAsia="仿宋_GB2312" w:cs="Times New Roman"/>
          <w:sz w:val="32"/>
          <w:szCs w:val="32"/>
          <w:highlight w:val="none"/>
          <w:lang w:eastAsia="zh-CN"/>
        </w:rPr>
        <w:t>财务制度，确保了资金的合规性与安全性。在资金使用过程中，我们建立了完善的财务管理体系，对资金的流动进行了全程监控与记录。</w:t>
      </w:r>
    </w:p>
    <w:p w14:paraId="50847E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D33B4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73B8B9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2959639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1C446E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43D22B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089977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1B13C44">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F81858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6992FE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w:t>
      </w:r>
      <w:r>
        <w:rPr>
          <w:rFonts w:hint="eastAsia" w:eastAsia="仿宋_GB2312" w:cs="Times New Roman"/>
          <w:sz w:val="32"/>
          <w:szCs w:val="32"/>
          <w:lang w:eastAsia="zh-CN"/>
        </w:rPr>
        <w:t>地</w:t>
      </w:r>
      <w:r>
        <w:rPr>
          <w:rFonts w:hint="default" w:ascii="Times New Roman" w:hAnsi="Times New Roman" w:eastAsia="仿宋_GB2312" w:cs="Times New Roman"/>
          <w:sz w:val="32"/>
          <w:szCs w:val="32"/>
          <w:lang w:eastAsia="zh-CN"/>
        </w:rPr>
        <w:t>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1B398E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5C2F3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70A024F7">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2835E12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w:t>
      </w:r>
      <w:r>
        <w:rPr>
          <w:rFonts w:hint="default" w:ascii="Times New Roman" w:hAnsi="Times New Roman" w:eastAsia="仿宋_GB2312" w:cs="Times New Roman"/>
          <w:sz w:val="32"/>
          <w:szCs w:val="32"/>
          <w:highlight w:val="none"/>
          <w:lang w:val="en-US" w:eastAsia="zh-CN"/>
        </w:rPr>
        <w:t>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体产出指标完成情况如下：</w:t>
      </w:r>
    </w:p>
    <w:p w14:paraId="6DB9CF0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63655A99">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指标1：计划建设项目数量，指标值：=1个，实际完成值：=1个，指标完成率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改进措施：无</w:t>
      </w:r>
      <w:r>
        <w:rPr>
          <w:rFonts w:hint="default" w:ascii="Times New Roman" w:hAnsi="Times New Roman" w:eastAsia="仿宋_GB2312" w:cs="Times New Roman"/>
          <w:sz w:val="32"/>
          <w:szCs w:val="32"/>
          <w:highlight w:val="none"/>
          <w:lang w:eastAsia="zh-CN"/>
        </w:rPr>
        <w:t>。</w:t>
      </w:r>
    </w:p>
    <w:p w14:paraId="2706D36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：项目占地面积，指标值：&gt;=1004亩，实际完成值：=1004亩，指标完成率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改进措施：无。</w:t>
      </w:r>
    </w:p>
    <w:p w14:paraId="4C87344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21F16EDF">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指标1：项目设计变更率，指标值：&lt;=5%，实际完成值：=</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改进措施：无</w:t>
      </w:r>
      <w:r>
        <w:rPr>
          <w:rFonts w:hint="default" w:ascii="Times New Roman" w:hAnsi="Times New Roman" w:eastAsia="仿宋_GB2312" w:cs="Times New Roman"/>
          <w:sz w:val="32"/>
          <w:szCs w:val="32"/>
          <w:highlight w:val="none"/>
          <w:lang w:eastAsia="zh-CN"/>
        </w:rPr>
        <w:t>。</w:t>
      </w:r>
    </w:p>
    <w:p w14:paraId="3042F3A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375B6B55">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指标1：项目计划开工及时率，指标值：&gt;=90%，实际完成值：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111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，偏差原因：指标值在设置指标值时依据预计能完成最低值设置，实际项目开展中项目按照计划开展，实际完成值较高。改进措施：后期在绩效目标编制过程中可采用上年完成值进行预设，尽可能缩小偏差。</w:t>
      </w:r>
    </w:p>
    <w:p w14:paraId="7D1CA81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：项目工作计划开始时间，指标值：&lt;=10月，实际完成值：=7月，指标完成率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改进措施：无</w:t>
      </w:r>
      <w:r>
        <w:rPr>
          <w:rFonts w:hint="default" w:ascii="Times New Roman" w:hAnsi="Times New Roman" w:eastAsia="仿宋_GB2312" w:cs="Times New Roman"/>
          <w:sz w:val="32"/>
          <w:szCs w:val="32"/>
          <w:highlight w:val="none"/>
          <w:lang w:eastAsia="zh-CN"/>
        </w:rPr>
        <w:t>。</w:t>
      </w:r>
    </w:p>
    <w:p w14:paraId="35EB427B">
      <w:pPr>
        <w:shd w:val="clear"/>
        <w:spacing w:line="600" w:lineRule="exact"/>
        <w:ind w:firstLine="643" w:firstLineChars="200"/>
        <w:outlineLvl w:val="0"/>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3EA0282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本项目为扶持资金项目，项目暂未启动未产生效益，目前该项目于2024.12.30日完成地勘、场地平整、造价咨询、设计招标。目前正在进行监理和总包的招标前准备工作，前期工作的完成为2025年3月正式动工奠定了基础。</w:t>
      </w:r>
    </w:p>
    <w:p w14:paraId="2B764182">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7B7286E9">
      <w:pPr>
        <w:pStyle w:val="19"/>
        <w:spacing w:line="560" w:lineRule="exact"/>
        <w:ind w:firstLine="640"/>
        <w:rPr>
          <w:rFonts w:hint="default" w:ascii="Times New Roman" w:hAnsi="Times New Roman" w:eastAsia="方正仿宋_GBK" w:cs="Times New Roman"/>
          <w:sz w:val="32"/>
          <w:szCs w:val="32"/>
          <w:highlight w:val="none"/>
          <w:lang w:eastAsia="zh-Hans"/>
        </w:rPr>
      </w:pPr>
      <w:r>
        <w:rPr>
          <w:rFonts w:hint="default" w:ascii="Times New Roman" w:hAnsi="Times New Roman" w:eastAsia="方正仿宋_GBK" w:cs="Times New Roman"/>
          <w:sz w:val="32"/>
          <w:szCs w:val="32"/>
          <w:highlight w:val="none"/>
          <w:lang w:val="en-US" w:eastAsia="zh-CN"/>
        </w:rPr>
        <w:t>方特文化科技创新示范园产业扶持资金</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30000</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30000</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30000</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102</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rPr>
        <w:t>%</w:t>
      </w:r>
      <w:r>
        <w:rPr>
          <w:rFonts w:hint="eastAsia" w:ascii="Times New Roman" w:hAnsi="Times New Roman" w:cs="Times New Roman"/>
          <w:highlight w:val="none"/>
          <w:lang w:eastAsia="zh-CN"/>
        </w:rPr>
        <w:t>，</w:t>
      </w:r>
      <w:r>
        <w:rPr>
          <w:rFonts w:hint="default" w:ascii="Times New Roman" w:hAnsi="Times New Roman" w:eastAsia="方正仿宋_GBK" w:cs="Times New Roman"/>
          <w:sz w:val="32"/>
          <w:szCs w:val="32"/>
          <w:highlight w:val="none"/>
          <w:lang w:eastAsia="zh-Hans"/>
        </w:rPr>
        <w:t>偏差原因：</w:t>
      </w:r>
      <w:r>
        <w:rPr>
          <w:rFonts w:hint="eastAsia" w:eastAsia="方正仿宋_GBK" w:cs="Times New Roman"/>
          <w:sz w:val="32"/>
          <w:szCs w:val="32"/>
          <w:highlight w:val="none"/>
          <w:lang w:val="en-US" w:eastAsia="zh-CN"/>
        </w:rPr>
        <w:t>时效</w:t>
      </w:r>
      <w:r>
        <w:rPr>
          <w:rFonts w:hint="default" w:ascii="Times New Roman" w:hAnsi="Times New Roman" w:eastAsia="方正仿宋_GBK" w:cs="Times New Roman"/>
          <w:sz w:val="32"/>
          <w:szCs w:val="32"/>
          <w:highlight w:val="none"/>
          <w:lang w:eastAsia="zh-Hans"/>
        </w:rPr>
        <w:t>指标值在设置指标值时依据预计能完成最低值设置，实际项目开展中项目按照计划开展，实际完成值较高</w:t>
      </w:r>
      <w:r>
        <w:rPr>
          <w:rFonts w:hint="eastAsia" w:eastAsia="方正仿宋_GBK" w:cs="Times New Roman"/>
          <w:sz w:val="32"/>
          <w:szCs w:val="32"/>
          <w:highlight w:val="none"/>
          <w:lang w:val="en-US" w:eastAsia="zh-CN"/>
        </w:rPr>
        <w:t>导致完成值与目标值出现偏差。</w:t>
      </w:r>
      <w:r>
        <w:rPr>
          <w:rFonts w:hint="default" w:ascii="Times New Roman" w:hAnsi="Times New Roman" w:eastAsia="方正仿宋_GBK" w:cs="Times New Roman"/>
          <w:sz w:val="32"/>
          <w:szCs w:val="32"/>
          <w:highlight w:val="none"/>
          <w:lang w:eastAsia="zh-Hans"/>
        </w:rPr>
        <w:t>改进措施：后期在绩效目标编制过程中可采用上年完成值进行预设，尽可能缩小偏差</w:t>
      </w:r>
      <w:r>
        <w:rPr>
          <w:rFonts w:hint="default" w:ascii="Times New Roman" w:hAnsi="Times New Roman" w:eastAsia="仿宋_GB2312" w:cs="Times New Roman"/>
          <w:sz w:val="32"/>
          <w:szCs w:val="32"/>
        </w:rPr>
        <w:t>。</w:t>
      </w:r>
    </w:p>
    <w:p w14:paraId="04900E21">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0B40230D">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3EA72BC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w:t>
      </w:r>
      <w:r>
        <w:rPr>
          <w:rFonts w:hint="eastAsia" w:eastAsia="仿宋_GB2312" w:cs="Times New Roman"/>
          <w:sz w:val="32"/>
          <w:szCs w:val="32"/>
          <w:lang w:eastAsia="zh-CN"/>
        </w:rPr>
        <w:t>质量</w:t>
      </w:r>
      <w:r>
        <w:rPr>
          <w:rFonts w:hint="default" w:ascii="Times New Roman" w:hAnsi="Times New Roman" w:eastAsia="仿宋_GB2312" w:cs="Times New Roman"/>
          <w:sz w:val="32"/>
          <w:szCs w:val="32"/>
        </w:rPr>
        <w:t>防范工作。</w:t>
      </w:r>
    </w:p>
    <w:p w14:paraId="3263C681">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检查到位。财政、纪检、监察等职能部门全面参与专项资金事前、事中和事后全过程的监管。在监督环节上，实行关口前移，从事后监督管理转向事前审核，事中监督和事后检查稽核相结合的监督制度，形成多环节全过程的监督管理格局，尽量早发现问题，早解决问题。</w:t>
      </w:r>
    </w:p>
    <w:p w14:paraId="74482ADD">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0FDDB60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w:t>
      </w:r>
      <w:r>
        <w:rPr>
          <w:rFonts w:hint="eastAsia" w:eastAsia="仿宋_GB2312" w:cs="Times New Roman"/>
          <w:sz w:val="32"/>
          <w:szCs w:val="32"/>
          <w:highlight w:val="none"/>
          <w:lang w:val="en-US" w:eastAsia="zh-CN"/>
        </w:rPr>
        <w:t>评价</w:t>
      </w:r>
      <w:r>
        <w:rPr>
          <w:rFonts w:hint="default" w:ascii="Times New Roman" w:hAnsi="Times New Roman" w:eastAsia="仿宋_GB2312" w:cs="Times New Roman"/>
          <w:sz w:val="32"/>
          <w:szCs w:val="32"/>
          <w:highlight w:val="none"/>
          <w:lang w:val="en-US" w:eastAsia="zh-CN"/>
        </w:rPr>
        <w:t>的局限性，影响评价质量。</w:t>
      </w:r>
    </w:p>
    <w:p w14:paraId="5A64754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6E73695E">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4C359B4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1.多进行有关绩效管理工作方面的培训。积极组织第三方开展绩效管理工作培训，进一步夯实业务基础，提高单位绩效人员水平。</w:t>
      </w:r>
    </w:p>
    <w:p w14:paraId="54D4930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2.专门设定对绩效工作人员定职、定岗、定责等相关制度措施，进一步提升单位绩效管理工作业务水平，扎实做好绩效管理工作。</w:t>
      </w:r>
    </w:p>
    <w:p w14:paraId="0A91069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DA373B8">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580150A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06399D5">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03FD0BE1">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0D918372">
      <w:pPr>
        <w:pStyle w:val="13"/>
        <w:spacing w:after="0" w:line="560" w:lineRule="exact"/>
        <w:ind w:left="0" w:leftChars="0" w:firstLine="0" w:firstLineChars="0"/>
        <w:rPr>
          <w:rFonts w:hint="default" w:ascii="Times New Roman" w:hAnsi="Times New Roman" w:eastAsia="仿宋_GB2312" w:cs="Times New Roman"/>
          <w:sz w:val="32"/>
          <w:szCs w:val="32"/>
        </w:rPr>
      </w:pPr>
    </w:p>
    <w:p w14:paraId="08AE98C9">
      <w:pPr>
        <w:pStyle w:val="13"/>
        <w:spacing w:after="0" w:line="560" w:lineRule="exact"/>
        <w:ind w:left="0" w:leftChars="0" w:firstLine="0" w:firstLineChars="0"/>
        <w:rPr>
          <w:rFonts w:hint="default" w:ascii="Times New Roman" w:hAnsi="Times New Roman" w:eastAsia="仿宋_GB2312" w:cs="Times New Roman"/>
          <w:sz w:val="32"/>
          <w:szCs w:val="32"/>
        </w:rPr>
      </w:pPr>
    </w:p>
    <w:p w14:paraId="0B6AECA6">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2011B841">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7E67BB8D">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方特文化科技创新示范园产业扶持资金</w:t>
      </w:r>
      <w:r>
        <w:rPr>
          <w:rFonts w:hint="eastAsia"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12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55F25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2" w:hRule="atLeast"/>
          <w:tblHeader/>
          <w:jc w:val="center"/>
        </w:trPr>
        <w:tc>
          <w:tcPr>
            <w:tcW w:w="1002" w:type="dxa"/>
            <w:shd w:val="clear" w:color="auto" w:fill="auto"/>
            <w:vAlign w:val="center"/>
          </w:tcPr>
          <w:p w14:paraId="4C082A6B">
            <w:pPr>
              <w:widowControl/>
              <w:spacing w:line="0" w:lineRule="atLeast"/>
              <w:jc w:val="center"/>
              <w:rPr>
                <w:rFonts w:hint="default" w:ascii="Times New Roman" w:hAnsi="Times New Roman" w:eastAsia="仿宋_GB2312" w:cs="Times New Roman"/>
                <w:b/>
                <w:bCs/>
                <w:color w:val="000000"/>
                <w:kern w:val="0"/>
                <w:sz w:val="18"/>
                <w:szCs w:val="18"/>
              </w:rPr>
            </w:pPr>
            <w:bookmarkStart w:id="3" w:name="_GoBack"/>
            <w:r>
              <w:rPr>
                <w:rFonts w:hint="default" w:ascii="Times New Roman" w:hAnsi="Times New Roman" w:eastAsia="仿宋_GB2312" w:cs="Times New Roman"/>
                <w:b/>
                <w:bCs/>
                <w:color w:val="000000"/>
                <w:kern w:val="0"/>
                <w:sz w:val="18"/>
                <w:szCs w:val="18"/>
              </w:rPr>
              <w:t>一级指标</w:t>
            </w:r>
          </w:p>
        </w:tc>
        <w:tc>
          <w:tcPr>
            <w:tcW w:w="1000" w:type="dxa"/>
            <w:shd w:val="clear" w:color="auto" w:fill="auto"/>
            <w:vAlign w:val="center"/>
          </w:tcPr>
          <w:p w14:paraId="5B0DBE4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auto"/>
            <w:vAlign w:val="center"/>
          </w:tcPr>
          <w:p w14:paraId="3950056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auto"/>
            <w:vAlign w:val="center"/>
          </w:tcPr>
          <w:p w14:paraId="0ADD641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auto"/>
            <w:vAlign w:val="center"/>
          </w:tcPr>
          <w:p w14:paraId="208E460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auto"/>
            <w:vAlign w:val="center"/>
          </w:tcPr>
          <w:p w14:paraId="5D06111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auto"/>
            <w:vAlign w:val="center"/>
          </w:tcPr>
          <w:p w14:paraId="47479C5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01725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jc w:val="center"/>
        </w:trPr>
        <w:tc>
          <w:tcPr>
            <w:tcW w:w="1002" w:type="dxa"/>
            <w:vMerge w:val="restart"/>
            <w:shd w:val="clear" w:color="auto" w:fill="auto"/>
            <w:vAlign w:val="center"/>
          </w:tcPr>
          <w:p w14:paraId="18C801D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4DC9DD5">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61EED37">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5C62BD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BF12A6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0EDA74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CD2B0E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auto"/>
            <w:vAlign w:val="center"/>
          </w:tcPr>
          <w:p w14:paraId="1C5672A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auto"/>
            <w:vAlign w:val="center"/>
          </w:tcPr>
          <w:p w14:paraId="56AABB0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4B8CD2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auto"/>
            <w:vAlign w:val="center"/>
          </w:tcPr>
          <w:p w14:paraId="3B43EF4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auto"/>
            <w:vAlign w:val="center"/>
          </w:tcPr>
          <w:p w14:paraId="199DB47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w:t>
            </w:r>
            <w:r>
              <w:rPr>
                <w:rFonts w:hint="eastAsia" w:eastAsia="仿宋_GB2312" w:cs="Times New Roman"/>
                <w:color w:val="000000"/>
                <w:kern w:val="0"/>
                <w:sz w:val="18"/>
                <w:szCs w:val="18"/>
                <w:highlight w:val="none"/>
                <w:lang w:val="en-US" w:eastAsia="zh-CN"/>
              </w:rPr>
              <w:t>和</w:t>
            </w:r>
            <w:r>
              <w:rPr>
                <w:rFonts w:hint="eastAsia" w:eastAsia="仿宋_GB2312" w:cs="Times New Roman"/>
                <w:color w:val="000000"/>
                <w:kern w:val="0"/>
                <w:sz w:val="18"/>
                <w:szCs w:val="18"/>
                <w:highlight w:val="none"/>
                <w:lang w:eastAsia="zh-CN"/>
              </w:rPr>
              <w:t>社会</w:t>
            </w:r>
            <w:r>
              <w:rPr>
                <w:rFonts w:hint="default" w:ascii="Times New Roman" w:hAnsi="Times New Roman" w:eastAsia="仿宋_GB2312" w:cs="Times New Roman"/>
                <w:color w:val="000000"/>
                <w:kern w:val="0"/>
                <w:sz w:val="18"/>
                <w:szCs w:val="18"/>
                <w:highlight w:val="none"/>
              </w:rPr>
              <w:t>发展规划相关政策；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auto"/>
            <w:vAlign w:val="center"/>
          </w:tcPr>
          <w:p w14:paraId="489EC07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auto"/>
            <w:vAlign w:val="center"/>
          </w:tcPr>
          <w:p w14:paraId="0F2AFAC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DB8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002" w:type="dxa"/>
            <w:vMerge w:val="continue"/>
            <w:shd w:val="clear" w:color="auto" w:fill="auto"/>
            <w:vAlign w:val="center"/>
          </w:tcPr>
          <w:p w14:paraId="4F774040">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auto"/>
            <w:vAlign w:val="center"/>
          </w:tcPr>
          <w:p w14:paraId="2D55106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auto"/>
            <w:vAlign w:val="center"/>
          </w:tcPr>
          <w:p w14:paraId="46B29A7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37CF621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auto"/>
            <w:vAlign w:val="center"/>
          </w:tcPr>
          <w:p w14:paraId="6910C3D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auto"/>
            <w:vAlign w:val="center"/>
          </w:tcPr>
          <w:p w14:paraId="3F1186BA">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auto"/>
            <w:vAlign w:val="center"/>
          </w:tcPr>
          <w:p w14:paraId="30ED531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auto"/>
            <w:vAlign w:val="center"/>
          </w:tcPr>
          <w:p w14:paraId="483A8F0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54EE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002" w:type="dxa"/>
            <w:vMerge w:val="continue"/>
            <w:shd w:val="clear" w:color="auto" w:fill="auto"/>
            <w:vAlign w:val="center"/>
          </w:tcPr>
          <w:p w14:paraId="58352BE7">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auto"/>
            <w:vAlign w:val="center"/>
          </w:tcPr>
          <w:p w14:paraId="26A7B2D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auto"/>
            <w:vAlign w:val="center"/>
          </w:tcPr>
          <w:p w14:paraId="715B1A2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3E93627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auto"/>
            <w:vAlign w:val="center"/>
          </w:tcPr>
          <w:p w14:paraId="32814CE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auto" w:fill="auto"/>
            <w:vAlign w:val="center"/>
          </w:tcPr>
          <w:p w14:paraId="0FFD684B">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083D108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auto" w:fill="auto"/>
            <w:vAlign w:val="center"/>
          </w:tcPr>
          <w:p w14:paraId="0BD16D9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auto"/>
            <w:vAlign w:val="center"/>
          </w:tcPr>
          <w:p w14:paraId="2F24034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0DE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64" w:hRule="atLeast"/>
          <w:jc w:val="center"/>
        </w:trPr>
        <w:tc>
          <w:tcPr>
            <w:tcW w:w="1002" w:type="dxa"/>
            <w:vMerge w:val="continue"/>
            <w:shd w:val="clear" w:color="auto" w:fill="auto"/>
            <w:vAlign w:val="center"/>
          </w:tcPr>
          <w:p w14:paraId="259B9FC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auto"/>
            <w:vAlign w:val="center"/>
          </w:tcPr>
          <w:p w14:paraId="626D96F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auto"/>
            <w:vAlign w:val="center"/>
          </w:tcPr>
          <w:p w14:paraId="4FA3D80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54B7A39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auto" w:fill="auto"/>
            <w:vAlign w:val="center"/>
          </w:tcPr>
          <w:p w14:paraId="0E68449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auto" w:fill="auto"/>
            <w:vAlign w:val="center"/>
          </w:tcPr>
          <w:p w14:paraId="7AB6B98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auto" w:fill="auto"/>
            <w:vAlign w:val="center"/>
          </w:tcPr>
          <w:p w14:paraId="5329F9C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auto"/>
            <w:vAlign w:val="center"/>
          </w:tcPr>
          <w:p w14:paraId="2431436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953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2" w:hRule="atLeast"/>
          <w:jc w:val="center"/>
        </w:trPr>
        <w:tc>
          <w:tcPr>
            <w:tcW w:w="1002" w:type="dxa"/>
            <w:vMerge w:val="continue"/>
            <w:shd w:val="clear" w:color="auto" w:fill="auto"/>
            <w:vAlign w:val="center"/>
          </w:tcPr>
          <w:p w14:paraId="3424F98B">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auto"/>
            <w:vAlign w:val="center"/>
          </w:tcPr>
          <w:p w14:paraId="3C965B3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3C849769">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auto"/>
            <w:vAlign w:val="center"/>
          </w:tcPr>
          <w:p w14:paraId="5DE0A59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3D8F7D6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auto"/>
            <w:vAlign w:val="center"/>
          </w:tcPr>
          <w:p w14:paraId="7D5D7E0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auto"/>
            <w:vAlign w:val="center"/>
          </w:tcPr>
          <w:p w14:paraId="638F763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auto"/>
            <w:vAlign w:val="center"/>
          </w:tcPr>
          <w:p w14:paraId="4DF2E04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auto"/>
            <w:vAlign w:val="center"/>
          </w:tcPr>
          <w:p w14:paraId="69A6489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751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6" w:hRule="atLeast"/>
          <w:jc w:val="center"/>
        </w:trPr>
        <w:tc>
          <w:tcPr>
            <w:tcW w:w="1002" w:type="dxa"/>
            <w:vMerge w:val="continue"/>
            <w:shd w:val="clear" w:color="auto" w:fill="auto"/>
            <w:vAlign w:val="center"/>
          </w:tcPr>
          <w:p w14:paraId="779218D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auto"/>
            <w:vAlign w:val="center"/>
          </w:tcPr>
          <w:p w14:paraId="678CF46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auto"/>
            <w:vAlign w:val="center"/>
          </w:tcPr>
          <w:p w14:paraId="2498AAC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704BCD6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auto"/>
            <w:vAlign w:val="center"/>
          </w:tcPr>
          <w:p w14:paraId="20FE11B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auto"/>
            <w:vAlign w:val="center"/>
          </w:tcPr>
          <w:p w14:paraId="0846455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auto"/>
            <w:vAlign w:val="center"/>
          </w:tcPr>
          <w:p w14:paraId="70F4E53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auto"/>
            <w:vAlign w:val="center"/>
          </w:tcPr>
          <w:p w14:paraId="3504246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EA3F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1002" w:type="dxa"/>
            <w:vMerge w:val="restart"/>
            <w:shd w:val="clear" w:color="auto" w:fill="auto"/>
            <w:vAlign w:val="center"/>
          </w:tcPr>
          <w:p w14:paraId="3B21D16F">
            <w:pPr>
              <w:spacing w:line="0" w:lineRule="atLeast"/>
              <w:jc w:val="center"/>
              <w:rPr>
                <w:rFonts w:hint="default" w:ascii="Times New Roman" w:hAnsi="Times New Roman" w:eastAsia="仿宋_GB2312" w:cs="Times New Roman"/>
                <w:color w:val="000000"/>
                <w:kern w:val="0"/>
                <w:sz w:val="18"/>
                <w:szCs w:val="18"/>
                <w:highlight w:val="none"/>
              </w:rPr>
            </w:pPr>
          </w:p>
          <w:p w14:paraId="3221DA1C">
            <w:pPr>
              <w:spacing w:line="0" w:lineRule="atLeast"/>
              <w:jc w:val="center"/>
              <w:rPr>
                <w:rFonts w:hint="default" w:ascii="Times New Roman" w:hAnsi="Times New Roman" w:eastAsia="仿宋_GB2312" w:cs="Times New Roman"/>
                <w:color w:val="000000"/>
                <w:kern w:val="0"/>
                <w:sz w:val="18"/>
                <w:szCs w:val="18"/>
                <w:highlight w:val="none"/>
              </w:rPr>
            </w:pPr>
          </w:p>
          <w:p w14:paraId="7F2A2EDA">
            <w:pPr>
              <w:spacing w:line="0" w:lineRule="atLeast"/>
              <w:jc w:val="center"/>
              <w:rPr>
                <w:rFonts w:hint="default" w:ascii="Times New Roman" w:hAnsi="Times New Roman" w:eastAsia="仿宋_GB2312" w:cs="Times New Roman"/>
                <w:color w:val="000000"/>
                <w:kern w:val="0"/>
                <w:sz w:val="18"/>
                <w:szCs w:val="18"/>
                <w:highlight w:val="none"/>
              </w:rPr>
            </w:pPr>
          </w:p>
          <w:p w14:paraId="534CC0E0">
            <w:pPr>
              <w:spacing w:line="0" w:lineRule="atLeast"/>
              <w:jc w:val="center"/>
              <w:rPr>
                <w:rFonts w:hint="default" w:ascii="Times New Roman" w:hAnsi="Times New Roman" w:eastAsia="仿宋_GB2312" w:cs="Times New Roman"/>
                <w:color w:val="000000"/>
                <w:kern w:val="0"/>
                <w:sz w:val="18"/>
                <w:szCs w:val="18"/>
                <w:highlight w:val="none"/>
              </w:rPr>
            </w:pPr>
          </w:p>
          <w:p w14:paraId="22B648A2">
            <w:pPr>
              <w:spacing w:line="0" w:lineRule="atLeast"/>
              <w:jc w:val="center"/>
              <w:rPr>
                <w:rFonts w:hint="default" w:ascii="Times New Roman" w:hAnsi="Times New Roman" w:eastAsia="仿宋_GB2312" w:cs="Times New Roman"/>
                <w:color w:val="000000"/>
                <w:kern w:val="0"/>
                <w:sz w:val="18"/>
                <w:szCs w:val="18"/>
                <w:highlight w:val="none"/>
              </w:rPr>
            </w:pPr>
          </w:p>
          <w:p w14:paraId="7894DEFD">
            <w:pPr>
              <w:spacing w:line="0" w:lineRule="atLeast"/>
              <w:jc w:val="center"/>
              <w:rPr>
                <w:rFonts w:hint="default" w:ascii="Times New Roman" w:hAnsi="Times New Roman" w:eastAsia="仿宋_GB2312" w:cs="Times New Roman"/>
                <w:color w:val="000000"/>
                <w:kern w:val="0"/>
                <w:sz w:val="18"/>
                <w:szCs w:val="18"/>
                <w:highlight w:val="none"/>
              </w:rPr>
            </w:pPr>
          </w:p>
          <w:p w14:paraId="64A55EF4">
            <w:pPr>
              <w:spacing w:line="0" w:lineRule="atLeast"/>
              <w:jc w:val="center"/>
              <w:rPr>
                <w:rFonts w:hint="default" w:ascii="Times New Roman" w:hAnsi="Times New Roman" w:eastAsia="仿宋_GB2312" w:cs="Times New Roman"/>
                <w:color w:val="000000"/>
                <w:kern w:val="0"/>
                <w:sz w:val="18"/>
                <w:szCs w:val="18"/>
                <w:highlight w:val="none"/>
              </w:rPr>
            </w:pPr>
          </w:p>
          <w:p w14:paraId="59C02198">
            <w:pPr>
              <w:spacing w:line="0" w:lineRule="atLeast"/>
              <w:jc w:val="center"/>
              <w:rPr>
                <w:rFonts w:hint="default" w:ascii="Times New Roman" w:hAnsi="Times New Roman" w:eastAsia="仿宋_GB2312" w:cs="Times New Roman"/>
                <w:color w:val="000000"/>
                <w:kern w:val="0"/>
                <w:sz w:val="18"/>
                <w:szCs w:val="18"/>
                <w:highlight w:val="none"/>
              </w:rPr>
            </w:pPr>
          </w:p>
          <w:p w14:paraId="1865DAE0">
            <w:pPr>
              <w:spacing w:line="0" w:lineRule="atLeast"/>
              <w:jc w:val="center"/>
              <w:rPr>
                <w:rFonts w:hint="default" w:ascii="Times New Roman" w:hAnsi="Times New Roman" w:eastAsia="仿宋_GB2312" w:cs="Times New Roman"/>
                <w:color w:val="000000"/>
                <w:kern w:val="0"/>
                <w:sz w:val="18"/>
                <w:szCs w:val="18"/>
                <w:highlight w:val="none"/>
              </w:rPr>
            </w:pPr>
          </w:p>
          <w:p w14:paraId="379ACB83">
            <w:pPr>
              <w:spacing w:line="0" w:lineRule="atLeast"/>
              <w:jc w:val="center"/>
              <w:rPr>
                <w:rFonts w:hint="default" w:ascii="Times New Roman" w:hAnsi="Times New Roman" w:eastAsia="仿宋_GB2312" w:cs="Times New Roman"/>
                <w:color w:val="000000"/>
                <w:kern w:val="0"/>
                <w:sz w:val="18"/>
                <w:szCs w:val="18"/>
                <w:highlight w:val="none"/>
              </w:rPr>
            </w:pPr>
          </w:p>
          <w:p w14:paraId="5178C7D6">
            <w:pPr>
              <w:spacing w:line="0" w:lineRule="atLeast"/>
              <w:jc w:val="center"/>
              <w:rPr>
                <w:rFonts w:hint="default" w:ascii="Times New Roman" w:hAnsi="Times New Roman" w:eastAsia="仿宋_GB2312" w:cs="Times New Roman"/>
                <w:color w:val="000000"/>
                <w:kern w:val="0"/>
                <w:sz w:val="18"/>
                <w:szCs w:val="18"/>
                <w:highlight w:val="none"/>
              </w:rPr>
            </w:pPr>
          </w:p>
          <w:p w14:paraId="5DBCEB9D">
            <w:pPr>
              <w:spacing w:line="0" w:lineRule="atLeast"/>
              <w:jc w:val="center"/>
              <w:rPr>
                <w:rFonts w:hint="default" w:ascii="Times New Roman" w:hAnsi="Times New Roman" w:eastAsia="仿宋_GB2312" w:cs="Times New Roman"/>
                <w:color w:val="000000"/>
                <w:kern w:val="0"/>
                <w:sz w:val="18"/>
                <w:szCs w:val="18"/>
                <w:highlight w:val="none"/>
              </w:rPr>
            </w:pPr>
          </w:p>
          <w:p w14:paraId="0797C777">
            <w:pPr>
              <w:spacing w:line="0" w:lineRule="atLeast"/>
              <w:jc w:val="center"/>
              <w:rPr>
                <w:rFonts w:hint="default" w:ascii="Times New Roman" w:hAnsi="Times New Roman" w:eastAsia="仿宋_GB2312" w:cs="Times New Roman"/>
                <w:color w:val="000000"/>
                <w:kern w:val="0"/>
                <w:sz w:val="18"/>
                <w:szCs w:val="18"/>
                <w:highlight w:val="none"/>
              </w:rPr>
            </w:pPr>
          </w:p>
          <w:p w14:paraId="7BA19278">
            <w:pPr>
              <w:spacing w:line="0" w:lineRule="atLeast"/>
              <w:jc w:val="center"/>
              <w:rPr>
                <w:rFonts w:hint="default" w:ascii="Times New Roman" w:hAnsi="Times New Roman" w:eastAsia="仿宋_GB2312" w:cs="Times New Roman"/>
                <w:color w:val="000000"/>
                <w:kern w:val="0"/>
                <w:sz w:val="18"/>
                <w:szCs w:val="18"/>
                <w:highlight w:val="none"/>
              </w:rPr>
            </w:pPr>
          </w:p>
          <w:p w14:paraId="38A5D262">
            <w:pPr>
              <w:spacing w:line="0" w:lineRule="atLeast"/>
              <w:jc w:val="center"/>
              <w:rPr>
                <w:rFonts w:hint="default" w:ascii="Times New Roman" w:hAnsi="Times New Roman" w:eastAsia="仿宋_GB2312" w:cs="Times New Roman"/>
                <w:color w:val="000000"/>
                <w:kern w:val="0"/>
                <w:sz w:val="18"/>
                <w:szCs w:val="18"/>
                <w:highlight w:val="none"/>
              </w:rPr>
            </w:pPr>
          </w:p>
          <w:p w14:paraId="09B56AF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7D3AC9D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auto"/>
            <w:vAlign w:val="center"/>
          </w:tcPr>
          <w:p w14:paraId="058E072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auto"/>
            <w:vAlign w:val="center"/>
          </w:tcPr>
          <w:p w14:paraId="240649E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auto" w:fill="auto"/>
            <w:vAlign w:val="center"/>
          </w:tcPr>
          <w:p w14:paraId="27EA1F0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auto" w:fill="auto"/>
            <w:vAlign w:val="center"/>
          </w:tcPr>
          <w:p w14:paraId="69FD597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479D987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3A56447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auto" w:fill="auto"/>
            <w:vAlign w:val="center"/>
          </w:tcPr>
          <w:p w14:paraId="28ECC8F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auto"/>
            <w:vAlign w:val="center"/>
          </w:tcPr>
          <w:p w14:paraId="1B6E27B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9692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0" w:hRule="atLeast"/>
          <w:jc w:val="center"/>
        </w:trPr>
        <w:tc>
          <w:tcPr>
            <w:tcW w:w="1002" w:type="dxa"/>
            <w:vMerge w:val="continue"/>
            <w:shd w:val="clear" w:color="auto" w:fill="auto"/>
            <w:vAlign w:val="center"/>
          </w:tcPr>
          <w:p w14:paraId="1B594D7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auto"/>
            <w:vAlign w:val="center"/>
          </w:tcPr>
          <w:p w14:paraId="11E51B25">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auto"/>
            <w:vAlign w:val="center"/>
          </w:tcPr>
          <w:p w14:paraId="690986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auto"/>
            <w:vAlign w:val="center"/>
          </w:tcPr>
          <w:p w14:paraId="0C3C651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auto"/>
            <w:vAlign w:val="center"/>
          </w:tcPr>
          <w:p w14:paraId="29EAA90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auto"/>
            <w:vAlign w:val="center"/>
          </w:tcPr>
          <w:p w14:paraId="692F01D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auto"/>
            <w:vAlign w:val="center"/>
          </w:tcPr>
          <w:p w14:paraId="7292B72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3304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1002" w:type="dxa"/>
            <w:vMerge w:val="continue"/>
            <w:shd w:val="clear" w:color="auto" w:fill="auto"/>
            <w:vAlign w:val="center"/>
          </w:tcPr>
          <w:p w14:paraId="5659860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auto"/>
            <w:vAlign w:val="center"/>
          </w:tcPr>
          <w:p w14:paraId="3A80A28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auto"/>
            <w:vAlign w:val="center"/>
          </w:tcPr>
          <w:p w14:paraId="2EF962B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682A247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auto" w:fill="auto"/>
            <w:vAlign w:val="center"/>
          </w:tcPr>
          <w:p w14:paraId="0BD6C4A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auto" w:fill="auto"/>
            <w:vAlign w:val="center"/>
          </w:tcPr>
          <w:p w14:paraId="0B6E8AE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auto" w:fill="auto"/>
            <w:vAlign w:val="center"/>
          </w:tcPr>
          <w:p w14:paraId="0E9FD7E0">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c>
          <w:tcPr>
            <w:tcW w:w="1365" w:type="dxa"/>
            <w:shd w:val="clear" w:color="auto" w:fill="auto"/>
            <w:vAlign w:val="center"/>
          </w:tcPr>
          <w:p w14:paraId="36582458">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14:paraId="43CB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7" w:hRule="atLeast"/>
          <w:jc w:val="center"/>
        </w:trPr>
        <w:tc>
          <w:tcPr>
            <w:tcW w:w="1002" w:type="dxa"/>
            <w:vMerge w:val="continue"/>
            <w:shd w:val="clear" w:color="auto" w:fill="auto"/>
            <w:vAlign w:val="center"/>
          </w:tcPr>
          <w:p w14:paraId="24D9A5E8">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auto"/>
            <w:vAlign w:val="center"/>
          </w:tcPr>
          <w:p w14:paraId="3654E91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333C7023">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auto"/>
            <w:vAlign w:val="center"/>
          </w:tcPr>
          <w:p w14:paraId="1E88A18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602640F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auto" w:fill="auto"/>
            <w:vAlign w:val="center"/>
          </w:tcPr>
          <w:p w14:paraId="3078CBF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auto" w:fill="auto"/>
            <w:vAlign w:val="center"/>
          </w:tcPr>
          <w:p w14:paraId="1FB3E91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auto" w:fill="auto"/>
            <w:vAlign w:val="center"/>
          </w:tcPr>
          <w:p w14:paraId="5716A69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auto"/>
            <w:vAlign w:val="center"/>
          </w:tcPr>
          <w:p w14:paraId="665E147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0BC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9" w:hRule="atLeast"/>
          <w:jc w:val="center"/>
        </w:trPr>
        <w:tc>
          <w:tcPr>
            <w:tcW w:w="1002" w:type="dxa"/>
            <w:vMerge w:val="continue"/>
            <w:shd w:val="clear" w:color="auto" w:fill="auto"/>
            <w:vAlign w:val="center"/>
          </w:tcPr>
          <w:p w14:paraId="7E9BB9C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auto"/>
            <w:vAlign w:val="center"/>
          </w:tcPr>
          <w:p w14:paraId="21218D0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auto"/>
            <w:vAlign w:val="center"/>
          </w:tcPr>
          <w:p w14:paraId="666103A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70D8689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auto" w:fill="auto"/>
            <w:vAlign w:val="center"/>
          </w:tcPr>
          <w:p w14:paraId="57D3B8E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auto" w:fill="auto"/>
            <w:vAlign w:val="center"/>
          </w:tcPr>
          <w:p w14:paraId="2AF834A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auto" w:fill="auto"/>
            <w:vAlign w:val="center"/>
          </w:tcPr>
          <w:p w14:paraId="1730190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auto"/>
            <w:vAlign w:val="center"/>
          </w:tcPr>
          <w:p w14:paraId="36A2489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78D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7" w:hRule="atLeast"/>
          <w:jc w:val="center"/>
        </w:trPr>
        <w:tc>
          <w:tcPr>
            <w:tcW w:w="1002" w:type="dxa"/>
            <w:vMerge w:val="restart"/>
            <w:shd w:val="clear" w:color="auto" w:fill="auto"/>
            <w:vAlign w:val="center"/>
          </w:tcPr>
          <w:p w14:paraId="3591FC8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auto"/>
            <w:vAlign w:val="center"/>
          </w:tcPr>
          <w:p w14:paraId="3E7CD07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auto"/>
            <w:vAlign w:val="center"/>
          </w:tcPr>
          <w:p w14:paraId="75E4E07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auto" w:fill="auto"/>
            <w:vAlign w:val="center"/>
          </w:tcPr>
          <w:p w14:paraId="2DD6712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auto" w:fill="auto"/>
            <w:vAlign w:val="center"/>
          </w:tcPr>
          <w:p w14:paraId="6C190E9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auto" w:fill="auto"/>
            <w:vAlign w:val="center"/>
          </w:tcPr>
          <w:p w14:paraId="3F0DE5F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2</w:t>
            </w:r>
            <w:r>
              <w:rPr>
                <w:rFonts w:hint="default" w:ascii="Times New Roman" w:hAnsi="Times New Roman" w:eastAsia="仿宋_GB2312" w:cs="Times New Roman"/>
                <w:b/>
                <w:bCs/>
                <w:color w:val="000000"/>
                <w:kern w:val="0"/>
                <w:sz w:val="18"/>
                <w:szCs w:val="18"/>
                <w:highlight w:val="none"/>
              </w:rPr>
              <w:t>0</w:t>
            </w:r>
          </w:p>
        </w:tc>
        <w:tc>
          <w:tcPr>
            <w:tcW w:w="1365" w:type="dxa"/>
            <w:shd w:val="clear" w:color="auto" w:fill="auto"/>
            <w:vAlign w:val="center"/>
          </w:tcPr>
          <w:p w14:paraId="7263A07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20</w:t>
            </w:r>
          </w:p>
        </w:tc>
      </w:tr>
      <w:tr w14:paraId="5428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73" w:hRule="atLeast"/>
          <w:jc w:val="center"/>
        </w:trPr>
        <w:tc>
          <w:tcPr>
            <w:tcW w:w="1002" w:type="dxa"/>
            <w:vMerge w:val="continue"/>
            <w:shd w:val="clear" w:color="auto" w:fill="auto"/>
            <w:vAlign w:val="center"/>
          </w:tcPr>
          <w:p w14:paraId="3997C7C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auto"/>
            <w:vAlign w:val="center"/>
          </w:tcPr>
          <w:p w14:paraId="76AC0A9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auto"/>
            <w:vAlign w:val="center"/>
          </w:tcPr>
          <w:p w14:paraId="5395770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auto" w:fill="auto"/>
            <w:vAlign w:val="center"/>
          </w:tcPr>
          <w:p w14:paraId="4FB9823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auto" w:fill="auto"/>
            <w:vAlign w:val="center"/>
          </w:tcPr>
          <w:p w14:paraId="5C0499D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15E5168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auto" w:fill="auto"/>
            <w:vAlign w:val="center"/>
          </w:tcPr>
          <w:p w14:paraId="4F46E1C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2</w:t>
            </w:r>
            <w:r>
              <w:rPr>
                <w:rFonts w:hint="default" w:ascii="Times New Roman" w:hAnsi="Times New Roman" w:eastAsia="仿宋_GB2312" w:cs="Times New Roman"/>
                <w:b/>
                <w:bCs/>
                <w:color w:val="000000"/>
                <w:kern w:val="0"/>
                <w:sz w:val="18"/>
                <w:szCs w:val="18"/>
                <w:highlight w:val="none"/>
              </w:rPr>
              <w:t>0</w:t>
            </w:r>
          </w:p>
        </w:tc>
        <w:tc>
          <w:tcPr>
            <w:tcW w:w="1365" w:type="dxa"/>
            <w:shd w:val="clear" w:color="auto" w:fill="auto"/>
            <w:vAlign w:val="center"/>
          </w:tcPr>
          <w:p w14:paraId="6B25DCC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20</w:t>
            </w:r>
          </w:p>
        </w:tc>
      </w:tr>
      <w:tr w14:paraId="36C5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1002" w:type="dxa"/>
            <w:vMerge w:val="continue"/>
            <w:shd w:val="clear" w:color="auto" w:fill="auto"/>
            <w:vAlign w:val="center"/>
          </w:tcPr>
          <w:p w14:paraId="5063B19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auto"/>
            <w:vAlign w:val="center"/>
          </w:tcPr>
          <w:p w14:paraId="688AB803">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auto"/>
            <w:vAlign w:val="center"/>
          </w:tcPr>
          <w:p w14:paraId="36609A9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auto" w:fill="auto"/>
            <w:vAlign w:val="center"/>
          </w:tcPr>
          <w:p w14:paraId="593D804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auto" w:fill="auto"/>
            <w:vAlign w:val="center"/>
          </w:tcPr>
          <w:p w14:paraId="008EB0C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auto" w:fill="auto"/>
            <w:vAlign w:val="center"/>
          </w:tcPr>
          <w:p w14:paraId="4514833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2</w:t>
            </w:r>
            <w:r>
              <w:rPr>
                <w:rFonts w:hint="default" w:ascii="Times New Roman" w:hAnsi="Times New Roman" w:eastAsia="仿宋_GB2312" w:cs="Times New Roman"/>
                <w:b/>
                <w:bCs/>
                <w:color w:val="000000"/>
                <w:kern w:val="0"/>
                <w:sz w:val="18"/>
                <w:szCs w:val="18"/>
                <w:highlight w:val="none"/>
              </w:rPr>
              <w:t>0</w:t>
            </w:r>
          </w:p>
        </w:tc>
        <w:tc>
          <w:tcPr>
            <w:tcW w:w="1365" w:type="dxa"/>
            <w:shd w:val="clear" w:color="auto" w:fill="auto"/>
            <w:vAlign w:val="center"/>
          </w:tcPr>
          <w:p w14:paraId="02046B2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20</w:t>
            </w:r>
          </w:p>
        </w:tc>
      </w:tr>
      <w:tr w14:paraId="222F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3" w:hRule="atLeast"/>
          <w:jc w:val="center"/>
        </w:trPr>
        <w:tc>
          <w:tcPr>
            <w:tcW w:w="10019" w:type="dxa"/>
            <w:gridSpan w:val="6"/>
            <w:shd w:val="clear" w:color="auto" w:fill="auto"/>
            <w:vAlign w:val="center"/>
          </w:tcPr>
          <w:p w14:paraId="4C9C579A">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auto" w:fill="auto"/>
            <w:vAlign w:val="center"/>
          </w:tcPr>
          <w:p w14:paraId="0579BCC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auto" w:fill="auto"/>
            <w:vAlign w:val="center"/>
          </w:tcPr>
          <w:p w14:paraId="3369FEC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bookmarkEnd w:id="3"/>
    </w:tbl>
    <w:p w14:paraId="574CB8D4">
      <w:pPr>
        <w:rPr>
          <w:rFonts w:hint="default" w:ascii="Times New Roman" w:hAnsi="Times New Roman" w:cs="Times New Roman"/>
          <w:highlight w:val="none"/>
        </w:rPr>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pPr>
    </w:p>
    <w:p w14:paraId="15C4CA37">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6"/>
        <w:gridCol w:w="609"/>
        <w:gridCol w:w="723"/>
        <w:gridCol w:w="2651"/>
        <w:gridCol w:w="867"/>
        <w:gridCol w:w="899"/>
        <w:gridCol w:w="768"/>
        <w:gridCol w:w="516"/>
        <w:gridCol w:w="1023"/>
        <w:gridCol w:w="629"/>
        <w:gridCol w:w="723"/>
        <w:gridCol w:w="918"/>
        <w:gridCol w:w="601"/>
        <w:gridCol w:w="2631"/>
      </w:tblGrid>
      <w:tr w14:paraId="38C78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174" w:type="dxa"/>
            <w:gridSpan w:val="14"/>
            <w:tcBorders>
              <w:top w:val="nil"/>
              <w:left w:val="nil"/>
              <w:bottom w:val="nil"/>
              <w:right w:val="nil"/>
            </w:tcBorders>
            <w:shd w:val="clear" w:color="auto" w:fill="auto"/>
            <w:vAlign w:val="bottom"/>
          </w:tcPr>
          <w:p w14:paraId="57BD3671">
            <w:pPr>
              <w:keepNext w:val="0"/>
              <w:keepLines w:val="0"/>
              <w:widowControl/>
              <w:suppressLineNumbers w:val="0"/>
              <w:jc w:val="center"/>
              <w:textAlignment w:val="bottom"/>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0501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174" w:type="dxa"/>
            <w:gridSpan w:val="14"/>
            <w:tcBorders>
              <w:top w:val="nil"/>
              <w:left w:val="nil"/>
              <w:bottom w:val="nil"/>
              <w:right w:val="nil"/>
            </w:tcBorders>
            <w:shd w:val="clear" w:color="auto" w:fill="auto"/>
            <w:vAlign w:val="center"/>
          </w:tcPr>
          <w:p w14:paraId="51FE54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5BD73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FB3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294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4576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方特文化科技创新示范园产业扶持资金</w:t>
            </w:r>
          </w:p>
        </w:tc>
      </w:tr>
      <w:tr w14:paraId="40734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063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2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2E2E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哈密市文化体育广播电视和旅游局</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5B54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704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10FF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哈密市文化体育广播电视和旅游局</w:t>
            </w:r>
          </w:p>
        </w:tc>
      </w:tr>
      <w:tr w14:paraId="1A354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D49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DDBCA">
            <w:pPr>
              <w:jc w:val="center"/>
              <w:rPr>
                <w:rFonts w:hint="eastAsia" w:ascii="宋体" w:hAnsi="宋体" w:eastAsia="宋体" w:cs="宋体"/>
                <w:i w:val="0"/>
                <w:iCs w:val="0"/>
                <w:color w:val="000000"/>
                <w:sz w:val="20"/>
                <w:szCs w:val="20"/>
                <w:u w:val="none"/>
              </w:rPr>
            </w:pP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98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ED9E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5E0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7C5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96A1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1E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75F1F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76CD7">
            <w:pPr>
              <w:jc w:val="center"/>
              <w:rPr>
                <w:rFonts w:hint="eastAsia" w:ascii="宋体" w:hAnsi="宋体" w:eastAsia="宋体" w:cs="宋体"/>
                <w:i w:val="0"/>
                <w:iCs w:val="0"/>
                <w:color w:val="000000"/>
                <w:sz w:val="20"/>
                <w:szCs w:val="20"/>
                <w:u w:val="none"/>
              </w:rPr>
            </w:pP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03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D7D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30000.00</w:t>
            </w: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116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30000.00</w:t>
            </w:r>
          </w:p>
        </w:tc>
        <w:tc>
          <w:tcPr>
            <w:tcW w:w="2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223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30000.00</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E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718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8E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0253C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DC3C6">
            <w:pPr>
              <w:jc w:val="center"/>
              <w:rPr>
                <w:rFonts w:hint="eastAsia" w:ascii="宋体" w:hAnsi="宋体" w:eastAsia="宋体" w:cs="宋体"/>
                <w:i w:val="0"/>
                <w:iCs w:val="0"/>
                <w:color w:val="000000"/>
                <w:sz w:val="20"/>
                <w:szCs w:val="20"/>
                <w:u w:val="none"/>
              </w:rPr>
            </w:pP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90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27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30000.00</w:t>
            </w: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C8C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30000.00</w:t>
            </w:r>
          </w:p>
        </w:tc>
        <w:tc>
          <w:tcPr>
            <w:tcW w:w="2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4B0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30000.00</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03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55A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2B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62C3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57062">
            <w:pPr>
              <w:jc w:val="center"/>
              <w:rPr>
                <w:rFonts w:hint="eastAsia" w:ascii="宋体" w:hAnsi="宋体" w:eastAsia="宋体" w:cs="宋体"/>
                <w:i w:val="0"/>
                <w:iCs w:val="0"/>
                <w:color w:val="000000"/>
                <w:sz w:val="20"/>
                <w:szCs w:val="20"/>
                <w:u w:val="none"/>
              </w:rPr>
            </w:pP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6D5A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5A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D7C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239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2F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8A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DE1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77EC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B198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三、目标完成情况</w:t>
            </w:r>
          </w:p>
        </w:tc>
        <w:tc>
          <w:tcPr>
            <w:tcW w:w="651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7F41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704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7666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1217A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B7BE5">
            <w:pPr>
              <w:jc w:val="center"/>
              <w:rPr>
                <w:rFonts w:hint="eastAsia" w:ascii="宋体" w:hAnsi="宋体" w:eastAsia="宋体" w:cs="宋体"/>
                <w:i w:val="0"/>
                <w:iCs w:val="0"/>
                <w:color w:val="000000"/>
                <w:sz w:val="20"/>
                <w:szCs w:val="20"/>
                <w:u w:val="none"/>
              </w:rPr>
            </w:pPr>
          </w:p>
        </w:tc>
        <w:tc>
          <w:tcPr>
            <w:tcW w:w="651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D1A8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计划对该项目逐步开展相关前期工作,该项目系文化科技创新示范产业项目建设，项目的实施有效提升城市形象品质；带动本地就业；健全本地旅游服务管理体系；加快三产服务业发展；推动本地旅游产业提质增效；完善城市功能；推动本地文化旅游产业的提质升级。</w:t>
            </w:r>
          </w:p>
        </w:tc>
        <w:tc>
          <w:tcPr>
            <w:tcW w:w="704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73D9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特文化科技创新示范园产业扶持资金项目主要用于支付哈密方特文化科技创新示范园项目土地转让金费用，该项目已于2024年9月取得1004亩的使用权，并缴纳土地转让金，保障哈密方特文化科技创新示范园项目建设顺利开展。</w:t>
            </w:r>
          </w:p>
        </w:tc>
      </w:tr>
      <w:tr w14:paraId="7A88C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AB63F">
            <w:pPr>
              <w:rPr>
                <w:rFonts w:hint="eastAsia" w:ascii="宋体" w:hAnsi="宋体" w:eastAsia="宋体" w:cs="宋体"/>
                <w:i w:val="0"/>
                <w:iCs w:val="0"/>
                <w:color w:val="000000"/>
                <w:sz w:val="20"/>
                <w:szCs w:val="20"/>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9A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5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968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C2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424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指标值设定依据</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67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上年完成情况</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5C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权重</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4F8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赋分规则</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86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佐证资料</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C9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17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50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76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526B6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501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10A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A85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484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计划建设项目数量</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FA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0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1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B3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CD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75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4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6E0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DA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74F0">
            <w:pPr>
              <w:jc w:val="center"/>
              <w:rPr>
                <w:rFonts w:hint="eastAsia" w:ascii="宋体" w:hAnsi="宋体" w:eastAsia="宋体" w:cs="宋体"/>
                <w:i w:val="0"/>
                <w:iCs w:val="0"/>
                <w:color w:val="000000"/>
                <w:sz w:val="20"/>
                <w:szCs w:val="20"/>
                <w:u w:val="none"/>
              </w:rPr>
            </w:pPr>
          </w:p>
        </w:tc>
      </w:tr>
      <w:tr w14:paraId="68F9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A89FF">
            <w:pPr>
              <w:rPr>
                <w:rFonts w:hint="eastAsia" w:ascii="宋体" w:hAnsi="宋体" w:eastAsia="宋体" w:cs="宋体"/>
                <w:i w:val="0"/>
                <w:iCs w:val="0"/>
                <w:color w:val="000000"/>
                <w:sz w:val="20"/>
                <w:szCs w:val="20"/>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020D6">
            <w:pPr>
              <w:jc w:val="center"/>
              <w:rPr>
                <w:rFonts w:hint="eastAsia" w:ascii="宋体" w:hAnsi="宋体" w:eastAsia="宋体" w:cs="宋体"/>
                <w:i w:val="0"/>
                <w:iCs w:val="0"/>
                <w:color w:val="000000"/>
                <w:sz w:val="20"/>
                <w:szCs w:val="20"/>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3B849">
            <w:pPr>
              <w:jc w:val="center"/>
              <w:rPr>
                <w:rFonts w:hint="eastAsia" w:ascii="宋体" w:hAnsi="宋体" w:eastAsia="宋体" w:cs="宋体"/>
                <w:i w:val="0"/>
                <w:iCs w:val="0"/>
                <w:color w:val="000000"/>
                <w:sz w:val="20"/>
                <w:szCs w:val="20"/>
                <w:u w:val="none"/>
              </w:rPr>
            </w:pP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A9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项目占地面积</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8A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&gt;=1004亩</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4F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0F4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E9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1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38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17B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=1004亩</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1B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E6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2B006">
            <w:pPr>
              <w:jc w:val="center"/>
              <w:rPr>
                <w:rFonts w:hint="eastAsia" w:ascii="宋体" w:hAnsi="宋体" w:eastAsia="宋体" w:cs="宋体"/>
                <w:i w:val="0"/>
                <w:iCs w:val="0"/>
                <w:color w:val="000000"/>
                <w:sz w:val="20"/>
                <w:szCs w:val="20"/>
                <w:u w:val="none"/>
              </w:rPr>
            </w:pPr>
          </w:p>
        </w:tc>
      </w:tr>
      <w:tr w14:paraId="73CE7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EE9BE">
            <w:pPr>
              <w:rPr>
                <w:rFonts w:hint="eastAsia" w:ascii="宋体" w:hAnsi="宋体" w:eastAsia="宋体" w:cs="宋体"/>
                <w:i w:val="0"/>
                <w:iCs w:val="0"/>
                <w:color w:val="000000"/>
                <w:sz w:val="20"/>
                <w:szCs w:val="20"/>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A179F">
            <w:pPr>
              <w:jc w:val="center"/>
              <w:rPr>
                <w:rFonts w:hint="eastAsia" w:ascii="宋体" w:hAnsi="宋体" w:eastAsia="宋体" w:cs="宋体"/>
                <w:i w:val="0"/>
                <w:iCs w:val="0"/>
                <w:color w:val="000000"/>
                <w:sz w:val="20"/>
                <w:szCs w:val="20"/>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39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92F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项目设计变更率</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24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24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218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20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E5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396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6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A9F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89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EAA34">
            <w:pPr>
              <w:jc w:val="center"/>
              <w:rPr>
                <w:rFonts w:hint="eastAsia" w:ascii="宋体" w:hAnsi="宋体" w:eastAsia="宋体" w:cs="宋体"/>
                <w:i w:val="0"/>
                <w:iCs w:val="0"/>
                <w:color w:val="000000"/>
                <w:sz w:val="20"/>
                <w:szCs w:val="20"/>
                <w:u w:val="none"/>
              </w:rPr>
            </w:pPr>
          </w:p>
        </w:tc>
      </w:tr>
      <w:tr w14:paraId="4773C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AF7B8">
            <w:pPr>
              <w:rPr>
                <w:rFonts w:hint="eastAsia" w:ascii="宋体" w:hAnsi="宋体" w:eastAsia="宋体" w:cs="宋体"/>
                <w:i w:val="0"/>
                <w:iCs w:val="0"/>
                <w:color w:val="000000"/>
                <w:sz w:val="20"/>
                <w:szCs w:val="20"/>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81928">
            <w:pPr>
              <w:jc w:val="center"/>
              <w:rPr>
                <w:rFonts w:hint="eastAsia" w:ascii="宋体" w:hAnsi="宋体" w:eastAsia="宋体" w:cs="宋体"/>
                <w:i w:val="0"/>
                <w:iCs w:val="0"/>
                <w:color w:val="000000"/>
                <w:sz w:val="20"/>
                <w:szCs w:val="20"/>
                <w:u w:val="none"/>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2F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A1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项目计划开工及时率</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06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2A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EF9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D8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CD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41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530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44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111.11%</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14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6FE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偏差原因：指标值在设置指标值时依据预计能完成最低值设置，实际项目开展中项目按照计划开展，实际完成值较高。改进措施：后期在绩效目标编制过程中可采用上年完成值进行预设，尽可能缩小偏差。</w:t>
            </w:r>
          </w:p>
        </w:tc>
      </w:tr>
      <w:tr w14:paraId="00904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2D3DC">
            <w:pPr>
              <w:rPr>
                <w:rFonts w:hint="eastAsia" w:ascii="宋体" w:hAnsi="宋体" w:eastAsia="宋体" w:cs="宋体"/>
                <w:i w:val="0"/>
                <w:iCs w:val="0"/>
                <w:color w:val="000000"/>
                <w:sz w:val="20"/>
                <w:szCs w:val="20"/>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DC861">
            <w:pPr>
              <w:jc w:val="center"/>
              <w:rPr>
                <w:rFonts w:hint="eastAsia" w:ascii="宋体" w:hAnsi="宋体" w:eastAsia="宋体" w:cs="宋体"/>
                <w:i w:val="0"/>
                <w:iCs w:val="0"/>
                <w:color w:val="000000"/>
                <w:sz w:val="20"/>
                <w:szCs w:val="20"/>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3124D">
            <w:pPr>
              <w:jc w:val="center"/>
              <w:rPr>
                <w:rFonts w:hint="eastAsia" w:ascii="宋体" w:hAnsi="宋体" w:eastAsia="宋体" w:cs="宋体"/>
                <w:i w:val="0"/>
                <w:iCs w:val="0"/>
                <w:color w:val="000000"/>
                <w:sz w:val="20"/>
                <w:szCs w:val="20"/>
                <w:u w:val="none"/>
              </w:rPr>
            </w:pPr>
          </w:p>
        </w:tc>
        <w:tc>
          <w:tcPr>
            <w:tcW w:w="2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2E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项目工作计划开始时间</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05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&lt;=10月</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A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65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3D0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9E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C8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6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=7月</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31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F3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01D3">
            <w:pPr>
              <w:jc w:val="center"/>
              <w:rPr>
                <w:rFonts w:hint="eastAsia" w:ascii="宋体" w:hAnsi="宋体" w:eastAsia="宋体" w:cs="宋体"/>
                <w:i w:val="0"/>
                <w:iCs w:val="0"/>
                <w:color w:val="000000"/>
                <w:sz w:val="20"/>
                <w:szCs w:val="20"/>
                <w:u w:val="none"/>
              </w:rPr>
            </w:pPr>
          </w:p>
        </w:tc>
      </w:tr>
      <w:tr w14:paraId="0B4C5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13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6C7C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32F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32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121777">
            <w:pPr>
              <w:jc w:val="center"/>
              <w:rPr>
                <w:rFonts w:hint="eastAsia" w:ascii="宋体" w:hAnsi="宋体" w:eastAsia="宋体" w:cs="宋体"/>
                <w:i w:val="0"/>
                <w:iCs w:val="0"/>
                <w:color w:val="000000"/>
                <w:sz w:val="20"/>
                <w:szCs w:val="20"/>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08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100分</w:t>
            </w:r>
          </w:p>
        </w:tc>
        <w:tc>
          <w:tcPr>
            <w:tcW w:w="2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2136">
            <w:pPr>
              <w:rPr>
                <w:rFonts w:hint="eastAsia" w:ascii="宋体" w:hAnsi="宋体" w:eastAsia="宋体" w:cs="宋体"/>
                <w:i w:val="0"/>
                <w:iCs w:val="0"/>
                <w:color w:val="000000"/>
                <w:sz w:val="20"/>
                <w:szCs w:val="20"/>
                <w:u w:val="none"/>
              </w:rPr>
            </w:pPr>
          </w:p>
        </w:tc>
      </w:tr>
    </w:tbl>
    <w:p w14:paraId="4FDBB94E">
      <w:pPr>
        <w:rPr>
          <w:rFonts w:hint="default" w:ascii="Times New Roman" w:hAnsi="Times New Roman" w:cs="Times New Roman"/>
        </w:rPr>
      </w:pPr>
    </w:p>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9AE5D5-5388-403D-9917-BEA9A498DF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AE8C4B9-AAAE-4609-9F95-7046001B2D67}"/>
  </w:font>
  <w:font w:name="华文中宋">
    <w:panose1 w:val="02010600040101010101"/>
    <w:charset w:val="86"/>
    <w:family w:val="auto"/>
    <w:pitch w:val="default"/>
    <w:sig w:usb0="00000287" w:usb1="080F0000" w:usb2="00000000" w:usb3="00000000" w:csb0="0004009F" w:csb1="DFD70000"/>
    <w:embedRegular r:id="rId3" w:fontKey="{62C668C1-6306-4C39-A2FE-29A3B233823D}"/>
  </w:font>
  <w:font w:name="楷体_GB2312">
    <w:panose1 w:val="02010609030101010101"/>
    <w:charset w:val="86"/>
    <w:family w:val="auto"/>
    <w:pitch w:val="default"/>
    <w:sig w:usb0="00000001" w:usb1="080E0000" w:usb2="00000000" w:usb3="00000000" w:csb0="00040000" w:csb1="00000000"/>
    <w:embedRegular r:id="rId4" w:fontKey="{49004158-E33E-4864-A395-1D7F97C1255D}"/>
  </w:font>
  <w:font w:name="方正仿宋_GBK">
    <w:panose1 w:val="02000000000000000000"/>
    <w:charset w:val="86"/>
    <w:family w:val="auto"/>
    <w:pitch w:val="default"/>
    <w:sig w:usb0="A00002BF" w:usb1="38CF7CFA" w:usb2="00082016" w:usb3="00000000" w:csb0="00040001" w:csb1="00000000"/>
    <w:embedRegular r:id="rId5" w:fontKey="{2EB4D22D-869F-41C4-8719-97E179D2F419}"/>
  </w:font>
  <w:font w:name="楷体">
    <w:panose1 w:val="02010609060101010101"/>
    <w:charset w:val="86"/>
    <w:family w:val="modern"/>
    <w:pitch w:val="default"/>
    <w:sig w:usb0="800002BF" w:usb1="38CF7CFA" w:usb2="00000016" w:usb3="00000000" w:csb0="00040001" w:csb1="00000000"/>
    <w:embedRegular r:id="rId6" w:fontKey="{A6B212E9-CD6B-4890-AE9C-6746A09B78B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794ED4A">
        <w:pPr>
          <w:pStyle w:val="7"/>
          <w:jc w:val="center"/>
        </w:pPr>
        <w:r>
          <w:fldChar w:fldCharType="begin"/>
        </w:r>
        <w:r>
          <w:instrText xml:space="preserve">PAGE   \* MERGEFORMAT</w:instrText>
        </w:r>
        <w:r>
          <w:fldChar w:fldCharType="separate"/>
        </w:r>
        <w:r>
          <w:rPr>
            <w:lang w:val="zh-CN"/>
          </w:rPr>
          <w:t>13</w:t>
        </w:r>
        <w:r>
          <w:fldChar w:fldCharType="end"/>
        </w:r>
      </w:p>
    </w:sdtContent>
  </w:sdt>
  <w:p w14:paraId="1B8C398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1DC1558"/>
    <w:rsid w:val="02510197"/>
    <w:rsid w:val="03EC461B"/>
    <w:rsid w:val="07397B77"/>
    <w:rsid w:val="09E666C9"/>
    <w:rsid w:val="0AD007F3"/>
    <w:rsid w:val="0C8A3CBB"/>
    <w:rsid w:val="0E3C619F"/>
    <w:rsid w:val="0F6273CA"/>
    <w:rsid w:val="100F38EC"/>
    <w:rsid w:val="11170296"/>
    <w:rsid w:val="123A29F6"/>
    <w:rsid w:val="12C66037"/>
    <w:rsid w:val="12CD1ABC"/>
    <w:rsid w:val="13471461"/>
    <w:rsid w:val="13B90F01"/>
    <w:rsid w:val="155E4C4D"/>
    <w:rsid w:val="181066D2"/>
    <w:rsid w:val="19507448"/>
    <w:rsid w:val="1A3441CE"/>
    <w:rsid w:val="1C671E73"/>
    <w:rsid w:val="1D322C47"/>
    <w:rsid w:val="1E0A555D"/>
    <w:rsid w:val="213452F0"/>
    <w:rsid w:val="22C43F3D"/>
    <w:rsid w:val="23616034"/>
    <w:rsid w:val="23696C97"/>
    <w:rsid w:val="23D8556C"/>
    <w:rsid w:val="24480FA2"/>
    <w:rsid w:val="25227A45"/>
    <w:rsid w:val="26AC3A6A"/>
    <w:rsid w:val="299E0B55"/>
    <w:rsid w:val="2B48310F"/>
    <w:rsid w:val="2B9D7E25"/>
    <w:rsid w:val="2C7C7A3B"/>
    <w:rsid w:val="2D68440E"/>
    <w:rsid w:val="2E637B29"/>
    <w:rsid w:val="2F364819"/>
    <w:rsid w:val="2FD63906"/>
    <w:rsid w:val="30583E49"/>
    <w:rsid w:val="353F4BDD"/>
    <w:rsid w:val="37215DAE"/>
    <w:rsid w:val="37F62EDD"/>
    <w:rsid w:val="38BC5614"/>
    <w:rsid w:val="38CA40DD"/>
    <w:rsid w:val="395F2B56"/>
    <w:rsid w:val="39933C03"/>
    <w:rsid w:val="3B482032"/>
    <w:rsid w:val="3BBA0580"/>
    <w:rsid w:val="3BBD1F8F"/>
    <w:rsid w:val="3BECE841"/>
    <w:rsid w:val="3CDE204C"/>
    <w:rsid w:val="3D363C36"/>
    <w:rsid w:val="3E9C3F6D"/>
    <w:rsid w:val="3EDF1B0E"/>
    <w:rsid w:val="3F7F7820"/>
    <w:rsid w:val="3FF7797D"/>
    <w:rsid w:val="425C0359"/>
    <w:rsid w:val="46690BD8"/>
    <w:rsid w:val="47367740"/>
    <w:rsid w:val="49F70BF1"/>
    <w:rsid w:val="4B4340EE"/>
    <w:rsid w:val="503D507A"/>
    <w:rsid w:val="51FA74D0"/>
    <w:rsid w:val="52AA4A52"/>
    <w:rsid w:val="531D0335"/>
    <w:rsid w:val="539D3AD1"/>
    <w:rsid w:val="540E1011"/>
    <w:rsid w:val="59943D66"/>
    <w:rsid w:val="59E051FD"/>
    <w:rsid w:val="59E6355E"/>
    <w:rsid w:val="5A1225D4"/>
    <w:rsid w:val="5A736187"/>
    <w:rsid w:val="5AA21B93"/>
    <w:rsid w:val="5B821531"/>
    <w:rsid w:val="5BFF6039"/>
    <w:rsid w:val="5D1308B5"/>
    <w:rsid w:val="5D76A616"/>
    <w:rsid w:val="5D7F20B9"/>
    <w:rsid w:val="5DAC7D0E"/>
    <w:rsid w:val="5F98B5AF"/>
    <w:rsid w:val="5FFE8511"/>
    <w:rsid w:val="5FFEACE2"/>
    <w:rsid w:val="609D5BF6"/>
    <w:rsid w:val="61073070"/>
    <w:rsid w:val="616D6363"/>
    <w:rsid w:val="61B9080E"/>
    <w:rsid w:val="61DF3FED"/>
    <w:rsid w:val="62316389"/>
    <w:rsid w:val="62606CE8"/>
    <w:rsid w:val="62755297"/>
    <w:rsid w:val="63CE4C8D"/>
    <w:rsid w:val="642B176B"/>
    <w:rsid w:val="643EE26D"/>
    <w:rsid w:val="654A79CF"/>
    <w:rsid w:val="656019A0"/>
    <w:rsid w:val="65F242EE"/>
    <w:rsid w:val="666D7E19"/>
    <w:rsid w:val="673960D1"/>
    <w:rsid w:val="6780008F"/>
    <w:rsid w:val="68376930"/>
    <w:rsid w:val="68F91E38"/>
    <w:rsid w:val="69492530"/>
    <w:rsid w:val="6B3158B9"/>
    <w:rsid w:val="6BA02A3F"/>
    <w:rsid w:val="6C105349"/>
    <w:rsid w:val="6C1E5A53"/>
    <w:rsid w:val="6F5C41AC"/>
    <w:rsid w:val="6FAF6C78"/>
    <w:rsid w:val="716167CC"/>
    <w:rsid w:val="718A7AD1"/>
    <w:rsid w:val="71A31AD0"/>
    <w:rsid w:val="72A44BC2"/>
    <w:rsid w:val="73053C2F"/>
    <w:rsid w:val="7317C656"/>
    <w:rsid w:val="73242E4D"/>
    <w:rsid w:val="734ED73F"/>
    <w:rsid w:val="739A1708"/>
    <w:rsid w:val="73C82B32"/>
    <w:rsid w:val="73F94DAE"/>
    <w:rsid w:val="74220495"/>
    <w:rsid w:val="745B519B"/>
    <w:rsid w:val="747D1B6F"/>
    <w:rsid w:val="749E5641"/>
    <w:rsid w:val="756729C1"/>
    <w:rsid w:val="76271066"/>
    <w:rsid w:val="7698261F"/>
    <w:rsid w:val="76A21419"/>
    <w:rsid w:val="778637D8"/>
    <w:rsid w:val="7795162C"/>
    <w:rsid w:val="77FD8BE9"/>
    <w:rsid w:val="78000AED"/>
    <w:rsid w:val="78036054"/>
    <w:rsid w:val="79A9BD3F"/>
    <w:rsid w:val="7AC5270E"/>
    <w:rsid w:val="7B776F12"/>
    <w:rsid w:val="7BFFFDD0"/>
    <w:rsid w:val="7C336E5F"/>
    <w:rsid w:val="7C8D4919"/>
    <w:rsid w:val="7D7A5F86"/>
    <w:rsid w:val="7E4B683A"/>
    <w:rsid w:val="7E5E656D"/>
    <w:rsid w:val="7E8F2BCB"/>
    <w:rsid w:val="7F37BB4E"/>
    <w:rsid w:val="7F7D603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12632</Words>
  <Characters>13066</Characters>
  <Lines>58</Lines>
  <Paragraphs>16</Paragraphs>
  <TotalTime>124</TotalTime>
  <ScaleCrop>false</ScaleCrop>
  <LinksUpToDate>false</LinksUpToDate>
  <CharactersWithSpaces>13075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Jaynan</cp:lastModifiedBy>
  <cp:lastPrinted>2025-09-25T09:07:00Z</cp:lastPrinted>
  <dcterms:modified xsi:type="dcterms:W3CDTF">2025-09-25T04:43:49Z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9A609557B3E04C42B66EA8AD0F80E448_13</vt:lpwstr>
  </property>
  <property fmtid="{D5CDD505-2E9C-101B-9397-08002B2CF9AE}" pid="4" name="KSOTemplateDocerSaveRecord">
    <vt:lpwstr>eyJoZGlkIjoiOGQzOGI1N2U3NDI0Y2Y4ZjMzZmE4MjM0YTYxYzE2OTYiLCJ1c2VySWQiOiI0MTI0OTExNjEifQ==</vt:lpwstr>
  </property>
</Properties>
</file>