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sz w:val="44"/>
          <w:szCs w:val="44"/>
        </w:rPr>
      </w:pPr>
    </w:p>
    <w:p>
      <w:pPr>
        <w:jc w:val="center"/>
        <w:rPr>
          <w:rFonts w:ascii="方正小标宋_GBK" w:hAnsi="方正小标宋_GBK" w:eastAsia="方正小标宋_GBK"/>
          <w:sz w:val="44"/>
          <w:szCs w:val="44"/>
        </w:rPr>
      </w:pPr>
    </w:p>
    <w:p>
      <w:pPr>
        <w:jc w:val="center"/>
        <w:rPr>
          <w:rFonts w:ascii="方正小标宋_GBK" w:hAnsi="方正小标宋_GBK" w:eastAsia="方正小标宋_GBK"/>
          <w:sz w:val="44"/>
          <w:szCs w:val="44"/>
        </w:rPr>
      </w:pPr>
    </w:p>
    <w:p>
      <w:pPr>
        <w:jc w:val="center"/>
        <w:rPr>
          <w:rFonts w:ascii="方正小标宋_GBK" w:hAnsi="方正小标宋_GBK" w:eastAsia="方正小标宋_GBK"/>
          <w:sz w:val="44"/>
          <w:szCs w:val="44"/>
        </w:rPr>
      </w:pPr>
    </w:p>
    <w:p>
      <w:pPr>
        <w:jc w:val="center"/>
        <w:rPr>
          <w:rFonts w:ascii="方正小标宋_GBK" w:hAnsi="方正小标宋_GBK" w:eastAsia="方正小标宋_GBK"/>
          <w:sz w:val="44"/>
          <w:szCs w:val="44"/>
        </w:rPr>
      </w:pPr>
      <w:r>
        <w:rPr>
          <w:rFonts w:ascii="方正小标宋_GBK" w:hAnsi="方正小标宋_GBK" w:eastAsia="方正小标宋_GBK"/>
          <w:sz w:val="44"/>
          <w:szCs w:val="44"/>
        </w:rPr>
        <w:t>哈密市文化馆2024年度部门决算公开说明</w:t>
      </w:r>
    </w:p>
    <w:p>
      <w:pPr>
        <w:jc w:val="center"/>
        <w:rPr>
          <w:rFonts w:eastAsia="仿宋_GB2312"/>
          <w:kern w:val="0"/>
          <w:sz w:val="32"/>
          <w:szCs w:val="32"/>
        </w:rPr>
      </w:pPr>
      <w:r>
        <w:rPr>
          <w:rFonts w:ascii="方正小标宋_GBK" w:hAnsi="宋体" w:eastAsia="方正小标宋_GBK"/>
          <w:sz w:val="44"/>
          <w:szCs w:val="44"/>
        </w:rPr>
        <w:br w:type="page"/>
      </w:r>
      <w:r>
        <w:rPr>
          <w:rFonts w:eastAsia="仿宋_GB2312"/>
          <w:b/>
          <w:kern w:val="0"/>
          <w:sz w:val="36"/>
          <w:szCs w:val="36"/>
        </w:rPr>
        <w:t>目  录</w:t>
      </w:r>
    </w:p>
    <w:p>
      <w:pPr>
        <w:pStyle w:val="6"/>
        <w:tabs>
          <w:tab w:val="right" w:pos="8306"/>
        </w:tabs>
        <w:rPr>
          <w:rFonts w:eastAsia="仿宋_GB2312"/>
          <w:b/>
          <w:sz w:val="32"/>
          <w:szCs w:val="32"/>
        </w:rPr>
      </w:pPr>
      <w:r>
        <w:rPr>
          <w:rFonts w:eastAsia="仿宋_GB2312"/>
          <w:sz w:val="32"/>
          <w:szCs w:val="32"/>
        </w:rPr>
        <w:fldChar w:fldCharType="begin"/>
      </w:r>
      <w:r>
        <w:rPr>
          <w:rFonts w:eastAsia="仿宋_GB2312"/>
          <w:sz w:val="32"/>
          <w:szCs w:val="32"/>
        </w:rPr>
        <w:instrText xml:space="preserve">TOC \o "1-3" \n \h \u</w:instrText>
      </w:r>
      <w:r>
        <w:rPr>
          <w:rFonts w:eastAsia="仿宋_GB2312"/>
          <w:sz w:val="32"/>
          <w:szCs w:val="32"/>
        </w:rPr>
        <w:fldChar w:fldCharType="separate"/>
      </w:r>
      <w:r>
        <w:fldChar w:fldCharType="begin"/>
      </w:r>
      <w:r>
        <w:instrText xml:space="preserve"> HYPERLINK \l "_Toc32314" </w:instrText>
      </w:r>
      <w:r>
        <w:fldChar w:fldCharType="separate"/>
      </w:r>
      <w:r>
        <w:rPr>
          <w:rFonts w:eastAsia="仿宋_GB2312"/>
          <w:b/>
          <w:sz w:val="32"/>
          <w:szCs w:val="32"/>
        </w:rPr>
        <w:t>第一部分 单位概况</w:t>
      </w:r>
      <w:r>
        <w:rPr>
          <w:rFonts w:eastAsia="仿宋_GB2312"/>
          <w:b/>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"_Toc30567" </w:instrText>
      </w:r>
      <w:r>
        <w:fldChar w:fldCharType="separate"/>
      </w:r>
      <w:r>
        <w:rPr>
          <w:rFonts w:eastAsia="仿宋_GB2312"/>
          <w:kern w:val="0"/>
          <w:sz w:val="32"/>
          <w:szCs w:val="32"/>
        </w:rPr>
        <w:t>一、主要职能</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"_Toc2151" </w:instrText>
      </w:r>
      <w:r>
        <w:fldChar w:fldCharType="separate"/>
      </w:r>
      <w:r>
        <w:rPr>
          <w:rFonts w:eastAsia="仿宋_GB2312"/>
          <w:kern w:val="0"/>
          <w:sz w:val="32"/>
          <w:szCs w:val="32"/>
        </w:rPr>
        <w:t>二、机构设置及人员情况</w:t>
      </w:r>
      <w:r>
        <w:rPr>
          <w:rFonts w:eastAsia="仿宋_GB2312"/>
          <w:kern w:val="0"/>
          <w:sz w:val="32"/>
          <w:szCs w:val="32"/>
        </w:rPr>
        <w:fldChar w:fldCharType="end"/>
      </w:r>
    </w:p>
    <w:p>
      <w:pPr>
        <w:pStyle w:val="6"/>
        <w:tabs>
          <w:tab w:val="right" w:pos="8306"/>
        </w:tabs>
        <w:rPr>
          <w:rFonts w:eastAsia="仿宋_GB2312"/>
          <w:b/>
          <w:sz w:val="32"/>
          <w:szCs w:val="32"/>
        </w:rPr>
      </w:pPr>
      <w:r>
        <w:fldChar w:fldCharType="begin"/>
      </w:r>
      <w:r>
        <w:instrText xml:space="preserve"> HYPERLINK \l "_Toc29374" </w:instrText>
      </w:r>
      <w:r>
        <w:fldChar w:fldCharType="separate"/>
      </w:r>
      <w:r>
        <w:rPr>
          <w:rFonts w:eastAsia="仿宋_GB2312"/>
          <w:b/>
          <w:sz w:val="32"/>
          <w:szCs w:val="32"/>
        </w:rPr>
        <w:t>第二部分 部门决算情况说明</w:t>
      </w:r>
      <w:r>
        <w:rPr>
          <w:rFonts w:eastAsia="仿宋_GB2312"/>
          <w:b/>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"_Toc25314" </w:instrText>
      </w:r>
      <w:r>
        <w:fldChar w:fldCharType="separate"/>
      </w:r>
      <w:r>
        <w:rPr>
          <w:rFonts w:eastAsia="仿宋_GB2312"/>
          <w:kern w:val="0"/>
          <w:sz w:val="32"/>
          <w:szCs w:val="32"/>
        </w:rPr>
        <w:t>一、收入支出决算总体情况说明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"_Toc12142" </w:instrText>
      </w:r>
      <w:r>
        <w:fldChar w:fldCharType="separate"/>
      </w:r>
      <w:r>
        <w:rPr>
          <w:rFonts w:eastAsia="仿宋_GB2312"/>
          <w:kern w:val="0"/>
          <w:sz w:val="32"/>
          <w:szCs w:val="32"/>
        </w:rPr>
        <w:t>二、收入决算情况说明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"_Toc13201" </w:instrText>
      </w:r>
      <w:r>
        <w:fldChar w:fldCharType="separate"/>
      </w:r>
      <w:r>
        <w:rPr>
          <w:rFonts w:eastAsia="仿宋_GB2312"/>
          <w:kern w:val="0"/>
          <w:sz w:val="32"/>
          <w:szCs w:val="32"/>
        </w:rPr>
        <w:t>三、支出决算情况说明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"_Toc26564" </w:instrText>
      </w:r>
      <w:r>
        <w:fldChar w:fldCharType="separate"/>
      </w:r>
      <w:r>
        <w:rPr>
          <w:rFonts w:eastAsia="仿宋_GB2312"/>
          <w:kern w:val="0"/>
          <w:sz w:val="32"/>
          <w:szCs w:val="32"/>
        </w:rPr>
        <w:t>四、财政拨款收入支出决算总体情况说明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"_Toc20360" </w:instrText>
      </w:r>
      <w:r>
        <w:fldChar w:fldCharType="separate"/>
      </w:r>
      <w:r>
        <w:rPr>
          <w:rFonts w:eastAsia="仿宋_GB2312"/>
          <w:kern w:val="0"/>
          <w:sz w:val="32"/>
          <w:szCs w:val="32"/>
        </w:rPr>
        <w:t>五、一般公共预算财政拨款支出决算情况说明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"_Toc20360" </w:instrText>
      </w:r>
      <w:r>
        <w:fldChar w:fldCharType="separate"/>
      </w:r>
      <w:r>
        <w:rPr>
          <w:rFonts w:eastAsia="仿宋_GB2312"/>
          <w:kern w:val="0"/>
          <w:sz w:val="32"/>
          <w:szCs w:val="32"/>
        </w:rPr>
        <w:t>（一）一般公共预算财政拨款支出决算总体情况</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"_Toc20360" </w:instrText>
      </w:r>
      <w:r>
        <w:fldChar w:fldCharType="separate"/>
      </w:r>
      <w:r>
        <w:rPr>
          <w:rFonts w:eastAsia="仿宋_GB2312"/>
          <w:kern w:val="0"/>
          <w:sz w:val="32"/>
          <w:szCs w:val="32"/>
        </w:rPr>
        <w:t>（二）一般公共预算财政拨款支出决算结构情况</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"_Toc20360" </w:instrText>
      </w:r>
      <w:r>
        <w:fldChar w:fldCharType="separate"/>
      </w:r>
      <w:r>
        <w:rPr>
          <w:rFonts w:eastAsia="仿宋_GB2312"/>
          <w:kern w:val="0"/>
          <w:sz w:val="32"/>
          <w:szCs w:val="32"/>
        </w:rPr>
        <w:t>（三）一般公共预算财政拨款支出决算具体情况</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"_Toc30870" </w:instrText>
      </w:r>
      <w:r>
        <w:fldChar w:fldCharType="separate"/>
      </w:r>
      <w:r>
        <w:rPr>
          <w:rFonts w:eastAsia="仿宋_GB2312"/>
          <w:kern w:val="0"/>
          <w:sz w:val="32"/>
          <w:szCs w:val="32"/>
        </w:rPr>
        <w:t>六、一般公共预算财政拨款基本支出决算情况说明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"_Toc5810" </w:instrText>
      </w:r>
      <w:r>
        <w:fldChar w:fldCharType="separate"/>
      </w:r>
      <w:r>
        <w:rPr>
          <w:rFonts w:eastAsia="仿宋_GB2312"/>
          <w:kern w:val="0"/>
          <w:sz w:val="32"/>
          <w:szCs w:val="32"/>
        </w:rPr>
        <w:t>七、政府性基金预算财政拨款收入支出决算情况说明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"_Toc5810" </w:instrText>
      </w:r>
      <w:r>
        <w:fldChar w:fldCharType="separate"/>
      </w:r>
      <w:r>
        <w:rPr>
          <w:rFonts w:eastAsia="仿宋_GB2312"/>
          <w:kern w:val="0"/>
          <w:sz w:val="32"/>
          <w:szCs w:val="32"/>
        </w:rPr>
        <w:t>八、国有资本经营预算财政拨款收入支出决算情况说明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"_Toc21518" </w:instrText>
      </w:r>
      <w:r>
        <w:fldChar w:fldCharType="separate"/>
      </w:r>
      <w:r>
        <w:rPr>
          <w:rFonts w:eastAsia="仿宋_GB2312"/>
          <w:kern w:val="0"/>
          <w:sz w:val="32"/>
          <w:szCs w:val="32"/>
        </w:rPr>
        <w:t>九、财政拨款“三公”经费支出决算情况说明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"_Toc1235" </w:instrText>
      </w:r>
      <w:r>
        <w:fldChar w:fldCharType="separate"/>
      </w:r>
      <w:r>
        <w:rPr>
          <w:rFonts w:eastAsia="仿宋_GB2312"/>
          <w:kern w:val="0"/>
          <w:sz w:val="32"/>
          <w:szCs w:val="32"/>
        </w:rPr>
        <w:t>十、其他重要事项的情况说明</w:t>
      </w:r>
      <w:r>
        <w:rPr>
          <w:rFonts w:eastAsia="仿宋_GB2312"/>
          <w:kern w:val="0"/>
          <w:sz w:val="32"/>
          <w:szCs w:val="32"/>
        </w:rPr>
        <w:fldChar w:fldCharType="end"/>
      </w:r>
    </w:p>
    <w:p>
      <w:pPr>
        <w:pStyle w:val="3"/>
        <w:tabs>
          <w:tab w:val="right" w:pos="8306"/>
        </w:tabs>
        <w:ind w:left="0" w:leftChars="0"/>
        <w:rPr>
          <w:rFonts w:eastAsia="仿宋_GB2312"/>
          <w:sz w:val="32"/>
          <w:szCs w:val="32"/>
        </w:rPr>
      </w:pPr>
      <w:r>
        <w:fldChar w:fldCharType="begin"/>
      </w:r>
      <w:r>
        <w:instrText xml:space="preserve"> HYPERLINK \l "_Toc14519" </w:instrText>
      </w:r>
      <w:r>
        <w:fldChar w:fldCharType="separate"/>
      </w:r>
      <w:r>
        <w:rPr>
          <w:rFonts w:eastAsia="仿宋_GB2312"/>
          <w:sz w:val="32"/>
          <w:szCs w:val="32"/>
        </w:rPr>
        <w:t>（一）机关运行经费及公用经费支出情况</w:t>
      </w:r>
      <w:r>
        <w:rPr>
          <w:rFonts w:eastAsia="仿宋_GB2312"/>
          <w:sz w:val="32"/>
          <w:szCs w:val="32"/>
        </w:rPr>
        <w:fldChar w:fldCharType="end"/>
      </w:r>
    </w:p>
    <w:p>
      <w:pPr>
        <w:pStyle w:val="3"/>
        <w:tabs>
          <w:tab w:val="right" w:pos="8306"/>
        </w:tabs>
        <w:ind w:left="0" w:leftChars="0"/>
        <w:rPr>
          <w:rFonts w:eastAsia="仿宋_GB2312"/>
          <w:sz w:val="32"/>
          <w:szCs w:val="32"/>
        </w:rPr>
      </w:pPr>
      <w:r>
        <w:fldChar w:fldCharType="begin"/>
      </w:r>
      <w:r>
        <w:instrText xml:space="preserve"> HYPERLINK \l "_Toc227" </w:instrText>
      </w:r>
      <w:r>
        <w:fldChar w:fldCharType="separate"/>
      </w:r>
      <w:r>
        <w:rPr>
          <w:rFonts w:eastAsia="仿宋_GB2312"/>
          <w:sz w:val="32"/>
          <w:szCs w:val="32"/>
        </w:rPr>
        <w:t>（二）政府采购情况</w:t>
      </w:r>
      <w:r>
        <w:rPr>
          <w:rFonts w:eastAsia="仿宋_GB2312"/>
          <w:sz w:val="32"/>
          <w:szCs w:val="32"/>
        </w:rPr>
        <w:fldChar w:fldCharType="end"/>
      </w:r>
    </w:p>
    <w:p>
      <w:pPr>
        <w:pStyle w:val="3"/>
        <w:tabs>
          <w:tab w:val="right" w:pos="8306"/>
        </w:tabs>
        <w:ind w:left="0" w:leftChars="0"/>
        <w:rPr>
          <w:rFonts w:eastAsia="仿宋_GB2312"/>
          <w:sz w:val="32"/>
          <w:szCs w:val="32"/>
        </w:rPr>
      </w:pPr>
      <w:r>
        <w:fldChar w:fldCharType="begin"/>
      </w:r>
      <w:r>
        <w:instrText xml:space="preserve"> HYPERLINK \l "_Toc8391" </w:instrText>
      </w:r>
      <w:r>
        <w:fldChar w:fldCharType="separate"/>
      </w:r>
      <w:r>
        <w:rPr>
          <w:rFonts w:eastAsia="仿宋_GB2312"/>
          <w:sz w:val="32"/>
          <w:szCs w:val="32"/>
        </w:rPr>
        <w:t>（三）国有资产占用情况说明</w:t>
      </w:r>
      <w:r>
        <w:rPr>
          <w:rFonts w:eastAsia="仿宋_GB2312"/>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"_Toc11283" </w:instrText>
      </w:r>
      <w:r>
        <w:fldChar w:fldCharType="separate"/>
      </w:r>
      <w:r>
        <w:rPr>
          <w:rFonts w:eastAsia="仿宋_GB2312"/>
          <w:kern w:val="0"/>
          <w:sz w:val="32"/>
          <w:szCs w:val="32"/>
        </w:rPr>
        <w:t>十一、预算绩效的情况说明</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"_Toc11283" </w:instrText>
      </w:r>
      <w:r>
        <w:fldChar w:fldCharType="separate"/>
      </w:r>
      <w:r>
        <w:rPr>
          <w:rFonts w:eastAsia="仿宋_GB2312"/>
          <w:kern w:val="0"/>
          <w:sz w:val="32"/>
          <w:szCs w:val="32"/>
        </w:rPr>
        <w:t>十二、其他需说明的事项</w:t>
      </w:r>
      <w:r>
        <w:rPr>
          <w:rFonts w:eastAsia="仿宋_GB2312"/>
          <w:kern w:val="0"/>
          <w:sz w:val="32"/>
          <w:szCs w:val="32"/>
        </w:rPr>
        <w:fldChar w:fldCharType="end"/>
      </w:r>
    </w:p>
    <w:p>
      <w:pPr>
        <w:pStyle w:val="6"/>
        <w:tabs>
          <w:tab w:val="right" w:pos="8306"/>
        </w:tabs>
        <w:rPr>
          <w:rFonts w:eastAsia="仿宋_GB2312"/>
          <w:b/>
          <w:sz w:val="32"/>
          <w:szCs w:val="32"/>
        </w:rPr>
      </w:pPr>
      <w:r>
        <w:fldChar w:fldCharType="begin"/>
      </w:r>
      <w:r>
        <w:instrText xml:space="preserve"> HYPERLINK \l "_Toc3250" </w:instrText>
      </w:r>
      <w:r>
        <w:fldChar w:fldCharType="separate"/>
      </w:r>
      <w:r>
        <w:rPr>
          <w:rFonts w:eastAsia="仿宋_GB2312"/>
          <w:b/>
          <w:sz w:val="32"/>
          <w:szCs w:val="32"/>
        </w:rPr>
        <w:t>第三部分 专业名词解释</w:t>
      </w:r>
      <w:r>
        <w:rPr>
          <w:rFonts w:eastAsia="仿宋_GB2312"/>
          <w:b/>
          <w:sz w:val="32"/>
          <w:szCs w:val="32"/>
        </w:rPr>
        <w:fldChar w:fldCharType="end"/>
      </w:r>
    </w:p>
    <w:p>
      <w:pPr>
        <w:pStyle w:val="6"/>
        <w:tabs>
          <w:tab w:val="right" w:pos="8306"/>
        </w:tabs>
        <w:rPr>
          <w:rFonts w:eastAsia="仿宋_GB2312"/>
          <w:b/>
          <w:sz w:val="32"/>
          <w:szCs w:val="32"/>
        </w:rPr>
      </w:pPr>
      <w:r>
        <w:fldChar w:fldCharType="begin"/>
      </w:r>
      <w:r>
        <w:instrText xml:space="preserve"> HYPERLINK \l "_Toc3250" </w:instrText>
      </w:r>
      <w:r>
        <w:fldChar w:fldCharType="separate"/>
      </w:r>
      <w:r>
        <w:rPr>
          <w:rFonts w:eastAsia="仿宋_GB2312"/>
          <w:b/>
          <w:sz w:val="32"/>
          <w:szCs w:val="32"/>
        </w:rPr>
        <w:t>第四部分 部门决算报表（见附表）</w:t>
      </w:r>
      <w:r>
        <w:rPr>
          <w:rFonts w:eastAsia="仿宋_GB2312"/>
          <w:b/>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"_Toc2183" </w:instrText>
      </w:r>
      <w:r>
        <w:fldChar w:fldCharType="separate"/>
      </w:r>
      <w:r>
        <w:rPr>
          <w:rFonts w:eastAsia="仿宋_GB2312"/>
          <w:kern w:val="0"/>
          <w:sz w:val="32"/>
          <w:szCs w:val="32"/>
        </w:rPr>
        <w:t>一、《收入支出决算总表》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"_Toc24532" </w:instrText>
      </w:r>
      <w:r>
        <w:fldChar w:fldCharType="separate"/>
      </w:r>
      <w:r>
        <w:rPr>
          <w:rFonts w:eastAsia="仿宋_GB2312"/>
          <w:kern w:val="0"/>
          <w:sz w:val="32"/>
          <w:szCs w:val="32"/>
        </w:rPr>
        <w:t>二、《收入决算表》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"_Toc32434" </w:instrText>
      </w:r>
      <w:r>
        <w:fldChar w:fldCharType="separate"/>
      </w:r>
      <w:r>
        <w:rPr>
          <w:rFonts w:eastAsia="仿宋_GB2312"/>
          <w:kern w:val="0"/>
          <w:sz w:val="32"/>
          <w:szCs w:val="32"/>
        </w:rPr>
        <w:t>三、《支出决算表》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"_Toc28786" </w:instrText>
      </w:r>
      <w:r>
        <w:fldChar w:fldCharType="separate"/>
      </w:r>
      <w:r>
        <w:rPr>
          <w:rFonts w:eastAsia="仿宋_GB2312"/>
          <w:kern w:val="0"/>
          <w:sz w:val="32"/>
          <w:szCs w:val="32"/>
        </w:rPr>
        <w:t>四、《财政拨款收入支出决算总表》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"_Toc14869" </w:instrText>
      </w:r>
      <w:r>
        <w:fldChar w:fldCharType="separate"/>
      </w:r>
      <w:r>
        <w:rPr>
          <w:rFonts w:eastAsia="仿宋_GB2312"/>
          <w:kern w:val="0"/>
          <w:sz w:val="32"/>
          <w:szCs w:val="32"/>
        </w:rPr>
        <w:t>五、《一般公共预算财政拨款支出决算表》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"_Toc8884" </w:instrText>
      </w:r>
      <w:r>
        <w:fldChar w:fldCharType="separate"/>
      </w:r>
      <w:r>
        <w:rPr>
          <w:rFonts w:eastAsia="仿宋_GB2312"/>
          <w:kern w:val="0"/>
          <w:sz w:val="32"/>
          <w:szCs w:val="32"/>
        </w:rPr>
        <w:t>六、《一般公共预算财政拨款基本支出决算表》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"_Toc7643" </w:instrText>
      </w:r>
      <w:r>
        <w:fldChar w:fldCharType="separate"/>
      </w:r>
      <w:r>
        <w:rPr>
          <w:rFonts w:eastAsia="仿宋_GB2312"/>
          <w:kern w:val="0"/>
          <w:sz w:val="32"/>
          <w:szCs w:val="32"/>
        </w:rPr>
        <w:t>七、《政府性基金预算财政拨款收入支出决算表》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"_Toc7643" </w:instrText>
      </w:r>
      <w:r>
        <w:fldChar w:fldCharType="separate"/>
      </w:r>
      <w:r>
        <w:rPr>
          <w:rFonts w:eastAsia="仿宋_GB2312"/>
          <w:kern w:val="0"/>
          <w:sz w:val="32"/>
          <w:szCs w:val="32"/>
        </w:rPr>
        <w:t>八、《国有资本经营预算财政拨款收入支出决算表》</w:t>
      </w:r>
      <w:r>
        <w:rPr>
          <w:rFonts w:eastAsia="仿宋_GB2312"/>
          <w:kern w:val="0"/>
          <w:sz w:val="32"/>
          <w:szCs w:val="32"/>
        </w:rPr>
        <w:fldChar w:fldCharType="end"/>
      </w:r>
    </w:p>
    <w:p>
      <w:pPr>
        <w:pStyle w:val="7"/>
        <w:tabs>
          <w:tab w:val="right" w:pos="8306"/>
        </w:tabs>
        <w:ind w:left="0" w:leftChars="0"/>
        <w:rPr>
          <w:rFonts w:eastAsia="仿宋_GB2312"/>
          <w:sz w:val="32"/>
          <w:szCs w:val="32"/>
        </w:rPr>
      </w:pPr>
      <w:r>
        <w:fldChar w:fldCharType="begin"/>
      </w:r>
      <w:r>
        <w:instrText xml:space="preserve"> HYPERLINK \l "_Toc29106" </w:instrText>
      </w:r>
      <w:r>
        <w:fldChar w:fldCharType="separate"/>
      </w:r>
      <w:r>
        <w:rPr>
          <w:rFonts w:eastAsia="仿宋_GB2312"/>
          <w:kern w:val="0"/>
          <w:sz w:val="32"/>
          <w:szCs w:val="32"/>
        </w:rPr>
        <w:t>九、《财政拨款“三公”经费支出决算表》</w:t>
      </w:r>
      <w:r>
        <w:rPr>
          <w:rFonts w:eastAsia="仿宋_GB2312"/>
          <w:kern w:val="0"/>
          <w:sz w:val="32"/>
          <w:szCs w:val="32"/>
        </w:rPr>
        <w:fldChar w:fldCharType="end"/>
      </w:r>
    </w:p>
    <w:p>
      <w:r>
        <w:rPr>
          <w:rFonts w:eastAsia="仿宋_GB2312"/>
          <w:sz w:val="32"/>
          <w:szCs w:val="32"/>
        </w:rPr>
        <w:fldChar w:fldCharType="end"/>
      </w:r>
    </w:p>
    <w:p>
      <w:pPr>
        <w:ind w:firstLine="640" w:firstLineChars="200"/>
        <w:jc w:val="center"/>
        <w:outlineLvl w:val="0"/>
        <w:rPr>
          <w:rFonts w:ascii="黑体" w:hAnsi="黑体" w:eastAsia="黑体"/>
          <w:sz w:val="32"/>
          <w:szCs w:val="32"/>
        </w:rPr>
      </w:pPr>
      <w:r>
        <w:rPr>
          <w:rFonts w:eastAsia="仿宋_GB2312"/>
          <w:sz w:val="32"/>
          <w:szCs w:val="32"/>
        </w:rPr>
        <w:br w:type="page"/>
      </w:r>
      <w:bookmarkStart w:id="0" w:name="_Toc32314"/>
      <w:bookmarkStart w:id="1" w:name="_Toc24028"/>
      <w:r>
        <w:rPr>
          <w:rFonts w:ascii="黑体" w:hAnsi="黑体" w:eastAsia="黑体"/>
          <w:sz w:val="32"/>
          <w:szCs w:val="32"/>
        </w:rPr>
        <w:t>第一部分 单位概况</w:t>
      </w:r>
      <w:bookmarkEnd w:id="0"/>
      <w:bookmarkEnd w:id="1"/>
    </w:p>
    <w:p>
      <w:pPr>
        <w:ind w:firstLine="640" w:firstLineChars="200"/>
        <w:outlineLvl w:val="1"/>
        <w:rPr>
          <w:rFonts w:ascii="黑体" w:hAnsi="黑体" w:eastAsia="黑体" w:cs="宋体"/>
          <w:kern w:val="0"/>
          <w:sz w:val="32"/>
          <w:szCs w:val="32"/>
        </w:rPr>
      </w:pPr>
      <w:bookmarkStart w:id="2" w:name="_Toc30567"/>
      <w:bookmarkStart w:id="3" w:name="_Toc30738"/>
      <w:r>
        <w:rPr>
          <w:rFonts w:ascii="黑体" w:hAnsi="黑体" w:eastAsia="黑体" w:cs="宋体"/>
          <w:kern w:val="0"/>
          <w:sz w:val="32"/>
          <w:szCs w:val="32"/>
        </w:rPr>
        <w:t>一、主要职能</w:t>
      </w:r>
      <w:bookmarkEnd w:id="2"/>
      <w:bookmarkEnd w:id="3"/>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一</w:t>
      </w:r>
      <w:r>
        <w:rPr>
          <w:rFonts w:hint="eastAsia" w:eastAsia="仿宋_GB2312"/>
          <w:sz w:val="32"/>
          <w:szCs w:val="32"/>
        </w:rPr>
        <w:t>）</w:t>
      </w:r>
      <w:r>
        <w:rPr>
          <w:rFonts w:eastAsia="仿宋_GB2312"/>
          <w:sz w:val="32"/>
          <w:szCs w:val="32"/>
        </w:rPr>
        <w:t>面向社会</w:t>
      </w:r>
      <w:r>
        <w:rPr>
          <w:rFonts w:hint="eastAsia" w:eastAsia="仿宋_GB2312"/>
          <w:sz w:val="32"/>
          <w:szCs w:val="32"/>
        </w:rPr>
        <w:t>、</w:t>
      </w:r>
      <w:r>
        <w:rPr>
          <w:rFonts w:eastAsia="仿宋_GB2312"/>
          <w:sz w:val="32"/>
          <w:szCs w:val="32"/>
        </w:rPr>
        <w:t>面向基层</w:t>
      </w:r>
      <w:r>
        <w:rPr>
          <w:rFonts w:hint="eastAsia" w:eastAsia="仿宋_GB2312"/>
          <w:sz w:val="32"/>
          <w:szCs w:val="32"/>
        </w:rPr>
        <w:t>、</w:t>
      </w:r>
      <w:r>
        <w:rPr>
          <w:rFonts w:eastAsia="仿宋_GB2312"/>
          <w:sz w:val="32"/>
          <w:szCs w:val="32"/>
        </w:rPr>
        <w:t>面向广大农村牧区，进行组织策划</w:t>
      </w:r>
      <w:r>
        <w:rPr>
          <w:rFonts w:hint="eastAsia" w:eastAsia="仿宋_GB2312"/>
          <w:sz w:val="32"/>
          <w:szCs w:val="32"/>
        </w:rPr>
        <w:t>、</w:t>
      </w:r>
      <w:r>
        <w:rPr>
          <w:rFonts w:eastAsia="仿宋_GB2312"/>
          <w:sz w:val="32"/>
          <w:szCs w:val="32"/>
        </w:rPr>
        <w:t>辅导</w:t>
      </w:r>
      <w:r>
        <w:rPr>
          <w:rFonts w:hint="eastAsia" w:eastAsia="仿宋_GB2312"/>
          <w:sz w:val="32"/>
          <w:szCs w:val="32"/>
        </w:rPr>
        <w:t>、</w:t>
      </w:r>
      <w:r>
        <w:rPr>
          <w:rFonts w:eastAsia="仿宋_GB2312"/>
          <w:sz w:val="32"/>
          <w:szCs w:val="32"/>
        </w:rPr>
        <w:t>培训群众文化活动。</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二</w:t>
      </w:r>
      <w:r>
        <w:rPr>
          <w:rFonts w:hint="eastAsia" w:eastAsia="仿宋_GB2312"/>
          <w:sz w:val="32"/>
          <w:szCs w:val="32"/>
        </w:rPr>
        <w:t>）</w:t>
      </w:r>
      <w:r>
        <w:rPr>
          <w:rFonts w:eastAsia="仿宋_GB2312"/>
          <w:sz w:val="32"/>
          <w:szCs w:val="32"/>
        </w:rPr>
        <w:t>收集、整理和</w:t>
      </w:r>
      <w:r>
        <w:rPr>
          <w:rFonts w:hint="eastAsia" w:eastAsia="仿宋_GB2312"/>
          <w:sz w:val="32"/>
          <w:szCs w:val="32"/>
        </w:rPr>
        <w:t>挖掘</w:t>
      </w:r>
      <w:r>
        <w:rPr>
          <w:rFonts w:eastAsia="仿宋_GB2312"/>
          <w:sz w:val="32"/>
          <w:szCs w:val="32"/>
        </w:rPr>
        <w:t>民间文化艺术</w:t>
      </w:r>
      <w:r>
        <w:rPr>
          <w:rFonts w:hint="eastAsia" w:eastAsia="仿宋_GB2312"/>
          <w:sz w:val="32"/>
          <w:szCs w:val="32"/>
        </w:rPr>
        <w:t>；</w:t>
      </w:r>
      <w:r>
        <w:rPr>
          <w:rFonts w:eastAsia="仿宋_GB2312"/>
          <w:sz w:val="32"/>
          <w:szCs w:val="32"/>
        </w:rPr>
        <w:t>广泛开展各类群众文化文艺展演活动，向人民群众进行爱国主义</w:t>
      </w:r>
      <w:r>
        <w:rPr>
          <w:rFonts w:hint="eastAsia" w:eastAsia="仿宋_GB2312"/>
          <w:sz w:val="32"/>
          <w:szCs w:val="32"/>
          <w:lang w:eastAsia="zh-CN"/>
        </w:rPr>
        <w:t>、</w:t>
      </w:r>
      <w:r>
        <w:rPr>
          <w:rFonts w:eastAsia="仿宋_GB2312"/>
          <w:sz w:val="32"/>
          <w:szCs w:val="32"/>
        </w:rPr>
        <w:t>集体主义和</w:t>
      </w:r>
      <w:r>
        <w:rPr>
          <w:rFonts w:hint="eastAsia" w:eastAsia="仿宋_GB2312"/>
          <w:sz w:val="32"/>
          <w:szCs w:val="32"/>
        </w:rPr>
        <w:t>社会</w:t>
      </w:r>
      <w:r>
        <w:rPr>
          <w:rFonts w:eastAsia="仿宋_GB2312"/>
          <w:sz w:val="32"/>
          <w:szCs w:val="32"/>
        </w:rPr>
        <w:t>主义教育，宣传党的路线、方针、政策。</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三</w:t>
      </w:r>
      <w:r>
        <w:rPr>
          <w:rFonts w:hint="eastAsia" w:eastAsia="仿宋_GB2312"/>
          <w:sz w:val="32"/>
          <w:szCs w:val="32"/>
        </w:rPr>
        <w:t>）</w:t>
      </w:r>
      <w:r>
        <w:rPr>
          <w:rFonts w:eastAsia="仿宋_GB2312"/>
          <w:sz w:val="32"/>
          <w:szCs w:val="32"/>
        </w:rPr>
        <w:t>传播科学文化知识，通过读书、阅报、举办各类艺术展览及各类艺术讲习班、培训班、辅导班等活动以满足广大人民群众的精神文化需求。</w:t>
      </w:r>
    </w:p>
    <w:p>
      <w:pPr>
        <w:ind w:firstLine="640" w:firstLineChars="200"/>
        <w:outlineLvl w:val="1"/>
        <w:rPr>
          <w:rFonts w:ascii="黑体" w:hAnsi="黑体" w:eastAsia="黑体" w:cs="宋体"/>
          <w:kern w:val="0"/>
          <w:sz w:val="32"/>
          <w:szCs w:val="32"/>
        </w:rPr>
      </w:pPr>
      <w:bookmarkStart w:id="4" w:name="_Toc31238"/>
      <w:bookmarkStart w:id="5" w:name="_Toc2151"/>
      <w:r>
        <w:rPr>
          <w:rFonts w:ascii="黑体" w:hAnsi="黑体" w:eastAsia="黑体" w:cs="宋体"/>
          <w:kern w:val="0"/>
          <w:sz w:val="32"/>
          <w:szCs w:val="32"/>
        </w:rPr>
        <w:t>二、机构设置及</w:t>
      </w:r>
      <w:bookmarkEnd w:id="4"/>
      <w:r>
        <w:rPr>
          <w:rFonts w:ascii="黑体" w:hAnsi="黑体" w:eastAsia="黑体" w:cs="宋体"/>
          <w:kern w:val="0"/>
          <w:sz w:val="32"/>
          <w:szCs w:val="32"/>
        </w:rPr>
        <w:t>人员情况</w:t>
      </w:r>
      <w:bookmarkEnd w:id="5"/>
    </w:p>
    <w:p>
      <w:pPr>
        <w:ind w:firstLine="640" w:firstLineChars="200"/>
        <w:rPr>
          <w:rFonts w:eastAsia="仿宋_GB2312"/>
          <w:sz w:val="32"/>
          <w:szCs w:val="32"/>
        </w:rPr>
      </w:pPr>
      <w:r>
        <w:rPr>
          <w:rFonts w:eastAsia="仿宋_GB2312"/>
          <w:sz w:val="32"/>
          <w:szCs w:val="32"/>
        </w:rPr>
        <w:t>哈密市文化馆2024年度，实有人数15人，其中：在职人员7人，减少0人；离休人员0人，减少0人；退休人员8人，减少0人。</w:t>
      </w:r>
    </w:p>
    <w:p>
      <w:pPr>
        <w:ind w:firstLine="640" w:firstLineChars="200"/>
        <w:rPr>
          <w:rFonts w:eastAsia="仿宋_GB2312"/>
          <w:sz w:val="32"/>
          <w:szCs w:val="32"/>
        </w:rPr>
      </w:pPr>
      <w:r>
        <w:rPr>
          <w:rFonts w:eastAsia="仿宋_GB2312"/>
          <w:sz w:val="32"/>
          <w:szCs w:val="32"/>
        </w:rPr>
        <w:t>单位无下属预算单位，下设3个处室，分别是：艺术部门、办公室、非遗部门。</w:t>
      </w:r>
    </w:p>
    <w:p>
      <w:pPr>
        <w:ind w:firstLine="562" w:firstLineChars="200"/>
        <w:jc w:val="center"/>
        <w:outlineLvl w:val="0"/>
        <w:rPr>
          <w:rFonts w:ascii="黑体" w:hAnsi="黑体" w:eastAsia="黑体"/>
          <w:sz w:val="32"/>
          <w:szCs w:val="32"/>
        </w:rPr>
      </w:pPr>
      <w:bookmarkStart w:id="6" w:name="_Toc3092"/>
      <w:bookmarkStart w:id="7" w:name="_Toc29374"/>
      <w:r>
        <w:rPr>
          <w:rFonts w:ascii="黑体"/>
          <w:b/>
          <w:kern w:val="44"/>
          <w:sz w:val="28"/>
        </w:rPr>
        <w:br w:type="page"/>
      </w:r>
      <w:r>
        <w:rPr>
          <w:rFonts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kern w:val="0"/>
          <w:sz w:val="32"/>
          <w:szCs w:val="32"/>
        </w:rPr>
      </w:pPr>
      <w:bookmarkStart w:id="8" w:name="_Toc12566"/>
      <w:bookmarkStart w:id="9" w:name="_Toc25314"/>
      <w:r>
        <w:rPr>
          <w:rFonts w:ascii="黑体" w:hAnsi="黑体" w:eastAsia="黑体" w:cs="宋体"/>
          <w:kern w:val="0"/>
          <w:sz w:val="32"/>
          <w:szCs w:val="32"/>
        </w:rPr>
        <w:t>一、收入支出决算总体情况说明</w:t>
      </w:r>
      <w:bookmarkEnd w:id="8"/>
      <w:bookmarkEnd w:id="9"/>
    </w:p>
    <w:p>
      <w:pPr>
        <w:ind w:firstLine="640" w:firstLineChars="200"/>
        <w:rPr>
          <w:rFonts w:eastAsia="仿宋_GB2312"/>
          <w:sz w:val="32"/>
          <w:szCs w:val="32"/>
        </w:rPr>
      </w:pPr>
      <w:r>
        <w:rPr>
          <w:rFonts w:eastAsia="仿宋_GB2312"/>
          <w:sz w:val="32"/>
          <w:szCs w:val="32"/>
        </w:rPr>
        <w:t>2024年度收入总计1,973.15万元，其中：本年收入合计1,962.49万元，使用非财政拨款结余（含专用结余）0.00万元，年初结转和结余10.66万元。</w:t>
      </w:r>
    </w:p>
    <w:p>
      <w:pPr>
        <w:ind w:firstLine="640" w:firstLineChars="200"/>
        <w:rPr>
          <w:rFonts w:eastAsia="仿宋_GB2312"/>
          <w:sz w:val="32"/>
          <w:szCs w:val="32"/>
        </w:rPr>
      </w:pPr>
      <w:r>
        <w:rPr>
          <w:rFonts w:eastAsia="仿宋_GB2312"/>
          <w:sz w:val="32"/>
          <w:szCs w:val="32"/>
        </w:rPr>
        <w:t>2024年度支出总计1,973.15万元，其中：本年支出合计1,934.79万元，结余分配0.00万元，年末结转和结余38.36万元。</w:t>
      </w:r>
    </w:p>
    <w:p>
      <w:pPr>
        <w:ind w:firstLine="640" w:firstLineChars="200"/>
        <w:rPr>
          <w:rFonts w:eastAsia="仿宋_GB2312"/>
          <w:sz w:val="32"/>
          <w:szCs w:val="32"/>
        </w:rPr>
      </w:pPr>
      <w:r>
        <w:rPr>
          <w:rFonts w:eastAsia="仿宋_GB2312"/>
          <w:sz w:val="32"/>
          <w:szCs w:val="32"/>
        </w:rPr>
        <w:t>收入支出总体与上年相比，减少336.02万元，下降14.55%，主要原因是：本年减少哈密市文化馆建设、</w:t>
      </w:r>
      <w:r>
        <w:rPr>
          <w:rFonts w:hint="eastAsia" w:eastAsia="仿宋_GB2312"/>
          <w:sz w:val="32"/>
          <w:szCs w:val="32"/>
        </w:rPr>
        <w:t>哈密市文化馆建筑工程质量检测</w:t>
      </w:r>
      <w:r>
        <w:rPr>
          <w:rFonts w:eastAsia="仿宋_GB2312"/>
          <w:sz w:val="32"/>
          <w:szCs w:val="32"/>
        </w:rPr>
        <w:t>、</w:t>
      </w:r>
      <w:r>
        <w:rPr>
          <w:rFonts w:hint="eastAsia" w:eastAsia="仿宋_GB2312"/>
          <w:sz w:val="32"/>
          <w:szCs w:val="32"/>
        </w:rPr>
        <w:t>中央补助地方公共文化服务体系建设</w:t>
      </w:r>
      <w:r>
        <w:rPr>
          <w:rFonts w:eastAsia="仿宋_GB2312"/>
          <w:sz w:val="32"/>
          <w:szCs w:val="32"/>
        </w:rPr>
        <w:t>等项目资金，因此收入支出总体与上年相比减少。</w:t>
      </w:r>
    </w:p>
    <w:p>
      <w:pPr>
        <w:ind w:firstLine="640" w:firstLineChars="200"/>
        <w:outlineLvl w:val="1"/>
        <w:rPr>
          <w:rFonts w:ascii="黑体" w:hAnsi="黑体" w:eastAsia="黑体" w:cs="宋体"/>
          <w:kern w:val="0"/>
          <w:sz w:val="32"/>
          <w:szCs w:val="32"/>
        </w:rPr>
      </w:pPr>
      <w:bookmarkStart w:id="10" w:name="_Toc1979"/>
      <w:bookmarkStart w:id="11" w:name="_Toc12142"/>
      <w:r>
        <w:rPr>
          <w:rFonts w:ascii="黑体" w:hAnsi="黑体" w:eastAsia="黑体" w:cs="宋体"/>
          <w:kern w:val="0"/>
          <w:sz w:val="32"/>
          <w:szCs w:val="32"/>
        </w:rPr>
        <w:t>二、收入决算情况说明</w:t>
      </w:r>
      <w:bookmarkEnd w:id="10"/>
      <w:bookmarkEnd w:id="11"/>
    </w:p>
    <w:p>
      <w:pPr>
        <w:ind w:firstLine="640" w:firstLineChars="200"/>
        <w:rPr>
          <w:rFonts w:eastAsia="仿宋_GB2312"/>
          <w:sz w:val="32"/>
          <w:szCs w:val="32"/>
        </w:rPr>
      </w:pPr>
      <w:r>
        <w:rPr>
          <w:rFonts w:eastAsia="仿宋_GB2312"/>
          <w:sz w:val="32"/>
          <w:szCs w:val="32"/>
        </w:rPr>
        <w:t>本年收入1,962.49万元，其中：财政拨款收入1,845.12万元，占94.02%</w:t>
      </w:r>
      <w:r>
        <w:rPr>
          <w:rFonts w:hint="eastAsia" w:eastAsia="仿宋_GB2312"/>
          <w:sz w:val="32"/>
          <w:szCs w:val="32"/>
          <w:lang w:eastAsia="zh-CN"/>
        </w:rPr>
        <w:t>；</w:t>
      </w:r>
      <w:r>
        <w:rPr>
          <w:rFonts w:eastAsia="仿宋_GB2312"/>
          <w:sz w:val="32"/>
          <w:szCs w:val="32"/>
        </w:rPr>
        <w:t>上级补助收入0.00万元，占0.00%；事业收入0.00万元，占0.00%；经营收入0.00万元，占0.00%；附属单位上缴收入0.00万元，占0.00%；其他收入117.37万元，占5.98%。</w:t>
      </w:r>
    </w:p>
    <w:p>
      <w:pPr>
        <w:ind w:firstLine="640" w:firstLineChars="200"/>
        <w:outlineLvl w:val="1"/>
        <w:rPr>
          <w:rFonts w:ascii="黑体" w:hAnsi="黑体" w:eastAsia="黑体" w:cs="宋体"/>
          <w:kern w:val="0"/>
          <w:sz w:val="32"/>
          <w:szCs w:val="32"/>
        </w:rPr>
      </w:pPr>
      <w:bookmarkStart w:id="12" w:name="_Toc13201"/>
      <w:bookmarkStart w:id="13" w:name="_Toc27961"/>
      <w:r>
        <w:rPr>
          <w:rFonts w:ascii="黑体" w:hAnsi="黑体" w:eastAsia="黑体" w:cs="宋体"/>
          <w:kern w:val="0"/>
          <w:sz w:val="32"/>
          <w:szCs w:val="32"/>
        </w:rPr>
        <w:t>三、支出决算情况说明</w:t>
      </w:r>
      <w:bookmarkEnd w:id="12"/>
      <w:bookmarkEnd w:id="13"/>
    </w:p>
    <w:p>
      <w:pPr>
        <w:ind w:firstLine="640" w:firstLineChars="200"/>
        <w:rPr>
          <w:rFonts w:eastAsia="仿宋_GB2312"/>
          <w:sz w:val="32"/>
          <w:szCs w:val="32"/>
        </w:rPr>
      </w:pPr>
      <w:r>
        <w:rPr>
          <w:rFonts w:eastAsia="仿宋_GB2312"/>
          <w:sz w:val="32"/>
          <w:szCs w:val="32"/>
        </w:rPr>
        <w:t>本年支出1,934.79万元，其中：基本支出166.73万元，占8.62%；项目支出1,768.06万元，占91.38%；上缴上级支出0.00万元，占0.00%；经营支出0.00万元，占0.00%；对附属单位补助支出0.00万元，占0.00%。</w:t>
      </w:r>
    </w:p>
    <w:p>
      <w:pPr>
        <w:ind w:firstLine="640" w:firstLineChars="200"/>
        <w:outlineLvl w:val="1"/>
        <w:rPr>
          <w:rFonts w:ascii="黑体" w:hAnsi="黑体" w:eastAsia="黑体" w:cs="宋体"/>
          <w:kern w:val="0"/>
          <w:sz w:val="32"/>
          <w:szCs w:val="32"/>
        </w:rPr>
      </w:pPr>
      <w:bookmarkStart w:id="14" w:name="_Toc26564"/>
      <w:bookmarkStart w:id="15" w:name="_Toc4393"/>
      <w:r>
        <w:rPr>
          <w:rFonts w:ascii="黑体" w:hAnsi="黑体" w:eastAsia="黑体" w:cs="宋体"/>
          <w:kern w:val="0"/>
          <w:sz w:val="32"/>
          <w:szCs w:val="32"/>
        </w:rPr>
        <w:t>四、财政拨款收入支出决算总体情况说明</w:t>
      </w:r>
      <w:bookmarkEnd w:id="14"/>
      <w:bookmarkEnd w:id="15"/>
    </w:p>
    <w:p>
      <w:pPr>
        <w:ind w:firstLine="640" w:firstLineChars="200"/>
        <w:rPr>
          <w:rFonts w:eastAsia="仿宋_GB2312"/>
          <w:sz w:val="32"/>
          <w:szCs w:val="32"/>
        </w:rPr>
      </w:pPr>
      <w:r>
        <w:rPr>
          <w:rFonts w:eastAsia="仿宋_GB2312"/>
          <w:sz w:val="32"/>
          <w:szCs w:val="32"/>
        </w:rPr>
        <w:t>2024年度财政拨款收入总计1,854.92万元，其中：年初财政拨款结转和结余9.80万元，本年财政拨款收入1,845.12万元。财政拨款支出总计1,854.92万元，其中：年末财政拨款结转和结余8.51万元，本年财政拨款支出1,846.41万元。</w:t>
      </w:r>
    </w:p>
    <w:p>
      <w:pPr>
        <w:ind w:firstLine="640" w:firstLineChars="200"/>
        <w:rPr>
          <w:rFonts w:eastAsia="仿宋_GB2312"/>
          <w:sz w:val="32"/>
          <w:szCs w:val="32"/>
        </w:rPr>
      </w:pPr>
      <w:r>
        <w:rPr>
          <w:rFonts w:eastAsia="仿宋_GB2312"/>
          <w:sz w:val="32"/>
          <w:szCs w:val="32"/>
        </w:rPr>
        <w:t>财政拨款收入支出总体与上年相比，减少367.41万元，下降16.53%，主要原因是：</w:t>
      </w:r>
      <w:r>
        <w:rPr>
          <w:rFonts w:hint="eastAsia" w:eastAsia="仿宋_GB2312"/>
          <w:sz w:val="32"/>
          <w:szCs w:val="32"/>
        </w:rPr>
        <w:t>文化馆</w:t>
      </w:r>
      <w:r>
        <w:rPr>
          <w:rFonts w:eastAsia="仿宋_GB2312"/>
          <w:sz w:val="32"/>
          <w:szCs w:val="32"/>
        </w:rPr>
        <w:t>本年减少哈密市文化馆建设、</w:t>
      </w:r>
      <w:r>
        <w:rPr>
          <w:rFonts w:hint="eastAsia" w:eastAsia="仿宋_GB2312"/>
          <w:sz w:val="32"/>
          <w:szCs w:val="32"/>
        </w:rPr>
        <w:t>哈密市文化馆建筑工程质量检测</w:t>
      </w:r>
      <w:r>
        <w:rPr>
          <w:rFonts w:eastAsia="仿宋_GB2312"/>
          <w:sz w:val="32"/>
          <w:szCs w:val="32"/>
        </w:rPr>
        <w:t>、</w:t>
      </w:r>
      <w:r>
        <w:rPr>
          <w:rFonts w:hint="eastAsia" w:eastAsia="仿宋_GB2312"/>
          <w:sz w:val="32"/>
          <w:szCs w:val="32"/>
        </w:rPr>
        <w:t>中央补助地方公共文化服务体系建设</w:t>
      </w:r>
      <w:r>
        <w:rPr>
          <w:rFonts w:eastAsia="仿宋_GB2312"/>
          <w:sz w:val="32"/>
          <w:szCs w:val="32"/>
        </w:rPr>
        <w:t>等项目资金，因此财政拨款收入支出总体与上年相比减少。与年初预算相比，年初预算数1,645.24万元，决算数1,854.92万元，预决算差异率12.74%，主要原因是：</w:t>
      </w:r>
      <w:r>
        <w:rPr>
          <w:rFonts w:hint="eastAsia" w:eastAsia="仿宋_GB2312"/>
          <w:sz w:val="32"/>
          <w:szCs w:val="32"/>
        </w:rPr>
        <w:t>文化馆</w:t>
      </w:r>
      <w:r>
        <w:rPr>
          <w:rFonts w:eastAsia="仿宋_GB2312"/>
          <w:sz w:val="32"/>
          <w:szCs w:val="32"/>
        </w:rPr>
        <w:t>本年项目安排增加，年中追加</w:t>
      </w:r>
      <w:r>
        <w:rPr>
          <w:rFonts w:hint="eastAsia" w:eastAsia="仿宋_GB2312"/>
          <w:sz w:val="32"/>
          <w:szCs w:val="32"/>
        </w:rPr>
        <w:t>哈密传习所工</w:t>
      </w:r>
      <w:r>
        <w:rPr>
          <w:rFonts w:eastAsia="仿宋_GB2312"/>
          <w:sz w:val="32"/>
          <w:szCs w:val="32"/>
        </w:rPr>
        <w:t>程、中央补助地方公共文化服务体系建设等项目预算，因此预决算相比产生差异。</w:t>
      </w:r>
    </w:p>
    <w:p>
      <w:pPr>
        <w:ind w:firstLine="640" w:firstLineChars="200"/>
        <w:outlineLvl w:val="1"/>
        <w:rPr>
          <w:rFonts w:ascii="黑体" w:hAnsi="黑体" w:eastAsia="黑体" w:cs="宋体"/>
          <w:kern w:val="0"/>
          <w:sz w:val="32"/>
          <w:szCs w:val="32"/>
        </w:rPr>
      </w:pPr>
      <w:bookmarkStart w:id="16" w:name="_Toc13833"/>
      <w:bookmarkStart w:id="17" w:name="_Toc20360"/>
      <w:r>
        <w:rPr>
          <w:rFonts w:ascii="黑体" w:hAnsi="黑体" w:eastAsia="黑体" w:cs="宋体"/>
          <w:kern w:val="0"/>
          <w:sz w:val="32"/>
          <w:szCs w:val="32"/>
        </w:rPr>
        <w:t>五、一般公共预算财政拨款支出决算情况说明</w:t>
      </w:r>
      <w:bookmarkEnd w:id="16"/>
      <w:bookmarkEnd w:id="17"/>
    </w:p>
    <w:p>
      <w:pPr>
        <w:ind w:firstLine="640" w:firstLineChars="200"/>
        <w:outlineLvl w:val="1"/>
        <w:rPr>
          <w:rFonts w:ascii="黑体" w:hAnsi="黑体" w:eastAsia="黑体" w:cs="宋体"/>
          <w:kern w:val="0"/>
          <w:sz w:val="32"/>
          <w:szCs w:val="32"/>
        </w:rPr>
      </w:pPr>
      <w:r>
        <w:rPr>
          <w:rFonts w:ascii="黑体" w:hAnsi="黑体" w:eastAsia="黑体" w:cs="宋体"/>
          <w:kern w:val="0"/>
          <w:sz w:val="32"/>
          <w:szCs w:val="32"/>
        </w:rPr>
        <w:t>（一）一般公共预算财政拨款支出决算总体情况</w:t>
      </w:r>
    </w:p>
    <w:p>
      <w:pPr>
        <w:ind w:firstLine="640" w:firstLineChars="200"/>
        <w:rPr>
          <w:rFonts w:eastAsia="仿宋_GB2312"/>
          <w:sz w:val="32"/>
          <w:szCs w:val="32"/>
        </w:rPr>
      </w:pPr>
      <w:r>
        <w:rPr>
          <w:rFonts w:eastAsia="仿宋_GB2312"/>
          <w:sz w:val="32"/>
          <w:szCs w:val="32"/>
        </w:rPr>
        <w:t>2024年度一般公共预算财政拨款支出1,846.41万元，占本年支出合计的95.43%。与上年相比，减少366.12万元，下降16.55%，主要原因是：</w:t>
      </w:r>
      <w:r>
        <w:rPr>
          <w:rFonts w:hint="eastAsia" w:eastAsia="仿宋_GB2312"/>
          <w:sz w:val="32"/>
          <w:szCs w:val="32"/>
        </w:rPr>
        <w:t>文化馆</w:t>
      </w:r>
      <w:r>
        <w:rPr>
          <w:rFonts w:eastAsia="仿宋_GB2312"/>
          <w:sz w:val="32"/>
          <w:szCs w:val="32"/>
        </w:rPr>
        <w:t>本年减少哈密市文化馆建设、</w:t>
      </w:r>
      <w:r>
        <w:rPr>
          <w:rFonts w:hint="eastAsia" w:eastAsia="仿宋_GB2312"/>
          <w:sz w:val="32"/>
          <w:szCs w:val="32"/>
        </w:rPr>
        <w:t>哈密市文化馆建筑工程质量检测</w:t>
      </w:r>
      <w:r>
        <w:rPr>
          <w:rFonts w:eastAsia="仿宋_GB2312"/>
          <w:sz w:val="32"/>
          <w:szCs w:val="32"/>
        </w:rPr>
        <w:t>、</w:t>
      </w:r>
      <w:r>
        <w:rPr>
          <w:rFonts w:hint="eastAsia" w:eastAsia="仿宋_GB2312"/>
          <w:sz w:val="32"/>
          <w:szCs w:val="32"/>
        </w:rPr>
        <w:t>中央补助地方公共文化服务体系建设</w:t>
      </w:r>
      <w:r>
        <w:rPr>
          <w:rFonts w:eastAsia="仿宋_GB2312"/>
          <w:sz w:val="32"/>
          <w:szCs w:val="32"/>
        </w:rPr>
        <w:t>等项目</w:t>
      </w:r>
      <w:r>
        <w:rPr>
          <w:rFonts w:hint="eastAsia" w:eastAsia="仿宋_GB2312"/>
          <w:sz w:val="32"/>
          <w:szCs w:val="32"/>
        </w:rPr>
        <w:t>资金</w:t>
      </w:r>
      <w:r>
        <w:rPr>
          <w:rFonts w:eastAsia="仿宋_GB2312"/>
          <w:sz w:val="32"/>
          <w:szCs w:val="32"/>
        </w:rPr>
        <w:t>，因此一般公共预算财政拨款支出与上年相比减少。与年初预算相比，年初预算数1,645.24万元，决算数1,846.41万元，预决算差异率12.23%，主要原因是：</w:t>
      </w:r>
      <w:r>
        <w:rPr>
          <w:rFonts w:hint="eastAsia" w:eastAsia="仿宋_GB2312"/>
          <w:sz w:val="32"/>
          <w:szCs w:val="32"/>
        </w:rPr>
        <w:t>文化馆</w:t>
      </w:r>
      <w:r>
        <w:rPr>
          <w:rFonts w:eastAsia="仿宋_GB2312"/>
          <w:sz w:val="32"/>
          <w:szCs w:val="32"/>
        </w:rPr>
        <w:t>本年项目安排增加，年中追加</w:t>
      </w:r>
      <w:r>
        <w:rPr>
          <w:rFonts w:hint="eastAsia" w:eastAsia="仿宋_GB2312"/>
          <w:sz w:val="32"/>
          <w:szCs w:val="32"/>
        </w:rPr>
        <w:t>哈密传习所工</w:t>
      </w:r>
      <w:r>
        <w:rPr>
          <w:rFonts w:eastAsia="仿宋_GB2312"/>
          <w:sz w:val="32"/>
          <w:szCs w:val="32"/>
        </w:rPr>
        <w:t>程、中央补助地方公共文化服务体系建设等项目预算，因此预决算相比产生差异。</w:t>
      </w:r>
    </w:p>
    <w:p>
      <w:pPr>
        <w:ind w:firstLine="640" w:firstLineChars="200"/>
        <w:outlineLvl w:val="1"/>
        <w:rPr>
          <w:rFonts w:ascii="黑体" w:hAnsi="黑体" w:eastAsia="黑体" w:cs="宋体"/>
          <w:kern w:val="0"/>
          <w:sz w:val="32"/>
          <w:szCs w:val="32"/>
        </w:rPr>
      </w:pPr>
      <w:r>
        <w:rPr>
          <w:rFonts w:ascii="黑体" w:hAnsi="黑体" w:eastAsia="黑体" w:cs="宋体"/>
          <w:kern w:val="0"/>
          <w:sz w:val="32"/>
          <w:szCs w:val="32"/>
        </w:rPr>
        <w:t>（二）一般公共预算财政拨款支出决算结构情况</w:t>
      </w:r>
    </w:p>
    <w:p>
      <w:pPr>
        <w:ind w:firstLine="640" w:firstLineChars="200"/>
        <w:rPr>
          <w:rFonts w:eastAsia="仿宋_GB2312"/>
          <w:sz w:val="32"/>
          <w:szCs w:val="32"/>
        </w:rPr>
      </w:pPr>
      <w:r>
        <w:rPr>
          <w:rFonts w:eastAsia="仿宋_GB2312"/>
          <w:sz w:val="32"/>
          <w:szCs w:val="32"/>
        </w:rPr>
        <w:t>1.文化旅游体育与传媒支出（类）802.47万元，占43.46%。</w:t>
      </w:r>
    </w:p>
    <w:p>
      <w:pPr>
        <w:ind w:firstLine="640" w:firstLineChars="200"/>
        <w:rPr>
          <w:rFonts w:eastAsia="仿宋_GB2312"/>
          <w:sz w:val="32"/>
          <w:szCs w:val="32"/>
        </w:rPr>
      </w:pPr>
      <w:r>
        <w:rPr>
          <w:rFonts w:eastAsia="仿宋_GB2312"/>
          <w:sz w:val="32"/>
          <w:szCs w:val="32"/>
        </w:rPr>
        <w:t>2.社会保障和就业支出（类）26.88万元，占1.46%。</w:t>
      </w:r>
    </w:p>
    <w:p>
      <w:pPr>
        <w:ind w:firstLine="640" w:firstLineChars="200"/>
        <w:rPr>
          <w:rFonts w:eastAsia="仿宋_GB2312"/>
          <w:sz w:val="32"/>
          <w:szCs w:val="32"/>
        </w:rPr>
      </w:pPr>
      <w:r>
        <w:rPr>
          <w:rFonts w:eastAsia="仿宋_GB2312"/>
          <w:sz w:val="32"/>
          <w:szCs w:val="32"/>
        </w:rPr>
        <w:t>3.卫生健康支出（类）7.94万元，占0.43%。</w:t>
      </w:r>
    </w:p>
    <w:p>
      <w:pPr>
        <w:ind w:firstLine="640" w:firstLineChars="200"/>
        <w:rPr>
          <w:rFonts w:eastAsia="仿宋_GB2312"/>
          <w:sz w:val="32"/>
          <w:szCs w:val="32"/>
        </w:rPr>
      </w:pPr>
      <w:r>
        <w:rPr>
          <w:rFonts w:eastAsia="仿宋_GB2312"/>
          <w:sz w:val="32"/>
          <w:szCs w:val="32"/>
        </w:rPr>
        <w:t>4.住房保障支出（类）10.12万元，占0.55%。</w:t>
      </w:r>
    </w:p>
    <w:p>
      <w:pPr>
        <w:ind w:firstLine="640" w:firstLineChars="200"/>
        <w:rPr>
          <w:rFonts w:eastAsia="仿宋_GB2312"/>
          <w:sz w:val="32"/>
          <w:szCs w:val="32"/>
        </w:rPr>
      </w:pPr>
      <w:r>
        <w:rPr>
          <w:rFonts w:eastAsia="仿宋_GB2312"/>
          <w:sz w:val="32"/>
          <w:szCs w:val="32"/>
        </w:rPr>
        <w:t>5.其他支出（类）999.00万元，占54.10%。</w:t>
      </w:r>
    </w:p>
    <w:p>
      <w:pPr>
        <w:ind w:firstLine="640" w:firstLineChars="200"/>
        <w:outlineLvl w:val="1"/>
        <w:rPr>
          <w:rFonts w:ascii="黑体" w:hAnsi="黑体" w:eastAsia="黑体" w:cs="宋体"/>
          <w:kern w:val="0"/>
          <w:sz w:val="32"/>
          <w:szCs w:val="32"/>
        </w:rPr>
      </w:pPr>
      <w:r>
        <w:rPr>
          <w:rFonts w:ascii="黑体" w:hAnsi="黑体" w:eastAsia="黑体" w:cs="宋体"/>
          <w:kern w:val="0"/>
          <w:sz w:val="32"/>
          <w:szCs w:val="32"/>
        </w:rPr>
        <w:t>（三）一般公共预算财政拨款支出决算具体情况</w:t>
      </w:r>
    </w:p>
    <w:p>
      <w:pPr>
        <w:ind w:firstLine="640" w:firstLineChars="200"/>
        <w:rPr>
          <w:rFonts w:eastAsia="仿宋_GB2312"/>
          <w:sz w:val="32"/>
          <w:szCs w:val="32"/>
        </w:rPr>
      </w:pPr>
      <w:r>
        <w:rPr>
          <w:rFonts w:eastAsia="仿宋_GB2312"/>
          <w:sz w:val="32"/>
          <w:szCs w:val="32"/>
        </w:rPr>
        <w:t>1.文化旅游体育与传媒支出（类）文化和旅游（款）群众文化（项）：支出决算数为655.55万元，比上年决算减少178.95万元，下降21.44%，主要原因是：</w:t>
      </w:r>
      <w:r>
        <w:rPr>
          <w:rFonts w:hint="eastAsia" w:eastAsia="仿宋_GB2312"/>
          <w:sz w:val="32"/>
          <w:szCs w:val="32"/>
        </w:rPr>
        <w:t>文化馆</w:t>
      </w:r>
      <w:r>
        <w:rPr>
          <w:rFonts w:eastAsia="仿宋_GB2312"/>
          <w:sz w:val="32"/>
          <w:szCs w:val="32"/>
        </w:rPr>
        <w:t>本年减少哈密市文化馆建设、</w:t>
      </w:r>
      <w:r>
        <w:rPr>
          <w:rFonts w:hint="eastAsia" w:eastAsia="仿宋_GB2312"/>
          <w:sz w:val="32"/>
          <w:szCs w:val="32"/>
        </w:rPr>
        <w:t>哈密市文化馆建筑工程质量检测</w:t>
      </w:r>
      <w:r>
        <w:rPr>
          <w:rFonts w:eastAsia="仿宋_GB2312"/>
          <w:sz w:val="32"/>
          <w:szCs w:val="32"/>
        </w:rPr>
        <w:t>等项目</w:t>
      </w:r>
      <w:r>
        <w:rPr>
          <w:rFonts w:hint="eastAsia" w:eastAsia="仿宋_GB2312"/>
          <w:sz w:val="32"/>
          <w:szCs w:val="32"/>
        </w:rPr>
        <w:t>资金，同时功能科目调整，将退休人员采暖补贴、基础性绩效等支出从本科目调整至社会保障和就业支出（类）行政事业单位养老支出（款）事业单位离退休（项）科目核算，因此支出减少。</w:t>
      </w:r>
    </w:p>
    <w:p>
      <w:pPr>
        <w:ind w:firstLine="640" w:firstLineChars="200"/>
        <w:rPr>
          <w:rFonts w:eastAsia="仿宋_GB2312"/>
          <w:sz w:val="32"/>
          <w:szCs w:val="32"/>
        </w:rPr>
      </w:pPr>
      <w:r>
        <w:rPr>
          <w:rFonts w:eastAsia="仿宋_GB2312"/>
          <w:sz w:val="32"/>
          <w:szCs w:val="32"/>
        </w:rPr>
        <w:t>2.文化旅游体育与传媒支出（类）文化和旅游（款）文化创作与保护（项）：支出决算数为20.00万元，比上年决算减少15.08万元，下降42.99%，主要原因是：</w:t>
      </w:r>
      <w:r>
        <w:rPr>
          <w:rFonts w:hint="eastAsia" w:eastAsia="仿宋_GB2312"/>
          <w:sz w:val="32"/>
          <w:szCs w:val="32"/>
        </w:rPr>
        <w:t>文化馆</w:t>
      </w:r>
      <w:r>
        <w:rPr>
          <w:rFonts w:eastAsia="仿宋_GB2312"/>
          <w:sz w:val="32"/>
          <w:szCs w:val="32"/>
        </w:rPr>
        <w:t>本年减少国家非物质文化遗产保护-维吾尔族刺绣项目</w:t>
      </w:r>
      <w:r>
        <w:rPr>
          <w:rFonts w:hint="eastAsia" w:eastAsia="仿宋_GB2312"/>
          <w:sz w:val="32"/>
          <w:szCs w:val="32"/>
        </w:rPr>
        <w:t>资金</w:t>
      </w:r>
      <w:r>
        <w:rPr>
          <w:rFonts w:eastAsia="仿宋_GB2312"/>
          <w:sz w:val="32"/>
          <w:szCs w:val="32"/>
        </w:rPr>
        <w:t>，因此支出减少。</w:t>
      </w:r>
    </w:p>
    <w:p>
      <w:pPr>
        <w:ind w:firstLine="640" w:firstLineChars="200"/>
        <w:rPr>
          <w:rFonts w:eastAsia="仿宋_GB2312"/>
          <w:sz w:val="32"/>
          <w:szCs w:val="32"/>
        </w:rPr>
      </w:pPr>
      <w:r>
        <w:rPr>
          <w:rFonts w:eastAsia="仿宋_GB2312"/>
          <w:sz w:val="32"/>
          <w:szCs w:val="32"/>
        </w:rPr>
        <w:t>3.文化旅游体育与传媒支出（类）文化和旅游（款）其他文化和旅游支出（项）：支出决算数为96.01万元，比上年决算减少28.98万元，下降23.19%，主要原因是：</w:t>
      </w:r>
      <w:r>
        <w:rPr>
          <w:rFonts w:hint="eastAsia" w:eastAsia="仿宋_GB2312"/>
          <w:sz w:val="32"/>
          <w:szCs w:val="32"/>
        </w:rPr>
        <w:t>文化馆</w:t>
      </w:r>
      <w:r>
        <w:rPr>
          <w:rFonts w:eastAsia="仿宋_GB2312"/>
          <w:sz w:val="32"/>
          <w:szCs w:val="32"/>
        </w:rPr>
        <w:t>本年减少丝路非遗体验馆展陈项目</w:t>
      </w:r>
      <w:r>
        <w:rPr>
          <w:rFonts w:hint="eastAsia" w:eastAsia="仿宋_GB2312"/>
          <w:sz w:val="32"/>
          <w:szCs w:val="32"/>
        </w:rPr>
        <w:t>资金</w:t>
      </w:r>
      <w:r>
        <w:rPr>
          <w:rFonts w:eastAsia="仿宋_GB2312"/>
          <w:sz w:val="32"/>
          <w:szCs w:val="32"/>
        </w:rPr>
        <w:t>，因此支出减少。</w:t>
      </w:r>
    </w:p>
    <w:p>
      <w:pPr>
        <w:ind w:firstLine="640" w:firstLineChars="200"/>
        <w:rPr>
          <w:rFonts w:eastAsia="仿宋_GB2312"/>
          <w:sz w:val="32"/>
          <w:szCs w:val="32"/>
        </w:rPr>
      </w:pPr>
      <w:r>
        <w:rPr>
          <w:rFonts w:eastAsia="仿宋_GB2312"/>
          <w:sz w:val="32"/>
          <w:szCs w:val="32"/>
        </w:rPr>
        <w:t>4.文化旅游体育与传媒支出（类）其他文化旅游体育与传媒支出（款）其他文化旅游体育与传媒支出（项）：支出决算数为30.91万元，比上年决算减少340.77万元，下降91.68%，主要原因是：</w:t>
      </w:r>
      <w:r>
        <w:rPr>
          <w:rFonts w:hint="eastAsia" w:eastAsia="仿宋_GB2312"/>
          <w:sz w:val="32"/>
          <w:szCs w:val="32"/>
        </w:rPr>
        <w:t>文化馆</w:t>
      </w:r>
      <w:r>
        <w:rPr>
          <w:rFonts w:eastAsia="仿宋_GB2312"/>
          <w:sz w:val="32"/>
          <w:szCs w:val="32"/>
        </w:rPr>
        <w:t>本年减少</w:t>
      </w:r>
      <w:r>
        <w:rPr>
          <w:rFonts w:hint="eastAsia" w:eastAsia="仿宋_GB2312"/>
          <w:sz w:val="32"/>
          <w:szCs w:val="32"/>
        </w:rPr>
        <w:t>中央补助地方公共文化服务体系建设</w:t>
      </w:r>
      <w:r>
        <w:rPr>
          <w:rFonts w:eastAsia="仿宋_GB2312"/>
          <w:sz w:val="32"/>
          <w:szCs w:val="32"/>
        </w:rPr>
        <w:t>项目</w:t>
      </w:r>
      <w:r>
        <w:rPr>
          <w:rFonts w:hint="eastAsia" w:eastAsia="仿宋_GB2312"/>
          <w:sz w:val="32"/>
          <w:szCs w:val="32"/>
        </w:rPr>
        <w:t>资金</w:t>
      </w:r>
      <w:r>
        <w:rPr>
          <w:rFonts w:eastAsia="仿宋_GB2312"/>
          <w:sz w:val="32"/>
          <w:szCs w:val="32"/>
        </w:rPr>
        <w:t>，因此支出减少。</w:t>
      </w:r>
    </w:p>
    <w:p>
      <w:pPr>
        <w:ind w:firstLine="640" w:firstLineChars="200"/>
        <w:rPr>
          <w:rFonts w:eastAsia="仿宋_GB2312"/>
          <w:sz w:val="32"/>
          <w:szCs w:val="32"/>
        </w:rPr>
      </w:pPr>
      <w:r>
        <w:rPr>
          <w:rFonts w:eastAsia="仿宋_GB2312"/>
          <w:sz w:val="32"/>
          <w:szCs w:val="32"/>
        </w:rPr>
        <w:t>5.社会保障和就业支出（类）行政事业单位养老支出（款）事业单位离退休（项）：支出决算数为7.35万元，比上年决算增加7.35万元，增长100%，主要原因是：</w:t>
      </w:r>
      <w:r>
        <w:rPr>
          <w:rFonts w:hint="eastAsia" w:eastAsia="仿宋_GB2312"/>
          <w:sz w:val="32"/>
          <w:szCs w:val="32"/>
        </w:rPr>
        <w:t>文化馆</w:t>
      </w:r>
      <w:r>
        <w:rPr>
          <w:rFonts w:eastAsia="仿宋_GB2312"/>
          <w:sz w:val="32"/>
          <w:szCs w:val="32"/>
        </w:rPr>
        <w:t>本年功能科目调整，将退休人员采暖补贴、基础性绩效等支出从文化旅游体育与传媒支出（类）文化和旅游（款）群众文化（项）调整至本科目核算，因此支出增加。</w:t>
      </w:r>
    </w:p>
    <w:p>
      <w:pPr>
        <w:ind w:firstLine="640" w:firstLineChars="200"/>
        <w:rPr>
          <w:rFonts w:eastAsia="仿宋_GB2312"/>
          <w:sz w:val="32"/>
          <w:szCs w:val="32"/>
        </w:rPr>
      </w:pPr>
      <w:r>
        <w:rPr>
          <w:rFonts w:eastAsia="仿宋_GB2312"/>
          <w:sz w:val="32"/>
          <w:szCs w:val="32"/>
        </w:rPr>
        <w:t>6.社会保障和就业支出（类）行政事业单位养老支出（款）机关事业单位基本养老保险缴费支出（项）：支出决算数为13.37万元，比上年决算减少1.77万元，下降11.69%，主要原因是：</w:t>
      </w:r>
      <w:r>
        <w:rPr>
          <w:rFonts w:hint="eastAsia" w:eastAsia="仿宋_GB2312"/>
          <w:sz w:val="32"/>
          <w:szCs w:val="32"/>
        </w:rPr>
        <w:t>文化馆</w:t>
      </w:r>
      <w:r>
        <w:rPr>
          <w:rFonts w:eastAsia="仿宋_GB2312"/>
          <w:sz w:val="32"/>
          <w:szCs w:val="32"/>
        </w:rPr>
        <w:t>本年人员变动，职务职级调整，机关事业单位基本养老保险缴费</w:t>
      </w:r>
      <w:r>
        <w:rPr>
          <w:rFonts w:hint="eastAsia" w:eastAsia="仿宋_GB2312"/>
          <w:sz w:val="32"/>
          <w:szCs w:val="32"/>
        </w:rPr>
        <w:t>减少，因此</w:t>
      </w:r>
      <w:r>
        <w:rPr>
          <w:rFonts w:eastAsia="仿宋_GB2312"/>
          <w:sz w:val="32"/>
          <w:szCs w:val="32"/>
        </w:rPr>
        <w:t>支出减少。</w:t>
      </w:r>
    </w:p>
    <w:p>
      <w:pPr>
        <w:ind w:firstLine="640" w:firstLineChars="200"/>
        <w:rPr>
          <w:rFonts w:eastAsia="仿宋_GB2312"/>
          <w:sz w:val="32"/>
          <w:szCs w:val="32"/>
        </w:rPr>
      </w:pPr>
      <w:r>
        <w:rPr>
          <w:rFonts w:eastAsia="仿宋_GB2312"/>
          <w:sz w:val="32"/>
          <w:szCs w:val="32"/>
        </w:rPr>
        <w:t>7.社会保障和就业支出（类）行政事业单位养老支出（款）机关事业单位职业年金缴费支出（项）：支出决算数为6.16万元，比上年决算减少3.74万元，下降37.78%，主要原因是：</w:t>
      </w:r>
      <w:r>
        <w:rPr>
          <w:rFonts w:hint="eastAsia" w:eastAsia="仿宋_GB2312"/>
          <w:sz w:val="32"/>
          <w:szCs w:val="32"/>
        </w:rPr>
        <w:t>文化馆</w:t>
      </w:r>
      <w:r>
        <w:rPr>
          <w:rFonts w:eastAsia="仿宋_GB2312"/>
          <w:sz w:val="32"/>
          <w:szCs w:val="32"/>
        </w:rPr>
        <w:t>本年</w:t>
      </w:r>
      <w:r>
        <w:rPr>
          <w:rFonts w:hint="eastAsia" w:eastAsia="仿宋_GB2312"/>
          <w:sz w:val="32"/>
          <w:szCs w:val="32"/>
        </w:rPr>
        <w:t>调出本行政区域人员</w:t>
      </w:r>
      <w:r>
        <w:rPr>
          <w:rFonts w:eastAsia="仿宋_GB2312"/>
          <w:sz w:val="32"/>
          <w:szCs w:val="32"/>
        </w:rPr>
        <w:t>职级较低，机关事业单位职业年金缴费减少</w:t>
      </w:r>
      <w:r>
        <w:rPr>
          <w:rFonts w:hint="eastAsia" w:eastAsia="仿宋_GB2312"/>
          <w:sz w:val="32"/>
          <w:szCs w:val="32"/>
        </w:rPr>
        <w:t>，因此支出减少</w:t>
      </w:r>
      <w:r>
        <w:rPr>
          <w:rFonts w:eastAsia="仿宋_GB2312"/>
          <w:sz w:val="32"/>
          <w:szCs w:val="32"/>
        </w:rPr>
        <w:t>。</w:t>
      </w:r>
    </w:p>
    <w:p>
      <w:pPr>
        <w:ind w:firstLine="640" w:firstLineChars="200"/>
        <w:rPr>
          <w:rFonts w:eastAsia="仿宋_GB2312"/>
          <w:sz w:val="32"/>
          <w:szCs w:val="32"/>
        </w:rPr>
      </w:pPr>
      <w:r>
        <w:rPr>
          <w:rFonts w:eastAsia="仿宋_GB2312"/>
          <w:sz w:val="32"/>
          <w:szCs w:val="32"/>
        </w:rPr>
        <w:t>8.卫生健康支出（类）行政事业单位医疗（款）事业单位医疗（项）：支出决算数为5.41万元，比上年决算减少0.80万元，下降12.88%，主要原因是：</w:t>
      </w:r>
      <w:r>
        <w:rPr>
          <w:rFonts w:hint="eastAsia" w:eastAsia="仿宋_GB2312"/>
          <w:sz w:val="32"/>
          <w:szCs w:val="32"/>
        </w:rPr>
        <w:t>文化馆</w:t>
      </w:r>
      <w:r>
        <w:rPr>
          <w:rFonts w:eastAsia="仿宋_GB2312"/>
          <w:sz w:val="32"/>
          <w:szCs w:val="32"/>
        </w:rPr>
        <w:t>本年人员变动，职务职级调整，事业单位医疗缴费减少</w:t>
      </w:r>
      <w:r>
        <w:rPr>
          <w:rFonts w:hint="eastAsia" w:eastAsia="仿宋_GB2312"/>
          <w:sz w:val="32"/>
          <w:szCs w:val="32"/>
        </w:rPr>
        <w:t>，因此支出减少</w:t>
      </w:r>
      <w:r>
        <w:rPr>
          <w:rFonts w:eastAsia="仿宋_GB2312"/>
          <w:sz w:val="32"/>
          <w:szCs w:val="32"/>
        </w:rPr>
        <w:t>。</w:t>
      </w:r>
    </w:p>
    <w:p>
      <w:pPr>
        <w:ind w:firstLine="640" w:firstLineChars="200"/>
        <w:rPr>
          <w:rFonts w:eastAsia="仿宋_GB2312"/>
          <w:sz w:val="32"/>
          <w:szCs w:val="32"/>
        </w:rPr>
      </w:pPr>
      <w:r>
        <w:rPr>
          <w:rFonts w:eastAsia="仿宋_GB2312"/>
          <w:sz w:val="32"/>
          <w:szCs w:val="32"/>
        </w:rPr>
        <w:t>9.卫生健康支出（类）行政事业单位医疗（款）公务员医疗补助（项）：支出决算数为2.53万元，比上年决算减少0.85万元，下降25.15%，主要原因是：</w:t>
      </w:r>
      <w:r>
        <w:rPr>
          <w:rFonts w:hint="eastAsia" w:eastAsia="仿宋_GB2312"/>
          <w:sz w:val="32"/>
          <w:szCs w:val="32"/>
        </w:rPr>
        <w:t>文化馆</w:t>
      </w:r>
      <w:r>
        <w:rPr>
          <w:rFonts w:eastAsia="仿宋_GB2312"/>
          <w:sz w:val="32"/>
          <w:szCs w:val="32"/>
        </w:rPr>
        <w:t>本年人员变动，职务职级调整，公务员医疗补助缴费减少</w:t>
      </w:r>
      <w:r>
        <w:rPr>
          <w:rFonts w:hint="eastAsia" w:eastAsia="仿宋_GB2312"/>
          <w:sz w:val="32"/>
          <w:szCs w:val="32"/>
        </w:rPr>
        <w:t>，因此支出减少</w:t>
      </w:r>
      <w:r>
        <w:rPr>
          <w:rFonts w:eastAsia="仿宋_GB2312"/>
          <w:sz w:val="32"/>
          <w:szCs w:val="32"/>
        </w:rPr>
        <w:t>。</w:t>
      </w:r>
    </w:p>
    <w:p>
      <w:pPr>
        <w:ind w:firstLine="640" w:firstLineChars="200"/>
        <w:rPr>
          <w:rFonts w:eastAsia="仿宋_GB2312"/>
          <w:sz w:val="32"/>
          <w:szCs w:val="32"/>
        </w:rPr>
      </w:pPr>
      <w:r>
        <w:rPr>
          <w:rFonts w:eastAsia="仿宋_GB2312"/>
          <w:sz w:val="32"/>
          <w:szCs w:val="32"/>
        </w:rPr>
        <w:t>10.住房保障支出（类）住房改革支出（款）住房公积金（项）：支出决算数为10.12万元，比上年决算减少1.52万元，下降13.06%，主要原因是：</w:t>
      </w:r>
      <w:r>
        <w:rPr>
          <w:rFonts w:hint="eastAsia" w:eastAsia="仿宋_GB2312"/>
          <w:sz w:val="32"/>
          <w:szCs w:val="32"/>
        </w:rPr>
        <w:t>文化馆</w:t>
      </w:r>
      <w:r>
        <w:rPr>
          <w:rFonts w:eastAsia="仿宋_GB2312"/>
          <w:sz w:val="32"/>
          <w:szCs w:val="32"/>
        </w:rPr>
        <w:t>本年人员变动，职务职级调整，住房公积金缴费减少</w:t>
      </w:r>
      <w:r>
        <w:rPr>
          <w:rFonts w:hint="eastAsia" w:eastAsia="仿宋_GB2312"/>
          <w:sz w:val="32"/>
          <w:szCs w:val="32"/>
        </w:rPr>
        <w:t>，因此支出减少</w:t>
      </w:r>
      <w:r>
        <w:rPr>
          <w:rFonts w:eastAsia="仿宋_GB2312"/>
          <w:sz w:val="32"/>
          <w:szCs w:val="32"/>
        </w:rPr>
        <w:t>。</w:t>
      </w:r>
    </w:p>
    <w:p>
      <w:pPr>
        <w:ind w:firstLine="640" w:firstLineChars="200"/>
        <w:rPr>
          <w:rFonts w:eastAsia="仿宋_GB2312"/>
          <w:sz w:val="32"/>
          <w:szCs w:val="32"/>
        </w:rPr>
      </w:pPr>
      <w:r>
        <w:rPr>
          <w:rFonts w:eastAsia="仿宋_GB2312"/>
          <w:sz w:val="32"/>
          <w:szCs w:val="32"/>
        </w:rPr>
        <w:t>11.其他支出（类）其他支出（款）其他支出（项）：支出决算数为999.00万元，比上年决算增加199.00万元，增长24.88%，主要原因是：</w:t>
      </w:r>
      <w:r>
        <w:rPr>
          <w:rFonts w:hint="eastAsia" w:eastAsia="仿宋_GB2312"/>
          <w:sz w:val="32"/>
          <w:szCs w:val="32"/>
        </w:rPr>
        <w:t>文化馆</w:t>
      </w:r>
      <w:r>
        <w:rPr>
          <w:rFonts w:eastAsia="仿宋_GB2312"/>
          <w:sz w:val="32"/>
          <w:szCs w:val="32"/>
        </w:rPr>
        <w:t>本年增加文化馆二次装修及设施设备购置项目</w:t>
      </w:r>
      <w:r>
        <w:rPr>
          <w:rFonts w:hint="eastAsia" w:eastAsia="仿宋_GB2312"/>
          <w:sz w:val="32"/>
          <w:szCs w:val="32"/>
        </w:rPr>
        <w:t>资金</w:t>
      </w:r>
      <w:r>
        <w:rPr>
          <w:rFonts w:eastAsia="仿宋_GB2312"/>
          <w:sz w:val="32"/>
          <w:szCs w:val="32"/>
        </w:rPr>
        <w:t>，因此支出增加。</w:t>
      </w:r>
    </w:p>
    <w:p>
      <w:pPr>
        <w:ind w:firstLine="640" w:firstLineChars="200"/>
        <w:outlineLvl w:val="1"/>
        <w:rPr>
          <w:rFonts w:ascii="黑体" w:hAnsi="黑体" w:eastAsia="黑体" w:cs="宋体"/>
          <w:kern w:val="0"/>
          <w:sz w:val="32"/>
          <w:szCs w:val="32"/>
        </w:rPr>
      </w:pPr>
      <w:bookmarkStart w:id="18" w:name="_Toc30870"/>
      <w:bookmarkStart w:id="19" w:name="_Toc11146"/>
      <w:r>
        <w:rPr>
          <w:rFonts w:ascii="黑体" w:hAnsi="黑体" w:eastAsia="黑体" w:cs="宋体"/>
          <w:kern w:val="0"/>
          <w:sz w:val="32"/>
          <w:szCs w:val="32"/>
        </w:rPr>
        <w:t>六、一般公共预算财政拨款基本支出决算情况说明</w:t>
      </w:r>
      <w:bookmarkEnd w:id="18"/>
      <w:bookmarkEnd w:id="19"/>
    </w:p>
    <w:p>
      <w:pPr>
        <w:ind w:firstLine="640" w:firstLineChars="200"/>
        <w:rPr>
          <w:rFonts w:eastAsia="仿宋_GB2312"/>
          <w:sz w:val="32"/>
          <w:szCs w:val="32"/>
        </w:rPr>
      </w:pPr>
      <w:r>
        <w:rPr>
          <w:rFonts w:eastAsia="仿宋_GB2312"/>
          <w:sz w:val="32"/>
          <w:szCs w:val="32"/>
        </w:rPr>
        <w:t>2024年度一般公共预算财政拨款基本支出166.73万元，其中：人员经费157.74万元，包括：基本工资、津贴补贴、奖金、绩效工资、机关事业单位基本养老保险缴费、职业年金缴费、职工基本医疗保险缴费、公务员医疗补助缴费、其他社会保障缴费、住房公积金、其他工资福利支出、退休费、奖励金。</w:t>
      </w:r>
    </w:p>
    <w:p>
      <w:pPr>
        <w:ind w:firstLine="640" w:firstLineChars="200"/>
        <w:rPr>
          <w:rFonts w:eastAsia="仿宋_GB2312"/>
          <w:sz w:val="32"/>
          <w:szCs w:val="32"/>
        </w:rPr>
      </w:pPr>
      <w:r>
        <w:rPr>
          <w:rFonts w:eastAsia="仿宋_GB2312"/>
          <w:sz w:val="32"/>
          <w:szCs w:val="32"/>
        </w:rPr>
        <w:t>公用经费8.99万元，包括：办公费、邮电费、差旅费、委托业务费、工会经费、福利费、公务用车运行维护费、其他交通费用。</w:t>
      </w:r>
    </w:p>
    <w:p>
      <w:pPr>
        <w:ind w:firstLine="640" w:firstLineChars="200"/>
        <w:outlineLvl w:val="1"/>
        <w:rPr>
          <w:rFonts w:ascii="黑体" w:hAnsi="黑体" w:eastAsia="黑体" w:cs="宋体"/>
          <w:kern w:val="0"/>
          <w:sz w:val="32"/>
          <w:szCs w:val="32"/>
        </w:rPr>
      </w:pPr>
      <w:bookmarkStart w:id="20" w:name="_Toc5810"/>
      <w:bookmarkStart w:id="21" w:name="_Toc7927"/>
      <w:r>
        <w:rPr>
          <w:rFonts w:ascii="黑体" w:hAnsi="黑体" w:eastAsia="黑体" w:cs="宋体"/>
          <w:kern w:val="0"/>
          <w:sz w:val="32"/>
          <w:szCs w:val="32"/>
        </w:rPr>
        <w:t>七、政府性基金预算财政拨款收入支出决算情况说明</w:t>
      </w:r>
      <w:bookmarkEnd w:id="20"/>
      <w:bookmarkEnd w:id="21"/>
    </w:p>
    <w:p>
      <w:pPr>
        <w:ind w:firstLine="640" w:firstLineChars="200"/>
        <w:rPr>
          <w:rFonts w:eastAsia="仿宋_GB2312"/>
          <w:sz w:val="32"/>
          <w:szCs w:val="32"/>
        </w:rPr>
      </w:pPr>
      <w:r>
        <w:rPr>
          <w:rFonts w:eastAsia="仿宋_GB2312"/>
          <w:sz w:val="32"/>
          <w:szCs w:val="32"/>
        </w:rPr>
        <w:t>本单位本年度无政府性基金预算财政拨款收入、支出及结转和结余，政府性基金预算财政拨款收入支出决算表为空表。</w:t>
      </w:r>
    </w:p>
    <w:p>
      <w:pPr>
        <w:ind w:firstLine="640" w:firstLineChars="200"/>
        <w:outlineLvl w:val="1"/>
        <w:rPr>
          <w:rFonts w:ascii="黑体" w:hAnsi="黑体" w:eastAsia="黑体" w:cs="宋体"/>
          <w:kern w:val="0"/>
          <w:sz w:val="32"/>
          <w:szCs w:val="32"/>
        </w:rPr>
      </w:pPr>
      <w:r>
        <w:rPr>
          <w:rFonts w:ascii="黑体" w:hAnsi="黑体" w:eastAsia="黑体" w:cs="宋体"/>
          <w:kern w:val="0"/>
          <w:sz w:val="32"/>
          <w:szCs w:val="32"/>
        </w:rPr>
        <w:t>八、国有资本经营预算财政拨款收入支出决算情况说明</w:t>
      </w:r>
    </w:p>
    <w:p>
      <w:pPr>
        <w:ind w:firstLine="640" w:firstLineChars="200"/>
        <w:rPr>
          <w:rFonts w:eastAsia="仿宋_GB2312"/>
          <w:sz w:val="32"/>
          <w:szCs w:val="32"/>
        </w:rPr>
      </w:pPr>
      <w:r>
        <w:rPr>
          <w:rFonts w:eastAsia="仿宋_GB2312"/>
          <w:sz w:val="32"/>
          <w:szCs w:val="32"/>
        </w:rPr>
        <w:t>本单位本年度无国有资本经营预算财政拨款收入、支出及结转和结余，国有资本经营预算财政拨款收入支出决算表为空表。</w:t>
      </w:r>
    </w:p>
    <w:p>
      <w:pPr>
        <w:ind w:firstLine="640" w:firstLineChars="200"/>
        <w:outlineLvl w:val="1"/>
        <w:rPr>
          <w:rFonts w:ascii="黑体" w:hAnsi="黑体" w:eastAsia="黑体" w:cs="宋体"/>
          <w:kern w:val="0"/>
          <w:sz w:val="32"/>
          <w:szCs w:val="32"/>
        </w:rPr>
      </w:pPr>
      <w:bookmarkStart w:id="22" w:name="_Toc21518"/>
      <w:bookmarkStart w:id="23" w:name="_Toc7190"/>
      <w:r>
        <w:rPr>
          <w:rFonts w:ascii="黑体" w:hAnsi="黑体" w:eastAsia="黑体" w:cs="宋体"/>
          <w:kern w:val="0"/>
          <w:sz w:val="32"/>
          <w:szCs w:val="32"/>
        </w:rPr>
        <w:t>九、财政拨款“三公”经费支出决算情况说明</w:t>
      </w:r>
      <w:bookmarkEnd w:id="22"/>
      <w:bookmarkEnd w:id="23"/>
    </w:p>
    <w:p>
      <w:pPr>
        <w:ind w:firstLine="640" w:firstLineChars="200"/>
        <w:rPr>
          <w:rFonts w:eastAsia="仿宋_GB2312"/>
          <w:sz w:val="32"/>
          <w:szCs w:val="32"/>
        </w:rPr>
      </w:pPr>
      <w:r>
        <w:rPr>
          <w:rFonts w:eastAsia="仿宋_GB2312"/>
          <w:sz w:val="32"/>
          <w:szCs w:val="32"/>
        </w:rPr>
        <w:t>2024年度财政拨款“三公”经费支出0.50万元，比上年减少1.50万元，下降75.00%，主要原因是：厉行节约，减少公务用车外出次数，减少公务用车燃油费、维修费等支出，公务用车购置及运行维护费支出减少，因此财政拨款“三公”经费支出减少。其中：因公出国（境）费支出0.00万元，占0.00%，比上年增加0.00万元，增长0.00%，主要原因是：</w:t>
      </w:r>
      <w:r>
        <w:rPr>
          <w:rFonts w:hint="eastAsia" w:eastAsia="仿宋_GB2312"/>
          <w:sz w:val="32"/>
          <w:szCs w:val="32"/>
        </w:rPr>
        <w:t>文化馆</w:t>
      </w:r>
      <w:r>
        <w:rPr>
          <w:rFonts w:eastAsia="仿宋_GB2312"/>
          <w:sz w:val="32"/>
          <w:szCs w:val="32"/>
        </w:rPr>
        <w:t>本年及上年均未安排因公出国（境）费支出，因此与上年相比无变化；公务用车购置及运行维护费支出0.50万元，占100.00%，比上年减少1.50万元，下降75.00%，主要原因是：厉行节约，减少公务用车外出次数，减少公务用车燃油费、维修费等支出，因此公务用车购置及运行维护费支出减少；公务接待费支出0.00万元，占0.00%，比上年增加0.00万元，增长0.00%，主要原因是：</w:t>
      </w:r>
      <w:r>
        <w:rPr>
          <w:rFonts w:hint="eastAsia" w:eastAsia="仿宋_GB2312"/>
          <w:sz w:val="32"/>
          <w:szCs w:val="32"/>
        </w:rPr>
        <w:t>文化馆</w:t>
      </w:r>
      <w:r>
        <w:rPr>
          <w:rFonts w:eastAsia="仿宋_GB2312"/>
          <w:sz w:val="32"/>
          <w:szCs w:val="32"/>
        </w:rPr>
        <w:t>本年及上年均未安排公务接待费支出，因此与上年相比无变化。</w:t>
      </w:r>
    </w:p>
    <w:p>
      <w:pPr>
        <w:ind w:firstLine="640" w:firstLineChars="200"/>
        <w:rPr>
          <w:rFonts w:eastAsia="仿宋_GB2312"/>
          <w:sz w:val="32"/>
          <w:szCs w:val="32"/>
        </w:rPr>
      </w:pPr>
      <w:r>
        <w:rPr>
          <w:rFonts w:eastAsia="仿宋_GB2312"/>
          <w:sz w:val="32"/>
          <w:szCs w:val="32"/>
        </w:rPr>
        <w:t>具体情况如下：</w:t>
      </w:r>
    </w:p>
    <w:p>
      <w:pPr>
        <w:ind w:firstLine="640" w:firstLineChars="200"/>
        <w:rPr>
          <w:rFonts w:eastAsia="仿宋_GB2312"/>
          <w:sz w:val="32"/>
          <w:szCs w:val="32"/>
        </w:rPr>
      </w:pPr>
      <w:r>
        <w:rPr>
          <w:rFonts w:eastAsia="仿宋_GB2312"/>
          <w:sz w:val="32"/>
          <w:szCs w:val="32"/>
        </w:rPr>
        <w:t>因公出国（境）费支出0.00万元，开支内容包括</w:t>
      </w:r>
      <w:r>
        <w:rPr>
          <w:rFonts w:hint="eastAsia" w:eastAsia="仿宋_GB2312"/>
          <w:sz w:val="32"/>
          <w:szCs w:val="32"/>
        </w:rPr>
        <w:t>文化馆</w:t>
      </w:r>
      <w:r>
        <w:rPr>
          <w:rFonts w:eastAsia="仿宋_GB2312"/>
          <w:sz w:val="32"/>
          <w:szCs w:val="32"/>
        </w:rPr>
        <w:t>无因公出国（境）费支出。单位全年安排的因公出国（境）团组0个，因公出国（境）0人次。</w:t>
      </w:r>
    </w:p>
    <w:p>
      <w:pPr>
        <w:ind w:firstLine="640" w:firstLineChars="200"/>
        <w:rPr>
          <w:rFonts w:eastAsia="仿宋_GB2312"/>
          <w:sz w:val="32"/>
          <w:szCs w:val="32"/>
        </w:rPr>
      </w:pPr>
      <w:r>
        <w:rPr>
          <w:rFonts w:eastAsia="仿宋_GB2312"/>
          <w:sz w:val="32"/>
          <w:szCs w:val="32"/>
        </w:rPr>
        <w:t>公务用车购置及运行维护费0.50万元，其中：公务用车购置费0.00万元，公务用车运行维护费0.50万元。公务用车运行维护费开支内容包括公务用车燃料费、维修费、过路费、保险费等支出。公务用车购置数0辆，公务用车保有量1辆。国有资产占用情况中固定资产车辆0辆，与公务用车保有量差异原因是：1辆公务用车为调用机关事务管理局车辆，资产由机关事务管理局统一管理，未在</w:t>
      </w:r>
      <w:r>
        <w:rPr>
          <w:rFonts w:hint="eastAsia" w:eastAsia="仿宋_GB2312"/>
          <w:sz w:val="32"/>
          <w:szCs w:val="32"/>
        </w:rPr>
        <w:t>文化馆</w:t>
      </w:r>
      <w:r>
        <w:rPr>
          <w:rFonts w:eastAsia="仿宋_GB2312"/>
          <w:sz w:val="32"/>
          <w:szCs w:val="32"/>
        </w:rPr>
        <w:t>国有资产系统中体现，因此产生差异。</w:t>
      </w:r>
    </w:p>
    <w:p>
      <w:pPr>
        <w:ind w:firstLine="640" w:firstLineChars="200"/>
        <w:rPr>
          <w:rFonts w:eastAsia="仿宋_GB2312"/>
          <w:sz w:val="32"/>
          <w:szCs w:val="32"/>
        </w:rPr>
      </w:pPr>
      <w:r>
        <w:rPr>
          <w:rFonts w:eastAsia="仿宋_GB2312"/>
          <w:sz w:val="32"/>
          <w:szCs w:val="32"/>
        </w:rPr>
        <w:t>公务接待费0.00万元，开支内容包括</w:t>
      </w:r>
      <w:r>
        <w:rPr>
          <w:rFonts w:hint="eastAsia" w:eastAsia="仿宋_GB2312"/>
          <w:sz w:val="32"/>
          <w:szCs w:val="32"/>
        </w:rPr>
        <w:t>文化馆</w:t>
      </w:r>
      <w:r>
        <w:rPr>
          <w:rFonts w:eastAsia="仿宋_GB2312"/>
          <w:sz w:val="32"/>
          <w:szCs w:val="32"/>
        </w:rPr>
        <w:t>本年无公务接待费支出。单位全年安排的国内公务接待0批次，0人次。</w:t>
      </w:r>
    </w:p>
    <w:p>
      <w:pPr>
        <w:ind w:firstLine="640" w:firstLineChars="200"/>
        <w:rPr>
          <w:rFonts w:eastAsia="仿宋_GB2312"/>
          <w:sz w:val="32"/>
          <w:szCs w:val="32"/>
        </w:rPr>
      </w:pPr>
      <w:r>
        <w:rPr>
          <w:rFonts w:eastAsia="仿宋_GB2312"/>
          <w:sz w:val="32"/>
          <w:szCs w:val="32"/>
        </w:rPr>
        <w:t>与全年预算相比，财政拨款“三公”经费支出全年预算数0.50万元，决算数0.50万元，预决算差异率0.00%，主要原因是：</w:t>
      </w:r>
      <w:r>
        <w:rPr>
          <w:rFonts w:hint="eastAsia" w:eastAsia="仿宋_GB2312"/>
          <w:sz w:val="32"/>
          <w:szCs w:val="32"/>
        </w:rPr>
        <w:t>文化馆</w:t>
      </w:r>
      <w:r>
        <w:rPr>
          <w:rFonts w:eastAsia="仿宋_GB2312"/>
          <w:sz w:val="32"/>
          <w:szCs w:val="32"/>
        </w:rPr>
        <w:t>本年财政拨款“三公”经费严格按照预算执行，预决算相比无差异。其中：因公出国（境）费全年预算数0.00万元，决算数0.00万元，预决算差异率0.00%，主要原因是：</w:t>
      </w:r>
      <w:r>
        <w:rPr>
          <w:rFonts w:hint="eastAsia" w:eastAsia="仿宋_GB2312"/>
          <w:sz w:val="32"/>
          <w:szCs w:val="32"/>
        </w:rPr>
        <w:t>文化馆</w:t>
      </w:r>
      <w:r>
        <w:rPr>
          <w:rFonts w:eastAsia="仿宋_GB2312"/>
          <w:sz w:val="32"/>
          <w:szCs w:val="32"/>
        </w:rPr>
        <w:t>本年无因公出国（境）费支出，预决算相比无差异；公务用车购置费全年预算数0.00万元，决算数0.00万元，预决算差异率0.00%，主要原因是：</w:t>
      </w:r>
      <w:r>
        <w:rPr>
          <w:rFonts w:hint="eastAsia" w:eastAsia="仿宋_GB2312"/>
          <w:sz w:val="32"/>
          <w:szCs w:val="32"/>
        </w:rPr>
        <w:t>文化馆</w:t>
      </w:r>
      <w:r>
        <w:rPr>
          <w:rFonts w:eastAsia="仿宋_GB2312"/>
          <w:sz w:val="32"/>
          <w:szCs w:val="32"/>
        </w:rPr>
        <w:t>本年无公务用车购置费支出，预决算相比无差异；</w:t>
      </w:r>
      <w:r>
        <w:rPr>
          <w:rFonts w:hAnsi="宋体" w:eastAsia="仿宋_GB2312" w:cs="宋体"/>
          <w:kern w:val="0"/>
          <w:sz w:val="32"/>
          <w:szCs w:val="32"/>
        </w:rPr>
        <w:t>公务用车运行费全年预算数0.50万元，决算数0.50万元，预决算差异率0.00%，主要原因是：</w:t>
      </w:r>
      <w:r>
        <w:rPr>
          <w:rFonts w:hint="eastAsia" w:eastAsia="仿宋_GB2312"/>
          <w:sz w:val="32"/>
          <w:szCs w:val="32"/>
        </w:rPr>
        <w:t>文化馆</w:t>
      </w:r>
      <w:r>
        <w:rPr>
          <w:rFonts w:hAnsi="宋体" w:eastAsia="仿宋_GB2312" w:cs="宋体"/>
          <w:kern w:val="0"/>
          <w:sz w:val="32"/>
          <w:szCs w:val="32"/>
        </w:rPr>
        <w:t>本年公务用车运行费严格按照预算执行，预决算相比无差异；</w:t>
      </w:r>
      <w:r>
        <w:rPr>
          <w:rFonts w:eastAsia="仿宋_GB2312"/>
          <w:sz w:val="32"/>
          <w:szCs w:val="32"/>
        </w:rPr>
        <w:t>公务接待费全年预算数0.00万元，决算数0.00万元，预决算差异率0.00%，主要原因是：</w:t>
      </w:r>
      <w:r>
        <w:rPr>
          <w:rFonts w:hint="eastAsia" w:eastAsia="仿宋_GB2312"/>
          <w:sz w:val="32"/>
          <w:szCs w:val="32"/>
        </w:rPr>
        <w:t>文化馆</w:t>
      </w:r>
      <w:r>
        <w:rPr>
          <w:rFonts w:eastAsia="仿宋_GB2312"/>
          <w:sz w:val="32"/>
          <w:szCs w:val="32"/>
        </w:rPr>
        <w:t>本年无公务接待费支出</w:t>
      </w:r>
      <w:r>
        <w:rPr>
          <w:rFonts w:hint="eastAsia" w:eastAsia="仿宋_GB2312"/>
          <w:sz w:val="32"/>
          <w:szCs w:val="32"/>
          <w:lang w:eastAsia="zh-CN"/>
        </w:rPr>
        <w:t>，与</w:t>
      </w:r>
      <w:r>
        <w:rPr>
          <w:rFonts w:eastAsia="仿宋_GB2312"/>
          <w:sz w:val="32"/>
          <w:szCs w:val="32"/>
        </w:rPr>
        <w:t>预决算</w:t>
      </w:r>
      <w:r>
        <w:rPr>
          <w:rFonts w:hAnsi="宋体" w:eastAsia="仿宋_GB2312" w:cs="宋体"/>
          <w:kern w:val="0"/>
          <w:sz w:val="32"/>
          <w:szCs w:val="32"/>
        </w:rPr>
        <w:t>相比</w:t>
      </w:r>
      <w:r>
        <w:rPr>
          <w:rFonts w:eastAsia="仿宋_GB2312"/>
          <w:sz w:val="32"/>
          <w:szCs w:val="32"/>
        </w:rPr>
        <w:t>无差异。</w:t>
      </w:r>
    </w:p>
    <w:p>
      <w:pPr>
        <w:ind w:firstLine="640" w:firstLineChars="200"/>
        <w:outlineLvl w:val="1"/>
        <w:rPr>
          <w:rFonts w:ascii="黑体" w:hAnsi="黑体" w:eastAsia="黑体" w:cs="宋体"/>
          <w:kern w:val="0"/>
          <w:sz w:val="32"/>
          <w:szCs w:val="32"/>
        </w:rPr>
      </w:pPr>
      <w:bookmarkStart w:id="24" w:name="_Toc7314"/>
      <w:bookmarkStart w:id="25" w:name="_Toc1235"/>
      <w:r>
        <w:rPr>
          <w:rFonts w:ascii="黑体" w:hAnsi="黑体" w:eastAsia="黑体" w:cs="宋体"/>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ascii="黑体" w:hAnsi="黑体" w:eastAsia="黑体"/>
          <w:sz w:val="32"/>
          <w:szCs w:val="32"/>
        </w:rPr>
        <w:t>（一）机关运行经费及公用经费支出情况</w:t>
      </w:r>
      <w:bookmarkEnd w:id="26"/>
      <w:bookmarkEnd w:id="27"/>
    </w:p>
    <w:p>
      <w:pPr>
        <w:ind w:firstLine="640" w:firstLineChars="200"/>
        <w:rPr>
          <w:rFonts w:eastAsia="仿宋_GB2312"/>
          <w:sz w:val="32"/>
          <w:szCs w:val="32"/>
        </w:rPr>
      </w:pPr>
      <w:r>
        <w:rPr>
          <w:rFonts w:eastAsia="仿宋_GB2312"/>
          <w:sz w:val="32"/>
          <w:szCs w:val="32"/>
        </w:rPr>
        <w:t>2024年度哈密市文化馆（事业单位）公用经费支出8.99万元，比上年减少5.09万元，下降36.</w:t>
      </w:r>
      <w:r>
        <w:rPr>
          <w:rFonts w:hint="eastAsia" w:eastAsia="仿宋_GB2312"/>
          <w:sz w:val="32"/>
          <w:szCs w:val="32"/>
          <w:lang w:val="en-US" w:eastAsia="zh-CN"/>
        </w:rPr>
        <w:t>15</w:t>
      </w:r>
      <w:r>
        <w:rPr>
          <w:rFonts w:eastAsia="仿宋_GB2312"/>
          <w:sz w:val="32"/>
          <w:szCs w:val="32"/>
        </w:rPr>
        <w:t>%，主要原因是：</w:t>
      </w:r>
      <w:r>
        <w:rPr>
          <w:rFonts w:hint="eastAsia" w:eastAsia="仿宋_GB2312"/>
          <w:sz w:val="32"/>
          <w:szCs w:val="32"/>
        </w:rPr>
        <w:t>文化馆</w:t>
      </w:r>
      <w:r>
        <w:rPr>
          <w:rFonts w:eastAsia="仿宋_GB2312"/>
          <w:sz w:val="32"/>
          <w:szCs w:val="32"/>
        </w:rPr>
        <w:t>本年厉行节约，压缩经费，办公费、邮电费、委托业务费、公务用车运行维护费等公用经费支出减少。</w:t>
      </w:r>
    </w:p>
    <w:p>
      <w:pPr>
        <w:ind w:firstLine="640" w:firstLineChars="200"/>
        <w:outlineLvl w:val="2"/>
        <w:rPr>
          <w:rFonts w:ascii="黑体" w:hAnsi="黑体" w:eastAsia="黑体"/>
          <w:sz w:val="32"/>
          <w:szCs w:val="32"/>
        </w:rPr>
      </w:pPr>
      <w:bookmarkStart w:id="28" w:name="_Toc26704"/>
      <w:bookmarkStart w:id="29" w:name="_Toc227"/>
      <w:r>
        <w:rPr>
          <w:rFonts w:ascii="黑体" w:hAnsi="黑体" w:eastAsia="黑体"/>
          <w:sz w:val="32"/>
          <w:szCs w:val="32"/>
        </w:rPr>
        <w:t>（二）政府采购情况</w:t>
      </w:r>
      <w:bookmarkEnd w:id="28"/>
      <w:bookmarkEnd w:id="29"/>
    </w:p>
    <w:p>
      <w:pPr>
        <w:ind w:firstLine="640" w:firstLineChars="200"/>
        <w:rPr>
          <w:rFonts w:eastAsia="仿宋_GB2312"/>
          <w:sz w:val="32"/>
          <w:szCs w:val="32"/>
        </w:rPr>
      </w:pPr>
      <w:r>
        <w:rPr>
          <w:rFonts w:eastAsia="仿宋_GB2312"/>
          <w:sz w:val="32"/>
          <w:szCs w:val="32"/>
        </w:rPr>
        <w:t>2024年度政府采购支出总额57.83万元，其中：政府采购货物支出2.83万元、政府采购工程支出0.00万元、政府采购服务支出55.00万元。</w:t>
      </w:r>
    </w:p>
    <w:p>
      <w:pPr>
        <w:ind w:firstLine="640" w:firstLineChars="200"/>
        <w:rPr>
          <w:rFonts w:eastAsia="仿宋_GB2312"/>
          <w:sz w:val="32"/>
          <w:szCs w:val="32"/>
        </w:rPr>
      </w:pPr>
      <w:r>
        <w:rPr>
          <w:rFonts w:eastAsia="仿宋_GB2312"/>
          <w:sz w:val="32"/>
          <w:szCs w:val="32"/>
        </w:rPr>
        <w:t>授予中小企业合同金额57.53万元，占政府采购支出总额的99.48%，其中：授予小微企业合同金额57.53万元，占政府采购支出总额的99.48%。</w:t>
      </w:r>
    </w:p>
    <w:p>
      <w:pPr>
        <w:ind w:firstLine="640" w:firstLineChars="200"/>
        <w:outlineLvl w:val="2"/>
        <w:rPr>
          <w:rFonts w:ascii="黑体" w:hAnsi="黑体" w:eastAsia="黑体"/>
          <w:sz w:val="32"/>
          <w:szCs w:val="32"/>
        </w:rPr>
      </w:pPr>
      <w:bookmarkStart w:id="30" w:name="_Toc8391"/>
      <w:bookmarkStart w:id="31" w:name="_Toc4591"/>
      <w:r>
        <w:rPr>
          <w:rFonts w:ascii="黑体" w:hAnsi="黑体" w:eastAsia="黑体"/>
          <w:sz w:val="32"/>
          <w:szCs w:val="32"/>
        </w:rPr>
        <w:t>（三）国有资产占用情况说明</w:t>
      </w:r>
      <w:bookmarkEnd w:id="30"/>
      <w:bookmarkEnd w:id="31"/>
    </w:p>
    <w:p>
      <w:pPr>
        <w:ind w:firstLine="640" w:firstLineChars="200"/>
        <w:rPr>
          <w:rFonts w:eastAsia="仿宋_GB2312"/>
          <w:sz w:val="32"/>
          <w:szCs w:val="32"/>
        </w:rPr>
      </w:pPr>
      <w:r>
        <w:rPr>
          <w:rFonts w:eastAsia="仿宋_GB2312"/>
          <w:sz w:val="32"/>
          <w:szCs w:val="32"/>
        </w:rPr>
        <w:t>截至2024年12月31日，房屋4,571.82平方米，价值1,456.20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eastAsia="仿宋_GB2312"/>
          <w:sz w:val="32"/>
          <w:szCs w:val="32"/>
        </w:rPr>
        <w:t>文化馆</w:t>
      </w:r>
      <w:r>
        <w:rPr>
          <w:rFonts w:eastAsia="仿宋_GB2312"/>
          <w:sz w:val="32"/>
          <w:szCs w:val="32"/>
        </w:rPr>
        <w:t>无其他用车；单价100万元（含）以上设备（不含车辆）0台。</w:t>
      </w:r>
    </w:p>
    <w:p>
      <w:pPr>
        <w:ind w:firstLine="640" w:firstLineChars="200"/>
        <w:outlineLvl w:val="1"/>
        <w:rPr>
          <w:rFonts w:ascii="黑体" w:hAnsi="黑体" w:eastAsia="黑体" w:cs="宋体"/>
          <w:kern w:val="0"/>
          <w:sz w:val="32"/>
          <w:szCs w:val="32"/>
        </w:rPr>
      </w:pPr>
      <w:bookmarkStart w:id="32" w:name="_Toc435"/>
      <w:bookmarkStart w:id="33" w:name="_Toc11283"/>
      <w:r>
        <w:rPr>
          <w:rFonts w:ascii="黑体" w:hAnsi="黑体" w:eastAsia="黑体" w:cs="宋体"/>
          <w:kern w:val="0"/>
          <w:sz w:val="32"/>
          <w:szCs w:val="32"/>
        </w:rPr>
        <w:t>十一、预算绩效的情况说明</w:t>
      </w:r>
      <w:bookmarkEnd w:id="32"/>
      <w:bookmarkEnd w:id="33"/>
    </w:p>
    <w:p>
      <w:pPr>
        <w:ind w:firstLine="640" w:firstLineChars="200"/>
        <w:rPr>
          <w:rFonts w:eastAsia="仿宋_GB2312"/>
          <w:sz w:val="32"/>
          <w:szCs w:val="32"/>
        </w:rPr>
      </w:pPr>
      <w:r>
        <w:rPr>
          <w:rFonts w:eastAsia="仿宋_GB2312"/>
          <w:sz w:val="32"/>
          <w:szCs w:val="32"/>
        </w:rPr>
        <w:t>根据预算绩效管理要求，本单位2024年度预算绩效评价项目12个，全年预算数1,388.76万元，全年执行数1,377.28万元。预算绩效管理取得的成效：一是加强</w:t>
      </w:r>
      <w:r>
        <w:rPr>
          <w:rFonts w:hint="eastAsia" w:eastAsia="仿宋_GB2312"/>
          <w:sz w:val="32"/>
          <w:szCs w:val="32"/>
        </w:rPr>
        <w:t>了</w:t>
      </w:r>
      <w:r>
        <w:rPr>
          <w:rFonts w:eastAsia="仿宋_GB2312"/>
          <w:sz w:val="32"/>
          <w:szCs w:val="32"/>
        </w:rPr>
        <w:t>对绩效管理工作的组织领导，提高</w:t>
      </w:r>
      <w:r>
        <w:rPr>
          <w:rFonts w:hint="eastAsia" w:eastAsia="仿宋_GB2312"/>
          <w:sz w:val="32"/>
          <w:szCs w:val="32"/>
        </w:rPr>
        <w:t>了</w:t>
      </w:r>
      <w:r>
        <w:rPr>
          <w:rFonts w:eastAsia="仿宋_GB2312"/>
          <w:sz w:val="32"/>
          <w:szCs w:val="32"/>
        </w:rPr>
        <w:t>对预算绩效管理工作重要性认识；二是研究制定更全面</w:t>
      </w:r>
      <w:r>
        <w:rPr>
          <w:rFonts w:hint="eastAsia" w:eastAsia="仿宋_GB2312"/>
          <w:sz w:val="32"/>
          <w:szCs w:val="32"/>
        </w:rPr>
        <w:t>、</w:t>
      </w:r>
      <w:r>
        <w:rPr>
          <w:rFonts w:eastAsia="仿宋_GB2312"/>
          <w:sz w:val="32"/>
          <w:szCs w:val="32"/>
        </w:rPr>
        <w:t>更完善的绩效评价管理办法，建立绩效工作考核制度，加大对全面实施预算绩效管理工作的学习力度，让“花钱必问效，无效必问责”的理念深入每个工作环节。发现的问题及原因：一是绩效编制与监控过程中的沟通机制仍不顺畅，项目负责人之间缺乏充分交流，导致监控结果反馈不及时；二是部分人员对绩效监控的理解较为模糊，缺乏系统性认识，相关政策和制度的宣导力度有待加强。下一步改进措施：一是加强预算绩效的动态监控管理，实时跟踪项目进展，建立健全绩效监控沟通协调机制；二是组织针对专业技术人员的业务培训，提升预算绩效编制和评价的整体质量。</w:t>
      </w:r>
      <w:r>
        <w:rPr>
          <w:rFonts w:hint="eastAsia" w:eastAsia="仿宋_GB2312"/>
          <w:sz w:val="32"/>
          <w:szCs w:val="32"/>
          <w:lang w:eastAsia="zh-CN"/>
        </w:rPr>
        <w:t>具体项目自评情况附绩效自评表</w:t>
      </w:r>
      <w:r>
        <w:rPr>
          <w:rFonts w:eastAsia="仿宋_GB2312"/>
          <w:sz w:val="32"/>
          <w:szCs w:val="32"/>
        </w:rPr>
        <w:t>。</w:t>
      </w:r>
    </w:p>
    <w:p>
      <w:pPr>
        <w:ind w:firstLine="640" w:firstLineChars="200"/>
        <w:outlineLvl w:val="1"/>
        <w:rPr>
          <w:rFonts w:ascii="黑体" w:hAnsi="黑体" w:eastAsia="黑体" w:cs="宋体"/>
          <w:kern w:val="0"/>
          <w:sz w:val="32"/>
          <w:szCs w:val="32"/>
        </w:rPr>
      </w:pPr>
      <w:r>
        <w:rPr>
          <w:rFonts w:ascii="黑体" w:hAnsi="黑体" w:eastAsia="黑体" w:cs="宋体"/>
          <w:kern w:val="0"/>
          <w:sz w:val="32"/>
          <w:szCs w:val="32"/>
        </w:rPr>
        <w:t>十二、其他需说明的事项</w:t>
      </w:r>
    </w:p>
    <w:p>
      <w:pPr>
        <w:ind w:firstLine="640" w:firstLineChars="200"/>
        <w:rPr>
          <w:rFonts w:eastAsia="仿宋_GB2312"/>
          <w:sz w:val="32"/>
          <w:szCs w:val="32"/>
        </w:rPr>
      </w:pPr>
      <w:r>
        <w:rPr>
          <w:rFonts w:eastAsia="仿宋_GB2312"/>
          <w:sz w:val="32"/>
          <w:szCs w:val="32"/>
        </w:rPr>
        <w:t>本单位为哈密市文化体育广播电视和</w:t>
      </w:r>
      <w:bookmarkStart w:id="38" w:name="_GoBack"/>
      <w:bookmarkEnd w:id="38"/>
      <w:r>
        <w:rPr>
          <w:rFonts w:eastAsia="仿宋_GB2312"/>
          <w:sz w:val="32"/>
          <w:szCs w:val="32"/>
        </w:rPr>
        <w:t>旅游局的下属二级预算单位，预算绩效管理整体支出绩效自评工作由主管单位哈密市文化体育广播电视和旅游局负责，统一做一套整体支出绩效目标自评表，因此</w:t>
      </w:r>
      <w:r>
        <w:rPr>
          <w:rFonts w:hint="eastAsia" w:eastAsia="仿宋_GB2312"/>
          <w:sz w:val="32"/>
          <w:szCs w:val="32"/>
        </w:rPr>
        <w:t>文化馆</w:t>
      </w:r>
      <w:r>
        <w:rPr>
          <w:rFonts w:eastAsia="仿宋_GB2312"/>
          <w:sz w:val="32"/>
          <w:szCs w:val="32"/>
        </w:rPr>
        <w:t>无整体支出绩效目标自评表。</w:t>
      </w:r>
    </w:p>
    <w:p>
      <w:pPr>
        <w:ind w:firstLine="562" w:firstLineChars="200"/>
        <w:jc w:val="center"/>
        <w:outlineLvl w:val="0"/>
        <w:rPr>
          <w:rFonts w:ascii="黑体" w:hAnsi="黑体" w:eastAsia="黑体"/>
          <w:sz w:val="32"/>
          <w:szCs w:val="32"/>
        </w:rPr>
      </w:pPr>
      <w:bookmarkStart w:id="34" w:name="_Toc3250"/>
      <w:bookmarkStart w:id="35" w:name="_Toc24143"/>
      <w:r>
        <w:rPr>
          <w:rFonts w:ascii="黑体"/>
          <w:b/>
          <w:kern w:val="44"/>
          <w:sz w:val="28"/>
        </w:rPr>
        <w:br w:type="page"/>
      </w:r>
      <w:r>
        <w:rPr>
          <w:rFonts w:ascii="黑体" w:hAnsi="黑体" w:eastAsia="黑体"/>
          <w:sz w:val="32"/>
          <w:szCs w:val="32"/>
        </w:rPr>
        <w:t>第三部分 专业名词解释</w:t>
      </w:r>
      <w:bookmarkEnd w:id="34"/>
      <w:bookmarkEnd w:id="35"/>
    </w:p>
    <w:p>
      <w:pPr>
        <w:autoSpaceDE w:val="0"/>
        <w:autoSpaceDN w:val="0"/>
        <w:ind w:firstLine="643" w:firstLineChars="200"/>
        <w:rPr>
          <w:rFonts w:eastAsia="仿宋_GB2312"/>
          <w:sz w:val="32"/>
          <w:szCs w:val="32"/>
        </w:rPr>
      </w:pPr>
      <w:r>
        <w:rPr>
          <w:rFonts w:eastAsia="仿宋_GB2312"/>
          <w:b/>
          <w:sz w:val="32"/>
        </w:rPr>
        <w:t>一、财政拨款收入：</w:t>
      </w:r>
      <w:r>
        <w:rPr>
          <w:rFonts w:eastAsia="仿宋_GB2312"/>
          <w:sz w:val="32"/>
          <w:szCs w:val="32"/>
        </w:rPr>
        <w:t>指同级财政当年拨付的资金。</w:t>
      </w:r>
    </w:p>
    <w:p>
      <w:pPr>
        <w:autoSpaceDE w:val="0"/>
        <w:autoSpaceDN w:val="0"/>
        <w:ind w:firstLine="643" w:firstLineChars="200"/>
        <w:rPr>
          <w:rFonts w:eastAsia="仿宋_GB2312"/>
          <w:sz w:val="32"/>
        </w:rPr>
      </w:pPr>
      <w:r>
        <w:rPr>
          <w:rFonts w:eastAsia="仿宋_GB2312"/>
          <w:b/>
          <w:sz w:val="32"/>
          <w:szCs w:val="32"/>
        </w:rPr>
        <w:t>二、上级补助收入：</w:t>
      </w:r>
      <w:r>
        <w:rPr>
          <w:rFonts w:eastAsia="仿宋_GB2312"/>
          <w:sz w:val="32"/>
          <w:szCs w:val="32"/>
        </w:rPr>
        <w:t>指事业单位从主管部门和上级单位取得的非财政补助收入。</w:t>
      </w:r>
    </w:p>
    <w:p>
      <w:pPr>
        <w:autoSpaceDE w:val="0"/>
        <w:autoSpaceDN w:val="0"/>
        <w:ind w:firstLine="643" w:firstLineChars="200"/>
        <w:rPr>
          <w:rFonts w:eastAsia="仿宋_GB2312"/>
          <w:sz w:val="32"/>
          <w:szCs w:val="32"/>
        </w:rPr>
      </w:pPr>
      <w:r>
        <w:rPr>
          <w:rFonts w:eastAsia="仿宋_GB2312"/>
          <w:b/>
          <w:sz w:val="32"/>
          <w:szCs w:val="32"/>
        </w:rPr>
        <w:t>三、事业收入：</w:t>
      </w:r>
      <w:r>
        <w:rPr>
          <w:rFonts w:eastAsia="仿宋_GB2312"/>
          <w:sz w:val="32"/>
          <w:szCs w:val="32"/>
        </w:rPr>
        <w:t>指事业单位开展专业业务活动及其辅助活动所取得的收入。</w:t>
      </w:r>
    </w:p>
    <w:p>
      <w:pPr>
        <w:autoSpaceDE w:val="0"/>
        <w:autoSpaceDN w:val="0"/>
        <w:ind w:firstLine="643" w:firstLineChars="200"/>
        <w:rPr>
          <w:rFonts w:eastAsia="仿宋_GB2312"/>
          <w:sz w:val="32"/>
          <w:szCs w:val="32"/>
        </w:rPr>
      </w:pPr>
      <w:r>
        <w:rPr>
          <w:rFonts w:eastAsia="仿宋_GB2312"/>
          <w:b/>
          <w:sz w:val="32"/>
          <w:szCs w:val="32"/>
        </w:rPr>
        <w:t>四、经营收入：</w:t>
      </w:r>
      <w:r>
        <w:rPr>
          <w:rFonts w:eastAsia="仿宋_GB2312"/>
          <w:sz w:val="32"/>
          <w:szCs w:val="32"/>
        </w:rPr>
        <w:t>指事业单位在专业业务活动及其辅助活动之外开展非独立核算经营活动取得的收入。</w:t>
      </w:r>
    </w:p>
    <w:p>
      <w:pPr>
        <w:autoSpaceDE w:val="0"/>
        <w:autoSpaceDN w:val="0"/>
        <w:ind w:firstLine="643" w:firstLineChars="200"/>
        <w:rPr>
          <w:rFonts w:eastAsia="仿宋_GB2312"/>
          <w:sz w:val="32"/>
          <w:szCs w:val="32"/>
        </w:rPr>
      </w:pPr>
      <w:r>
        <w:rPr>
          <w:rFonts w:eastAsia="仿宋_GB2312"/>
          <w:b/>
          <w:sz w:val="32"/>
          <w:szCs w:val="32"/>
        </w:rPr>
        <w:t>五、附属单位上缴收入：</w:t>
      </w:r>
      <w:r>
        <w:rPr>
          <w:rFonts w:eastAsia="仿宋_GB2312"/>
          <w:sz w:val="32"/>
          <w:szCs w:val="32"/>
        </w:rPr>
        <w:t>指事业单位附属的独立核算单位按有关规定上缴的收入。</w:t>
      </w:r>
    </w:p>
    <w:p>
      <w:pPr>
        <w:autoSpaceDE w:val="0"/>
        <w:autoSpaceDN w:val="0"/>
        <w:ind w:firstLine="643" w:firstLineChars="200"/>
        <w:rPr>
          <w:rFonts w:eastAsia="仿宋_GB2312"/>
          <w:sz w:val="32"/>
          <w:szCs w:val="32"/>
        </w:rPr>
      </w:pPr>
      <w:r>
        <w:rPr>
          <w:rFonts w:eastAsia="仿宋_GB2312"/>
          <w:b/>
          <w:sz w:val="32"/>
          <w:szCs w:val="32"/>
        </w:rPr>
        <w:t>六、其他收入：</w:t>
      </w:r>
      <w:r>
        <w:rPr>
          <w:rFonts w:eastAsia="仿宋_GB2312"/>
          <w:sz w:val="32"/>
          <w:szCs w:val="32"/>
        </w:rPr>
        <w:t>指除上述“财政拨款收入</w:t>
      </w:r>
      <w:r>
        <w:rPr>
          <w:rFonts w:hint="eastAsia" w:eastAsia="仿宋_GB2312"/>
          <w:sz w:val="32"/>
          <w:szCs w:val="32"/>
          <w:lang w:eastAsia="zh-CN"/>
        </w:rPr>
        <w:t>”“</w:t>
      </w:r>
      <w:r>
        <w:rPr>
          <w:rFonts w:eastAsia="仿宋_GB2312"/>
          <w:sz w:val="32"/>
          <w:szCs w:val="32"/>
        </w:rPr>
        <w:t>事业收入</w:t>
      </w:r>
      <w:r>
        <w:rPr>
          <w:rFonts w:hint="eastAsia" w:eastAsia="仿宋_GB2312"/>
          <w:sz w:val="32"/>
          <w:szCs w:val="32"/>
          <w:lang w:eastAsia="zh-CN"/>
        </w:rPr>
        <w:t>”“</w:t>
      </w:r>
      <w:r>
        <w:rPr>
          <w:rFonts w:eastAsia="仿宋_GB2312"/>
          <w:sz w:val="32"/>
          <w:szCs w:val="32"/>
        </w:rPr>
        <w:t>经营收入</w:t>
      </w:r>
      <w:r>
        <w:rPr>
          <w:rFonts w:hint="eastAsia" w:eastAsia="仿宋_GB2312"/>
          <w:sz w:val="32"/>
          <w:szCs w:val="32"/>
          <w:lang w:eastAsia="zh-CN"/>
        </w:rPr>
        <w:t>”“</w:t>
      </w:r>
      <w:r>
        <w:rPr>
          <w:rFonts w:eastAsia="仿宋_GB2312"/>
          <w:sz w:val="32"/>
          <w:szCs w:val="32"/>
        </w:rPr>
        <w:t>附属单位上缴收入”等之外取得的收入。</w:t>
      </w:r>
    </w:p>
    <w:p>
      <w:pPr>
        <w:autoSpaceDE w:val="0"/>
        <w:autoSpaceDN w:val="0"/>
        <w:ind w:firstLine="643" w:firstLineChars="200"/>
        <w:rPr>
          <w:rFonts w:eastAsia="仿宋_GB2312"/>
          <w:sz w:val="32"/>
          <w:szCs w:val="32"/>
        </w:rPr>
      </w:pPr>
      <w:r>
        <w:rPr>
          <w:rFonts w:eastAsia="仿宋_GB2312"/>
          <w:b/>
          <w:sz w:val="32"/>
          <w:szCs w:val="32"/>
        </w:rPr>
        <w:t>七、年初结转和结余：</w:t>
      </w:r>
      <w:r>
        <w:rPr>
          <w:rFonts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eastAsia="仿宋_GB2312"/>
          <w:sz w:val="32"/>
          <w:szCs w:val="32"/>
        </w:rPr>
      </w:pPr>
      <w:r>
        <w:rPr>
          <w:rFonts w:eastAsia="仿宋_GB2312"/>
          <w:b/>
          <w:sz w:val="32"/>
          <w:szCs w:val="32"/>
        </w:rPr>
        <w:t>八、年末结转和结余：</w:t>
      </w:r>
      <w:r>
        <w:rPr>
          <w:rFonts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eastAsia="仿宋_GB2312"/>
          <w:sz w:val="32"/>
          <w:szCs w:val="32"/>
        </w:rPr>
      </w:pPr>
      <w:r>
        <w:rPr>
          <w:rFonts w:eastAsia="仿宋_GB2312"/>
          <w:b/>
          <w:sz w:val="32"/>
          <w:szCs w:val="32"/>
        </w:rPr>
        <w:t>九、基本支出：</w:t>
      </w:r>
      <w:r>
        <w:rPr>
          <w:rFonts w:eastAsia="仿宋_GB2312"/>
          <w:sz w:val="32"/>
          <w:szCs w:val="32"/>
        </w:rPr>
        <w:t>指为保障机构正常运转、完成日常工作任务而发生的人员支出和公用支出。</w:t>
      </w:r>
    </w:p>
    <w:p>
      <w:pPr>
        <w:autoSpaceDE w:val="0"/>
        <w:autoSpaceDN w:val="0"/>
        <w:ind w:firstLine="643" w:firstLineChars="200"/>
        <w:rPr>
          <w:rFonts w:eastAsia="仿宋_GB2312"/>
          <w:sz w:val="32"/>
          <w:szCs w:val="32"/>
        </w:rPr>
      </w:pPr>
      <w:r>
        <w:rPr>
          <w:rFonts w:eastAsia="仿宋_GB2312"/>
          <w:b/>
          <w:sz w:val="32"/>
          <w:szCs w:val="32"/>
        </w:rPr>
        <w:t>十、项目支出：</w:t>
      </w:r>
      <w:r>
        <w:rPr>
          <w:rFonts w:eastAsia="仿宋_GB2312"/>
          <w:sz w:val="32"/>
          <w:szCs w:val="32"/>
        </w:rPr>
        <w:t>指在基本支出之外为完成特定行政任务和事业发展目标所发生的支出。</w:t>
      </w:r>
    </w:p>
    <w:p>
      <w:pPr>
        <w:autoSpaceDE w:val="0"/>
        <w:autoSpaceDN w:val="0"/>
        <w:ind w:firstLine="643" w:firstLineChars="200"/>
        <w:rPr>
          <w:rFonts w:eastAsia="仿宋_GB2312"/>
          <w:sz w:val="32"/>
          <w:szCs w:val="32"/>
        </w:rPr>
      </w:pPr>
      <w:r>
        <w:rPr>
          <w:rFonts w:eastAsia="仿宋_GB2312"/>
          <w:b/>
          <w:sz w:val="32"/>
          <w:szCs w:val="32"/>
        </w:rPr>
        <w:t>十一、经营支出：</w:t>
      </w:r>
      <w:r>
        <w:rPr>
          <w:rFonts w:eastAsia="仿宋_GB2312"/>
          <w:sz w:val="32"/>
          <w:szCs w:val="32"/>
        </w:rPr>
        <w:t>指事业单位在专业业务活动及其辅助活动之外开展非独立核算经营活动发生的支出。</w:t>
      </w:r>
    </w:p>
    <w:p>
      <w:pPr>
        <w:autoSpaceDE w:val="0"/>
        <w:autoSpaceDN w:val="0"/>
        <w:ind w:firstLine="643" w:firstLineChars="200"/>
        <w:rPr>
          <w:rFonts w:eastAsia="仿宋_GB2312"/>
          <w:sz w:val="32"/>
          <w:szCs w:val="32"/>
        </w:rPr>
      </w:pPr>
      <w:r>
        <w:rPr>
          <w:rFonts w:eastAsia="仿宋_GB2312"/>
          <w:b/>
          <w:sz w:val="32"/>
          <w:szCs w:val="32"/>
        </w:rPr>
        <w:t>十二、对附属单位补助支出：</w:t>
      </w:r>
      <w:r>
        <w:rPr>
          <w:rFonts w:eastAsia="仿宋_GB2312"/>
          <w:sz w:val="32"/>
          <w:szCs w:val="32"/>
        </w:rPr>
        <w:t>指事业单位发生的用非财政预算资金对附属单位的补助支出。</w:t>
      </w:r>
    </w:p>
    <w:p>
      <w:pPr>
        <w:autoSpaceDE w:val="0"/>
        <w:autoSpaceDN w:val="0"/>
        <w:ind w:firstLine="643" w:firstLineChars="200"/>
        <w:rPr>
          <w:rFonts w:eastAsia="仿宋_GB2312"/>
          <w:sz w:val="32"/>
          <w:szCs w:val="32"/>
        </w:rPr>
      </w:pPr>
      <w:r>
        <w:rPr>
          <w:rFonts w:eastAsia="仿宋_GB2312"/>
          <w:b/>
          <w:sz w:val="32"/>
          <w:szCs w:val="32"/>
        </w:rPr>
        <w:t>十三、“三公”经费：</w:t>
      </w:r>
      <w:r>
        <w:rPr>
          <w:rFonts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费、保险费、安全奖励费用等支出；公务接待费反映单位按规定开支的各类公务接待（含外宾接待）费用。</w:t>
      </w:r>
    </w:p>
    <w:p>
      <w:pPr>
        <w:ind w:firstLine="643" w:firstLineChars="200"/>
        <w:rPr>
          <w:rFonts w:eastAsia="仿宋_GB2312"/>
          <w:sz w:val="32"/>
          <w:szCs w:val="32"/>
        </w:rPr>
      </w:pPr>
      <w:r>
        <w:rPr>
          <w:rFonts w:eastAsia="仿宋_GB2312"/>
          <w:b/>
          <w:sz w:val="32"/>
          <w:szCs w:val="32"/>
        </w:rPr>
        <w:t>十四、机关运行经费：</w:t>
      </w:r>
      <w:r>
        <w:rPr>
          <w:rFonts w:eastAsia="仿宋_GB2312"/>
          <w:sz w:val="32"/>
          <w:szCs w:val="32"/>
        </w:rPr>
        <w:t>行政单位和参照公务员法管理的事业单位财政拨款基本支出中的公用经费支出。</w:t>
      </w:r>
    </w:p>
    <w:p>
      <w:pPr>
        <w:ind w:firstLine="562" w:firstLineChars="200"/>
        <w:jc w:val="center"/>
        <w:outlineLvl w:val="0"/>
        <w:rPr>
          <w:rFonts w:ascii="黑体" w:hAnsi="黑体" w:eastAsia="黑体"/>
          <w:sz w:val="32"/>
          <w:szCs w:val="32"/>
        </w:rPr>
      </w:pPr>
      <w:bookmarkStart w:id="36" w:name="_Toc28903"/>
      <w:bookmarkStart w:id="37" w:name="_Toc22784"/>
      <w:r>
        <w:rPr>
          <w:rFonts w:ascii="黑体"/>
          <w:b/>
          <w:kern w:val="44"/>
          <w:sz w:val="28"/>
        </w:rPr>
        <w:br w:type="page"/>
      </w:r>
      <w:r>
        <w:rPr>
          <w:rFonts w:ascii="黑体" w:hAnsi="黑体" w:eastAsia="黑体"/>
          <w:sz w:val="32"/>
          <w:szCs w:val="32"/>
        </w:rPr>
        <w:t>第四部分 部门决算报表（见附表）</w:t>
      </w:r>
      <w:bookmarkEnd w:id="36"/>
      <w:bookmarkEnd w:id="37"/>
    </w:p>
    <w:p>
      <w:pPr>
        <w:ind w:firstLine="640" w:firstLineChars="200"/>
        <w:outlineLvl w:val="1"/>
        <w:rPr>
          <w:rFonts w:eastAsia="仿宋_GB2312"/>
          <w:kern w:val="0"/>
          <w:sz w:val="32"/>
          <w:szCs w:val="32"/>
        </w:rPr>
      </w:pPr>
      <w:r>
        <w:rPr>
          <w:rFonts w:eastAsia="仿宋_GB2312"/>
          <w:kern w:val="0"/>
          <w:sz w:val="32"/>
          <w:szCs w:val="32"/>
        </w:rPr>
        <w:t>一、《收入支出决算总表》</w:t>
      </w:r>
    </w:p>
    <w:p>
      <w:pPr>
        <w:ind w:firstLine="640" w:firstLineChars="200"/>
        <w:outlineLvl w:val="1"/>
        <w:rPr>
          <w:rFonts w:eastAsia="仿宋_GB2312"/>
          <w:kern w:val="0"/>
          <w:sz w:val="32"/>
          <w:szCs w:val="32"/>
        </w:rPr>
      </w:pPr>
      <w:r>
        <w:rPr>
          <w:rFonts w:eastAsia="仿宋_GB2312"/>
          <w:kern w:val="0"/>
          <w:sz w:val="32"/>
          <w:szCs w:val="32"/>
        </w:rPr>
        <w:t>二、《收入决算表》</w:t>
      </w:r>
    </w:p>
    <w:p>
      <w:pPr>
        <w:ind w:firstLine="640" w:firstLineChars="200"/>
        <w:outlineLvl w:val="1"/>
        <w:rPr>
          <w:rFonts w:eastAsia="仿宋_GB2312"/>
          <w:kern w:val="0"/>
          <w:sz w:val="32"/>
          <w:szCs w:val="32"/>
        </w:rPr>
      </w:pPr>
      <w:r>
        <w:rPr>
          <w:rFonts w:eastAsia="仿宋_GB2312"/>
          <w:kern w:val="0"/>
          <w:sz w:val="32"/>
          <w:szCs w:val="32"/>
        </w:rPr>
        <w:t>三、《支出决算表》</w:t>
      </w:r>
    </w:p>
    <w:p>
      <w:pPr>
        <w:ind w:firstLine="640" w:firstLineChars="200"/>
        <w:outlineLvl w:val="1"/>
        <w:rPr>
          <w:rFonts w:eastAsia="仿宋_GB2312"/>
          <w:kern w:val="0"/>
          <w:sz w:val="32"/>
          <w:szCs w:val="32"/>
        </w:rPr>
      </w:pPr>
      <w:r>
        <w:rPr>
          <w:rFonts w:eastAsia="仿宋_GB2312"/>
          <w:kern w:val="0"/>
          <w:sz w:val="32"/>
          <w:szCs w:val="32"/>
        </w:rPr>
        <w:t>四、《财政拨款收入支出决算总表》</w:t>
      </w:r>
    </w:p>
    <w:p>
      <w:pPr>
        <w:ind w:firstLine="640" w:firstLineChars="200"/>
        <w:outlineLvl w:val="1"/>
        <w:rPr>
          <w:rFonts w:eastAsia="仿宋_GB2312"/>
          <w:kern w:val="0"/>
          <w:sz w:val="32"/>
          <w:szCs w:val="32"/>
        </w:rPr>
      </w:pPr>
      <w:r>
        <w:rPr>
          <w:rFonts w:eastAsia="仿宋_GB2312"/>
          <w:kern w:val="0"/>
          <w:sz w:val="32"/>
          <w:szCs w:val="32"/>
        </w:rPr>
        <w:t>五、《一般公共预算财政拨款支出决算表》</w:t>
      </w:r>
    </w:p>
    <w:p>
      <w:pPr>
        <w:ind w:firstLine="640" w:firstLineChars="200"/>
        <w:outlineLvl w:val="1"/>
        <w:rPr>
          <w:rFonts w:eastAsia="仿宋_GB2312"/>
          <w:kern w:val="0"/>
          <w:sz w:val="32"/>
          <w:szCs w:val="32"/>
        </w:rPr>
      </w:pPr>
      <w:r>
        <w:rPr>
          <w:rFonts w:eastAsia="仿宋_GB2312"/>
          <w:kern w:val="0"/>
          <w:sz w:val="32"/>
          <w:szCs w:val="32"/>
        </w:rPr>
        <w:t>六、《一般公共预算财政拨款基本支出决算表》</w:t>
      </w:r>
    </w:p>
    <w:p>
      <w:pPr>
        <w:ind w:firstLine="640" w:firstLineChars="200"/>
        <w:outlineLvl w:val="1"/>
        <w:rPr>
          <w:rFonts w:eastAsia="仿宋_GB2312"/>
          <w:kern w:val="0"/>
          <w:sz w:val="32"/>
          <w:szCs w:val="32"/>
        </w:rPr>
      </w:pPr>
      <w:r>
        <w:rPr>
          <w:rFonts w:eastAsia="仿宋_GB2312"/>
          <w:kern w:val="0"/>
          <w:sz w:val="32"/>
          <w:szCs w:val="32"/>
        </w:rPr>
        <w:t>七、《政府性基金预算财政拨款收入支出决算表》</w:t>
      </w:r>
    </w:p>
    <w:p>
      <w:pPr>
        <w:ind w:firstLine="640" w:firstLineChars="200"/>
        <w:outlineLvl w:val="1"/>
        <w:rPr>
          <w:rFonts w:eastAsia="仿宋_GB2312"/>
          <w:kern w:val="0"/>
          <w:sz w:val="32"/>
          <w:szCs w:val="32"/>
        </w:rPr>
      </w:pPr>
      <w:r>
        <w:rPr>
          <w:rFonts w:eastAsia="仿宋_GB2312"/>
          <w:kern w:val="0"/>
          <w:sz w:val="32"/>
          <w:szCs w:val="32"/>
        </w:rPr>
        <w:t>八、《国有资本经营预算财政拨款收入支出决算表》</w:t>
      </w:r>
    </w:p>
    <w:p>
      <w:pPr>
        <w:ind w:firstLine="640" w:firstLineChars="200"/>
        <w:outlineLvl w:val="1"/>
        <w:rPr>
          <w:rFonts w:eastAsia="仿宋_GB2312"/>
          <w:kern w:val="0"/>
          <w:sz w:val="32"/>
          <w:szCs w:val="32"/>
        </w:rPr>
      </w:pPr>
      <w:r>
        <w:rPr>
          <w:rFonts w:eastAsia="仿宋_GB2312"/>
          <w:kern w:val="0"/>
          <w:sz w:val="32"/>
          <w:szCs w:val="32"/>
          <w:lang w:val="zh-CN"/>
        </w:rPr>
        <w:t>九</w:t>
      </w:r>
      <w:r>
        <w:rPr>
          <w:rFonts w:eastAsia="仿宋_GB2312"/>
          <w:kern w:val="0"/>
          <w:sz w:val="32"/>
          <w:szCs w:val="32"/>
        </w:rPr>
        <w:t>、《财政拨款“三公”经费支出决算表》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3000502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153"/>
        <w:tab w:val="right" w:pos="8306"/>
      </w:tabs>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tabs>
                    <w:tab w:val="center" w:pos="4153"/>
                    <w:tab w:val="right" w:pos="8306"/>
                  </w:tabs>
                </w:pPr>
                <w:r>
                  <w:fldChar w:fldCharType="begin"/>
                </w:r>
                <w:r>
                  <w:instrText xml:space="preserve"> PAGE \* MERGEFORMAT</w:instrText>
                </w:r>
                <w:r>
                  <w:fldChar w:fldCharType="separate"/>
                </w:r>
                <w:r>
                  <w:t>18</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16740"/>
    <w:rsid w:val="00516740"/>
    <w:rsid w:val="00C03BDA"/>
    <w:rsid w:val="135C2523"/>
    <w:rsid w:val="1D1527D7"/>
    <w:rsid w:val="33E93EA1"/>
    <w:rsid w:val="368977CA"/>
    <w:rsid w:val="3BC967A5"/>
    <w:rsid w:val="4CB470F9"/>
    <w:rsid w:val="4DD07203"/>
    <w:rsid w:val="568152FB"/>
    <w:rsid w:val="57A072C9"/>
    <w:rsid w:val="662B23BE"/>
    <w:rsid w:val="714B4114"/>
    <w:rsid w:val="75D923DD"/>
    <w:rsid w:val="7F262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仿宋_GB2312" w:eastAsia="仿宋_GB2312" w:cs="仿宋_GB2312"/>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宋体" w:cs="仿宋_GB2312"/>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snapToGrid w:val="0"/>
      <w:jc w:val="left"/>
    </w:pPr>
    <w:rPr>
      <w:sz w:val="18"/>
    </w:rPr>
  </w:style>
  <w:style w:type="paragraph" w:styleId="5">
    <w:name w:val="header"/>
    <w:basedOn w:val="1"/>
    <w:qFormat/>
    <w:uiPriority w:val="0"/>
    <w:pPr>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仿宋_GB2312" w:hAnsi="仿宋_GB2312" w:eastAsia="仿宋_GB2312" w:cs="仿宋_GB2312"/>
      <w:lang w:val="en-US" w:eastAsia="zh-CN" w:bidi="ar-SA"/>
    </w:rPr>
  </w:style>
  <w:style w:type="paragraph" w:customStyle="1" w:styleId="11">
    <w:name w:val="WPSOffice手动目录 2"/>
    <w:qFormat/>
    <w:uiPriority w:val="0"/>
    <w:pPr>
      <w:ind w:left="200" w:leftChars="200"/>
    </w:pPr>
    <w:rPr>
      <w:rFonts w:ascii="仿宋_GB2312" w:hAnsi="仿宋_GB2312" w:eastAsia="仿宋_GB2312" w:cs="仿宋_GB2312"/>
      <w:lang w:val="en-US" w:eastAsia="zh-CN" w:bidi="ar-SA"/>
    </w:rPr>
  </w:style>
  <w:style w:type="paragraph" w:customStyle="1" w:styleId="12">
    <w:name w:val="WPSOffice手动目录 1"/>
    <w:qFormat/>
    <w:uiPriority w:val="0"/>
    <w:rPr>
      <w:rFonts w:ascii="仿宋_GB2312" w:hAnsi="仿宋_GB2312" w:eastAsia="仿宋_GB2312" w:cs="仿宋_GB231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6493</Words>
  <Characters>7207</Characters>
  <Lines>58</Lines>
  <Paragraphs>16</Paragraphs>
  <TotalTime>0</TotalTime>
  <ScaleCrop>false</ScaleCrop>
  <LinksUpToDate>false</LinksUpToDate>
  <CharactersWithSpaces>7217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2025-10-10T01:07:00Z</dcterms:created>
  <dc:creator>GXR</dc:creator>
  <cp:lastModifiedBy>wyjcecilia</cp:lastModifiedBy>
  <dcterms:modified xsi:type="dcterms:W3CDTF">2025-09-25T03:35:18Z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eyJoZGlkIjoiOWFkZDlhZTBmN2RkMjhiMWU4OTFiYmRlYmM5OWExYzAiLCJ1c2VySWQiOiIxOTI5NTcyMzUifQ==</vt:lpwstr>
  </property>
  <property fmtid="{D5CDD505-2E9C-101B-9397-08002B2CF9AE}" pid="3" name="KSOProductBuildVer">
    <vt:lpwstr>2052-11.8.2.8621</vt:lpwstr>
  </property>
  <property fmtid="{D5CDD505-2E9C-101B-9397-08002B2CF9AE}" pid="4" name="ICV">
    <vt:lpwstr>E8A16D8849004CD8B5193E8803554F77</vt:lpwstr>
  </property>
</Properties>
</file>