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val="0"/>
          <w:bCs/>
          <w:kern w:val="0"/>
          <w:sz w:val="52"/>
          <w:szCs w:val="52"/>
        </w:rPr>
      </w:pPr>
      <w:r>
        <w:rPr>
          <w:rFonts w:hint="default" w:ascii="Times New Roman" w:hAnsi="Times New Roman" w:eastAsia="华文中宋" w:cs="Times New Roman"/>
          <w:b w:val="0"/>
          <w:bCs/>
          <w:kern w:val="0"/>
          <w:sz w:val="52"/>
          <w:szCs w:val="52"/>
        </w:rPr>
        <w:t>政协委员活动经费</w:t>
      </w:r>
    </w:p>
    <w:p>
      <w:pPr>
        <w:spacing w:line="540" w:lineRule="exact"/>
        <w:jc w:val="center"/>
        <w:rPr>
          <w:rFonts w:hint="default" w:ascii="Times New Roman" w:hAnsi="Times New Roman" w:eastAsia="华文中宋" w:cs="Times New Roman"/>
          <w:b w:val="0"/>
          <w:bCs/>
          <w:kern w:val="0"/>
          <w:sz w:val="52"/>
          <w:szCs w:val="52"/>
        </w:rPr>
      </w:pPr>
      <w:r>
        <w:rPr>
          <w:rFonts w:hint="default" w:ascii="Times New Roman" w:hAnsi="Times New Roman" w:eastAsia="华文中宋" w:cs="Times New Roman"/>
          <w:b w:val="0"/>
          <w:bCs/>
          <w:kern w:val="0"/>
          <w:sz w:val="52"/>
          <w:szCs w:val="52"/>
        </w:rPr>
        <w:t>项目支出绩效评价报告</w:t>
      </w:r>
    </w:p>
    <w:p>
      <w:pPr>
        <w:spacing w:line="540" w:lineRule="exact"/>
        <w:jc w:val="center"/>
        <w:rPr>
          <w:rFonts w:hint="default" w:ascii="Times New Roman" w:hAnsi="Times New Roman" w:eastAsia="方正小标宋_GBK" w:cs="Times New Roman"/>
          <w:kern w:val="0"/>
          <w:sz w:val="48"/>
          <w:szCs w:val="48"/>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11"/>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keepNext w:val="0"/>
        <w:keepLines w:val="0"/>
        <w:pageBreakBefore w:val="0"/>
        <w:widowControl w:val="0"/>
        <w:kinsoku/>
        <w:wordWrap/>
        <w:overflowPunct/>
        <w:topLinePunct w:val="0"/>
        <w:autoSpaceDE/>
        <w:autoSpaceDN/>
        <w:bidi w:val="0"/>
        <w:adjustRightInd/>
        <w:snapToGrid/>
        <w:spacing w:line="700" w:lineRule="exact"/>
        <w:ind w:firstLine="1440" w:firstLineChars="400"/>
        <w:jc w:val="left"/>
        <w:textAlignment w:val="auto"/>
        <w:rPr>
          <w:rFonts w:hint="default" w:eastAsia="仿宋_GB2312"/>
          <w:kern w:val="0"/>
          <w:sz w:val="36"/>
          <w:szCs w:val="36"/>
        </w:rPr>
      </w:pPr>
      <w:r>
        <w:rPr>
          <w:rFonts w:hint="default" w:eastAsia="仿宋_GB2312"/>
          <w:kern w:val="0"/>
          <w:sz w:val="36"/>
          <w:szCs w:val="36"/>
        </w:rPr>
        <w:t>项目名称：政协委员活动经费</w:t>
      </w:r>
    </w:p>
    <w:p>
      <w:pPr>
        <w:keepNext w:val="0"/>
        <w:keepLines w:val="0"/>
        <w:pageBreakBefore w:val="0"/>
        <w:widowControl w:val="0"/>
        <w:kinsoku/>
        <w:wordWrap/>
        <w:overflowPunct/>
        <w:topLinePunct w:val="0"/>
        <w:autoSpaceDE/>
        <w:autoSpaceDN/>
        <w:bidi w:val="0"/>
        <w:adjustRightInd/>
        <w:snapToGrid/>
        <w:spacing w:line="700" w:lineRule="exact"/>
        <w:ind w:left="1436" w:leftChars="684" w:firstLine="0" w:firstLineChars="0"/>
        <w:jc w:val="left"/>
        <w:textAlignment w:val="auto"/>
        <w:rPr>
          <w:rFonts w:hint="default" w:eastAsia="仿宋_GB2312"/>
          <w:kern w:val="0"/>
          <w:sz w:val="36"/>
          <w:szCs w:val="36"/>
        </w:rPr>
      </w:pPr>
      <w:r>
        <w:rPr>
          <w:rFonts w:hint="default" w:eastAsia="仿宋_GB2312"/>
          <w:kern w:val="0"/>
          <w:sz w:val="36"/>
          <w:szCs w:val="36"/>
        </w:rPr>
        <w:t>实施单位（公章）：中国人民政治协商会议哈密市委员会</w:t>
      </w:r>
    </w:p>
    <w:p>
      <w:pPr>
        <w:keepNext w:val="0"/>
        <w:keepLines w:val="0"/>
        <w:pageBreakBefore w:val="0"/>
        <w:widowControl w:val="0"/>
        <w:kinsoku/>
        <w:wordWrap/>
        <w:overflowPunct/>
        <w:topLinePunct w:val="0"/>
        <w:autoSpaceDE/>
        <w:autoSpaceDN/>
        <w:bidi w:val="0"/>
        <w:adjustRightInd/>
        <w:snapToGrid/>
        <w:spacing w:line="700" w:lineRule="exact"/>
        <w:ind w:left="1436" w:leftChars="684" w:firstLine="0" w:firstLineChars="0"/>
        <w:jc w:val="left"/>
        <w:textAlignment w:val="auto"/>
        <w:rPr>
          <w:rFonts w:hint="default" w:eastAsia="仿宋_GB2312"/>
          <w:kern w:val="0"/>
          <w:sz w:val="36"/>
          <w:szCs w:val="36"/>
        </w:rPr>
      </w:pPr>
      <w:r>
        <w:rPr>
          <w:rFonts w:hint="default" w:eastAsia="仿宋_GB2312"/>
          <w:kern w:val="0"/>
          <w:sz w:val="36"/>
          <w:szCs w:val="36"/>
        </w:rPr>
        <w:t>主管部门（公章）：中国人民政治协商会议哈密市委员会</w:t>
      </w:r>
    </w:p>
    <w:p>
      <w:pPr>
        <w:keepNext w:val="0"/>
        <w:keepLines w:val="0"/>
        <w:pageBreakBefore w:val="0"/>
        <w:widowControl w:val="0"/>
        <w:kinsoku/>
        <w:wordWrap/>
        <w:overflowPunct/>
        <w:topLinePunct w:val="0"/>
        <w:autoSpaceDE/>
        <w:autoSpaceDN/>
        <w:bidi w:val="0"/>
        <w:adjustRightInd/>
        <w:snapToGrid/>
        <w:spacing w:line="700" w:lineRule="exact"/>
        <w:ind w:firstLine="1440" w:firstLineChars="400"/>
        <w:jc w:val="left"/>
        <w:textAlignment w:val="auto"/>
        <w:rPr>
          <w:rFonts w:hint="default" w:eastAsia="仿宋_GB2312"/>
          <w:kern w:val="0"/>
          <w:sz w:val="36"/>
          <w:szCs w:val="36"/>
          <w:lang w:val="en-US" w:eastAsia="zh-CN"/>
        </w:rPr>
      </w:pPr>
      <w:r>
        <w:rPr>
          <w:rFonts w:hint="default" w:eastAsia="仿宋_GB2312"/>
          <w:kern w:val="0"/>
          <w:sz w:val="36"/>
          <w:szCs w:val="36"/>
        </w:rPr>
        <w:t>项目负责人（签章）：</w:t>
      </w:r>
      <w:r>
        <w:rPr>
          <w:rFonts w:hint="eastAsia" w:eastAsia="仿宋_GB2312"/>
          <w:kern w:val="0"/>
          <w:sz w:val="36"/>
          <w:szCs w:val="36"/>
          <w:lang w:val="en-US" w:eastAsia="zh-CN"/>
        </w:rPr>
        <w:t>张宇</w:t>
      </w:r>
    </w:p>
    <w:p>
      <w:pPr>
        <w:keepNext w:val="0"/>
        <w:keepLines w:val="0"/>
        <w:pageBreakBefore w:val="0"/>
        <w:widowControl w:val="0"/>
        <w:kinsoku/>
        <w:wordWrap/>
        <w:overflowPunct/>
        <w:topLinePunct w:val="0"/>
        <w:autoSpaceDE/>
        <w:autoSpaceDN/>
        <w:bidi w:val="0"/>
        <w:adjustRightInd/>
        <w:snapToGrid/>
        <w:spacing w:line="700" w:lineRule="exact"/>
        <w:ind w:firstLine="1440" w:firstLineChars="400"/>
        <w:jc w:val="left"/>
        <w:textAlignment w:val="auto"/>
        <w:rPr>
          <w:rFonts w:hint="default" w:ascii="Times New Roman" w:hAnsi="Times New Roman" w:eastAsia="仿宋_GB2312" w:cs="Times New Roman"/>
          <w:kern w:val="0"/>
          <w:sz w:val="36"/>
          <w:szCs w:val="36"/>
        </w:rPr>
      </w:pPr>
      <w:r>
        <w:rPr>
          <w:rFonts w:hint="default" w:eastAsia="仿宋_GB2312"/>
          <w:kern w:val="0"/>
          <w:sz w:val="36"/>
          <w:szCs w:val="36"/>
        </w:rPr>
        <w:t>填报时间：</w:t>
      </w:r>
      <w:r>
        <w:rPr>
          <w:rFonts w:hint="eastAsia" w:eastAsia="仿宋_GB2312"/>
          <w:kern w:val="0"/>
          <w:sz w:val="36"/>
          <w:szCs w:val="36"/>
          <w:lang w:val="en-US" w:eastAsia="zh-CN"/>
        </w:rPr>
        <w:t>2025</w:t>
      </w:r>
      <w:r>
        <w:rPr>
          <w:rFonts w:hint="default" w:eastAsia="仿宋_GB2312"/>
          <w:kern w:val="0"/>
          <w:sz w:val="36"/>
          <w:szCs w:val="36"/>
        </w:rPr>
        <w:t>年</w:t>
      </w:r>
      <w:r>
        <w:rPr>
          <w:rFonts w:hint="eastAsia" w:eastAsia="仿宋_GB2312"/>
          <w:kern w:val="0"/>
          <w:sz w:val="36"/>
          <w:szCs w:val="36"/>
          <w:lang w:val="en-US" w:eastAsia="zh-CN"/>
        </w:rPr>
        <w:t>3</w:t>
      </w:r>
      <w:r>
        <w:rPr>
          <w:rFonts w:hint="default" w:eastAsia="仿宋_GB2312"/>
          <w:kern w:val="0"/>
          <w:sz w:val="36"/>
          <w:szCs w:val="36"/>
        </w:rPr>
        <w:t>月</w:t>
      </w:r>
      <w:r>
        <w:rPr>
          <w:rFonts w:hint="eastAsia" w:eastAsia="仿宋_GB2312"/>
          <w:kern w:val="0"/>
          <w:sz w:val="36"/>
          <w:szCs w:val="36"/>
          <w:lang w:val="en-US" w:eastAsia="zh-CN"/>
        </w:rPr>
        <w:t>12</w:t>
      </w:r>
      <w:r>
        <w:rPr>
          <w:rFonts w:hint="default" w:eastAsia="仿宋_GB2312"/>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7"/>
          <w:rFonts w:hint="default" w:ascii="Times New Roman" w:hAnsi="Times New Roman" w:eastAsia="黑体" w:cs="Times New Roman"/>
          <w:b w:val="0"/>
          <w:spacing w:val="-4"/>
          <w:sz w:val="32"/>
          <w:szCs w:val="32"/>
        </w:rPr>
      </w:pPr>
    </w:p>
    <w:p>
      <w:pPr>
        <w:spacing w:line="560" w:lineRule="exact"/>
        <w:rPr>
          <w:rFonts w:hint="default" w:ascii="Times New Roman" w:hAnsi="Times New Roman" w:eastAsia="黑体" w:cs="Times New Roman"/>
          <w:bCs/>
          <w:sz w:val="32"/>
          <w:szCs w:val="32"/>
        </w:rPr>
        <w:sectPr>
          <w:pgSz w:w="11906" w:h="16838"/>
          <w:pgMar w:top="1440" w:right="1558"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pStyle w:val="11"/>
        <w:numPr>
          <w:ilvl w:val="0"/>
          <w:numId w:val="0"/>
        </w:numPr>
        <w:spacing w:before="0" w:after="0" w:line="560" w:lineRule="exact"/>
        <w:ind w:firstLine="640" w:firstLineChars="200"/>
        <w:jc w:val="both"/>
        <w:rPr>
          <w:rFonts w:hint="default"/>
          <w:lang w:val="en-US" w:eastAsia="zh-CN"/>
        </w:rPr>
      </w:pPr>
      <w:r>
        <w:rPr>
          <w:rFonts w:hint="eastAsia" w:ascii="仿宋_GB2312" w:hAnsi="Times New Roman" w:eastAsia="仿宋_GB2312" w:cs="Times New Roman"/>
          <w:b w:val="0"/>
          <w:bCs w:val="0"/>
          <w:kern w:val="2"/>
          <w:sz w:val="32"/>
          <w:szCs w:val="32"/>
          <w:lang w:val="en-US" w:eastAsia="zh-CN" w:bidi="ar-SA"/>
        </w:rPr>
        <w:t>经费的保障是落实《中国人民政治协商会议章程》关于“为委员履职创造条件”要求的具体体现。政协委员活动经费的设立基于人民政协“政治协商、民主监督、参政议政”三大核心职能。调研视察是履行职能的基础性工作，只有通过实地考察、深入调研，才能掌握社情民意，为党和政府决策提供科学依据。</w:t>
      </w:r>
    </w:p>
    <w:p>
      <w:pPr>
        <w:pStyle w:val="11"/>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ind w:left="0" w:right="0" w:firstLine="600" w:firstLineChars="200"/>
        <w:jc w:val="both"/>
        <w:textAlignment w:val="auto"/>
        <w:outlineLvl w:val="0"/>
        <w:rPr>
          <w:rFonts w:hint="default" w:ascii="Times New Roman" w:hAnsi="Times New Roman" w:eastAsia="黑体" w:cs="Times New Roman"/>
          <w:highlight w:val="none"/>
          <w:shd w:val="clear" w:color="auto" w:fill="auto"/>
          <w:lang w:eastAsia="zh-CN"/>
        </w:rPr>
      </w:pPr>
      <w:r>
        <w:rPr>
          <w:rFonts w:hint="default" w:ascii="Times New Roman" w:hAnsi="Times New Roman" w:eastAsia="仿宋_GB2312" w:cs="Times New Roman"/>
          <w:sz w:val="30"/>
          <w:szCs w:val="30"/>
          <w:highlight w:val="none"/>
          <w:shd w:val="clear" w:color="auto" w:fill="auto"/>
          <w:lang w:val="en-US" w:eastAsia="zh-CN"/>
        </w:rPr>
        <w:t>项</w:t>
      </w:r>
      <w:r>
        <w:rPr>
          <w:rFonts w:hint="default" w:ascii="Times New Roman" w:hAnsi="Times New Roman" w:eastAsia="仿宋_GB2312" w:cs="Times New Roman"/>
          <w:b w:val="0"/>
          <w:bCs w:val="0"/>
          <w:kern w:val="2"/>
          <w:sz w:val="32"/>
          <w:szCs w:val="32"/>
          <w:highlight w:val="none"/>
          <w:shd w:val="clear" w:color="auto" w:fill="auto"/>
          <w:lang w:val="en-US" w:eastAsia="zh-CN" w:bidi="ar-SA"/>
        </w:rPr>
        <w:t>目主要内容：</w:t>
      </w:r>
      <w:r>
        <w:rPr>
          <w:rFonts w:hint="eastAsia" w:ascii="Times New Roman" w:hAnsi="Times New Roman" w:eastAsia="仿宋_GB2312" w:cs="Times New Roman"/>
          <w:b w:val="0"/>
          <w:bCs w:val="0"/>
          <w:kern w:val="2"/>
          <w:sz w:val="32"/>
          <w:szCs w:val="32"/>
          <w:highlight w:val="none"/>
          <w:shd w:val="clear" w:color="auto" w:fill="auto"/>
          <w:lang w:val="en-US" w:eastAsia="zh-CN" w:bidi="ar-SA"/>
        </w:rPr>
        <w:t>（一）专题议政性常务委员会会议2024年6月，</w:t>
      </w:r>
      <w:r>
        <w:rPr>
          <w:rFonts w:hint="eastAsia" w:ascii="仿宋_GB2312" w:hAnsi="Times New Roman" w:eastAsia="仿宋_GB2312" w:cs="Times New Roman"/>
          <w:b w:val="0"/>
          <w:bCs w:val="0"/>
          <w:kern w:val="2"/>
          <w:sz w:val="32"/>
          <w:szCs w:val="32"/>
          <w:highlight w:val="none"/>
          <w:shd w:val="clear" w:color="auto" w:fill="auto"/>
          <w:lang w:val="en-US" w:eastAsia="zh-CN" w:bidi="ar-SA"/>
        </w:rPr>
        <w:t>召开二届市政协第九次常委会会议，围绕“紧紧聚焦工作主线，创建铸牢中华民族共同体意识示范区”议题，开展专题协商。设四个子课题：一</w:t>
      </w:r>
      <w:r>
        <w:rPr>
          <w:rFonts w:hint="eastAsia" w:ascii="Times New Roman" w:hAnsi="Times New Roman" w:eastAsia="仿宋_GB2312" w:cs="Times New Roman"/>
          <w:b w:val="0"/>
          <w:bCs w:val="0"/>
          <w:kern w:val="2"/>
          <w:sz w:val="32"/>
          <w:szCs w:val="32"/>
          <w:highlight w:val="none"/>
          <w:shd w:val="clear" w:color="auto" w:fill="auto"/>
          <w:lang w:val="en-US" w:eastAsia="zh-CN" w:bidi="ar-SA"/>
        </w:rPr>
        <w:t>是加强有形有感有效体系建设、实景实物实事载体建设，不断深化各族群众交往交流交融；二是加强对青少年的现代文明教育、科普教育，扎实推进青少年“筑基”工程；三是加强中华优秀传统文化传播传承，加大文物和文化遗产保护力度，不断构筑各族群众共有精神家园；四是提升民族事务治理体系和治理能力，打造民族团结进步示范市升级版。2024年9月，召开二届市政协第十次常委会会议，围绕“抢抓新疆建设新机遇，加快推进哈密现代物流业发展”议题，开展专题协商。设四个子课题：一是大力推动物流枢纽建设，加快构建“通道+枢纽+网络</w:t>
      </w:r>
      <w:r>
        <w:rPr>
          <w:rFonts w:hint="eastAsia" w:eastAsia="仿宋_GB2312" w:cs="Times New Roman"/>
          <w:b w:val="0"/>
          <w:bCs w:val="0"/>
          <w:kern w:val="2"/>
          <w:sz w:val="32"/>
          <w:szCs w:val="32"/>
          <w:highlight w:val="none"/>
          <w:shd w:val="clear" w:color="auto" w:fill="auto"/>
          <w:lang w:val="en-US" w:eastAsia="zh-CN" w:bidi="ar-SA"/>
        </w:rPr>
        <w:t>”</w:t>
      </w:r>
      <w:r>
        <w:rPr>
          <w:rFonts w:hint="eastAsia" w:ascii="Times New Roman" w:hAnsi="Times New Roman" w:eastAsia="仿宋_GB2312" w:cs="Times New Roman"/>
          <w:b w:val="0"/>
          <w:bCs w:val="0"/>
          <w:kern w:val="2"/>
          <w:sz w:val="32"/>
          <w:szCs w:val="32"/>
          <w:highlight w:val="none"/>
          <w:shd w:val="clear" w:color="auto" w:fill="auto"/>
          <w:lang w:val="en-US" w:eastAsia="zh-CN" w:bidi="ar-SA"/>
        </w:rPr>
        <w:t>的现代综合物流体系，高水平建设陆港型国家物流枢纽；二是支持本地物流做大做强，优化物流运作体系和商业模式，打造进出疆物资集散分拨中心、商贸物流组装加工中心；三是积极开展农村物流网络节点建设，健全县乡村三级物流网络，促进乡村振兴；四是按照“港口+物流+产业</w:t>
      </w:r>
      <w:r>
        <w:rPr>
          <w:rFonts w:hint="eastAsia" w:eastAsia="仿宋_GB2312" w:cs="Times New Roman"/>
          <w:b w:val="0"/>
          <w:bCs w:val="0"/>
          <w:kern w:val="2"/>
          <w:sz w:val="32"/>
          <w:szCs w:val="32"/>
          <w:highlight w:val="none"/>
          <w:shd w:val="clear" w:color="auto" w:fill="auto"/>
          <w:lang w:val="en-US" w:eastAsia="zh-CN" w:bidi="ar-SA"/>
        </w:rPr>
        <w:t>”</w:t>
      </w:r>
      <w:r>
        <w:rPr>
          <w:rFonts w:hint="eastAsia" w:ascii="Times New Roman" w:hAnsi="Times New Roman" w:eastAsia="仿宋_GB2312" w:cs="Times New Roman"/>
          <w:b w:val="0"/>
          <w:bCs w:val="0"/>
          <w:kern w:val="2"/>
          <w:sz w:val="32"/>
          <w:szCs w:val="32"/>
          <w:highlight w:val="none"/>
          <w:shd w:val="clear" w:color="auto" w:fill="auto"/>
          <w:lang w:val="en-US" w:eastAsia="zh-CN" w:bidi="ar-SA"/>
        </w:rPr>
        <w:t>合作模式，加强与其他省市在产业承接、交通联通、物流衔接、信息共</w:t>
      </w:r>
      <w:r>
        <w:rPr>
          <w:rFonts w:hint="eastAsia" w:eastAsia="仿宋_GB2312" w:cs="Times New Roman"/>
          <w:b w:val="0"/>
          <w:bCs w:val="0"/>
          <w:kern w:val="2"/>
          <w:sz w:val="32"/>
          <w:szCs w:val="32"/>
          <w:highlight w:val="none"/>
          <w:shd w:val="clear" w:color="auto" w:fill="auto"/>
          <w:lang w:val="en-US" w:eastAsia="zh-CN" w:bidi="ar-SA"/>
        </w:rPr>
        <w:t>享等</w:t>
      </w:r>
      <w:r>
        <w:rPr>
          <w:rFonts w:hint="eastAsia" w:ascii="Times New Roman" w:hAnsi="Times New Roman" w:eastAsia="仿宋_GB2312" w:cs="Times New Roman"/>
          <w:b w:val="0"/>
          <w:bCs w:val="0"/>
          <w:kern w:val="2"/>
          <w:sz w:val="32"/>
          <w:szCs w:val="32"/>
          <w:highlight w:val="none"/>
          <w:shd w:val="clear" w:color="auto" w:fill="auto"/>
          <w:lang w:val="en-US" w:eastAsia="zh-CN" w:bidi="ar-SA"/>
        </w:rPr>
        <w:t>方面的合作交流，着力把哈密建设成为东部沿海与西部腹地双向供需陆海大通道的物资集散中心。专题议政性常务委员会会议的协商形式主要是会议发言、小组讨论等，会后通过报告、建议、建言资政专刊等形式，报送市委、市政府及有关部门。会议邀请市委或市政府分管领导同志出席，邀请相关党政部门负责同志和政协委员列席，视情邀请其他有关方面人员参加，扩大各方参与协商的覆盖面。（二）专题协商会2024年3月，围绕“加快推进城市更新，促进城乡融合发展”议题，以“强化历史文化保护、塑造城市风貌，不断完善城市功能和空间结构”“强化城市精细化管理，持续推进15分钟便民生活圈和完整社区建设”“加快城市老旧小区改造，推进宜居宜业美丽乡村建设”等为内容，开展协商活动。2023年7月，围绕“完善社会保障体系，加快建设共同富裕新哈密”议题，以“推动中小微企业、农民工及灵活就业人员参加职工社会保险”“统筹推进分层分类社会救助，形成综合社会救助格局”“优化完善养老、托育、残疾人服务体系”等为内容，开展协商活动。专题协商会的协商形式主要是会议发言、交流讨论，会后形成专报报送市委、市政府，提供有关部门。会议邀请市委或</w:t>
      </w:r>
      <w:r>
        <w:rPr>
          <w:rFonts w:hint="eastAsia" w:eastAsia="仿宋_GB2312" w:cs="Times New Roman"/>
          <w:b w:val="0"/>
          <w:bCs w:val="0"/>
          <w:kern w:val="2"/>
          <w:sz w:val="32"/>
          <w:szCs w:val="32"/>
          <w:highlight w:val="none"/>
          <w:shd w:val="clear" w:color="auto" w:fill="auto"/>
          <w:lang w:val="en-US" w:eastAsia="zh-CN" w:bidi="ar-SA"/>
        </w:rPr>
        <w:t>市</w:t>
      </w:r>
      <w:r>
        <w:rPr>
          <w:rFonts w:hint="eastAsia" w:ascii="Times New Roman" w:hAnsi="Times New Roman" w:eastAsia="仿宋_GB2312" w:cs="Times New Roman"/>
          <w:b w:val="0"/>
          <w:bCs w:val="0"/>
          <w:kern w:val="2"/>
          <w:sz w:val="32"/>
          <w:szCs w:val="32"/>
          <w:highlight w:val="none"/>
          <w:shd w:val="clear" w:color="auto" w:fill="auto"/>
          <w:lang w:val="en-US" w:eastAsia="zh-CN" w:bidi="ar-SA"/>
        </w:rPr>
        <w:t>政府分管领导同志介绍情况，邀请相关党政部门负责同志参加，与政协委员互动交流。按照市委部署安排，视情开展重大专项工作专题协商，组织政协委员开展专题视察考察、调查研究、协商建言，邀请相关领域专家学者参加。（三）提案办理协商会2024年1月，市政协二届三次会议期间，收到大会提案138件，审查立案125件。提案委员会要按照市政协提案工作条例和重点提案遴选与督办规则，制定重点提案协商和督办计划，落实党委、政府、政协领导领衔督办重点提案制度。采取多种形式加强与政协委员、承办单位之间协商，围绕确定的重点提案，组织召开提案办理协商会和跟踪问效活动，就办理情况进行协商，提升提案办理和服务质量。提案办理协商会的协商形式主要是委员陈述案由，承办单位陈述办理情况，提案涉及领域的党政分管领导提出要求。会议邀请市委或市政府分管领导出席，邀请提案人、承办单位和有关部门负责同志参加。对办理情况进行点评，会后形成纪要。（四）界别月度协商座谈会2024年2月，围绕“创新实施文化惠民工程，推进精品剧目创作展演交流，不断丰富和满足各族群众精神文化生活”议题，开展调研协商活动。2024年3月，围绕“充分发挥委员工作室阵地作用，拓展基层群众参与协商渠道，推动政协协商与基层协商有效衔接，同基层治理有机融合”议题，开展协商活动。2024年4月，围绕“坚持用法治凝聚共识、浸润人心，提高普法工作针对性和实效性，增强全民法治观念”议题，开展协商式监督活动。2024年5月，围绕“打造更优营商环境，健全支持中小微企业、个体工商户发展政策和服务体系，促进民营经济发展壮大”议题，开展协商式监督活动。2024年6月，围绕“加强青少年心理健康教育，促进青少年全面发展”议题，开展协商活动。2024年7月，围绕“支持和规范发展新就业形态，推动高质量充分就业，扎实推进共同富裕”议题，开展协商活动。2024年8月，围绕“培育高质量提案，推动提案成果更加有效转化，为党委政府决策提供智力支持”议题，开展协商活动。2024年9月，围绕“以城市医疗集团和县域医共体为载体，推进基层医疗机构分级诊疗制度落实”议题，开展协商式监督活动。2024年10月，围绕“扎实做好外事侨务工作，凝聚侨心侨力”议题，开展协商式监督活动。10、2023年11月，围绕“推动能源清洁低碳高效利用，发展节能环保和绿色建筑，加快构建废弃物循环利用体系”议题，开展协商式监督活动。界别月度协商由市政协各专门委员会负责，统筹委员界别活动小组，采取视察、考察、调研等形式，组织开展主题发言、委员发言、交流讨论等灵活多样的界别协商和民主监督活动。推动各界别小组优势互补、资源共享，鼓励开展联合调研、联合提案。界别协商活动结束后，形成情况报告、协商专报及社情民意信息，报送市委、市政府及有关部门。会议邀请市政协委员、各界代表人士和相关党政部门负责同志参加。</w:t>
      </w:r>
    </w:p>
    <w:p>
      <w:pPr>
        <w:spacing w:line="560" w:lineRule="exact"/>
        <w:ind w:firstLine="640" w:firstLineChars="200"/>
        <w:rPr>
          <w:rStyle w:val="17"/>
          <w:rFonts w:hint="default" w:ascii="Times New Roman" w:hAnsi="Times New Roman" w:eastAsia="黑体" w:cs="Times New Roman"/>
          <w:b w:val="0"/>
          <w:bCs/>
          <w:spacing w:val="-4"/>
          <w:sz w:val="32"/>
          <w:szCs w:val="32"/>
          <w:highlight w:val="yellow"/>
        </w:rPr>
      </w:pPr>
      <w:r>
        <w:rPr>
          <w:rFonts w:hint="default" w:ascii="Times New Roman" w:hAnsi="Times New Roman" w:eastAsia="仿宋_GB2312" w:cs="Times New Roman"/>
          <w:sz w:val="32"/>
          <w:szCs w:val="32"/>
        </w:rPr>
        <w:t>项目实施情况：</w:t>
      </w:r>
      <w:r>
        <w:rPr>
          <w:rFonts w:hint="default" w:ascii="Times New Roman" w:hAnsi="Times New Roman" w:eastAsia="仿宋_GB2312" w:cs="Times New Roman"/>
          <w:b w:val="0"/>
          <w:bCs w:val="0"/>
          <w:kern w:val="2"/>
          <w:sz w:val="32"/>
          <w:szCs w:val="32"/>
          <w:lang w:val="en-US" w:eastAsia="zh-CN" w:bidi="ar-SA"/>
        </w:rPr>
        <w:t>提前下达2024年度自治区基层政协补助经费项目已</w:t>
      </w:r>
      <w:r>
        <w:rPr>
          <w:rFonts w:hint="eastAsia" w:eastAsia="仿宋_GB2312" w:cs="Times New Roman"/>
          <w:b w:val="0"/>
          <w:bCs w:val="0"/>
          <w:kern w:val="2"/>
          <w:sz w:val="32"/>
          <w:szCs w:val="32"/>
          <w:lang w:val="en-US" w:eastAsia="zh-CN" w:bidi="ar-SA"/>
        </w:rPr>
        <w:t>按年初计划</w:t>
      </w:r>
      <w:r>
        <w:rPr>
          <w:rFonts w:hint="default" w:ascii="Times New Roman" w:hAnsi="Times New Roman" w:eastAsia="仿宋_GB2312" w:cs="Times New Roman"/>
          <w:b w:val="0"/>
          <w:bCs w:val="0"/>
          <w:kern w:val="2"/>
          <w:sz w:val="32"/>
          <w:szCs w:val="32"/>
          <w:lang w:val="en-US" w:eastAsia="zh-CN" w:bidi="ar-SA"/>
        </w:rPr>
        <w:t>完成4次调研工作，参加委员会议6次，开展委员培训1次，</w:t>
      </w:r>
      <w:r>
        <w:rPr>
          <w:rFonts w:hint="eastAsia" w:eastAsia="仿宋_GB2312" w:cs="Times New Roman"/>
          <w:b w:val="0"/>
          <w:bCs w:val="0"/>
          <w:kern w:val="2"/>
          <w:sz w:val="32"/>
          <w:szCs w:val="32"/>
          <w:lang w:val="en-US" w:eastAsia="zh-CN" w:bidi="ar-SA"/>
        </w:rPr>
        <w:t>参加10场活动。</w:t>
      </w:r>
      <w:r>
        <w:rPr>
          <w:rFonts w:hint="default" w:ascii="Times New Roman" w:hAnsi="Times New Roman" w:eastAsia="仿宋_GB2312" w:cs="Times New Roman"/>
          <w:b w:val="0"/>
          <w:bCs w:val="0"/>
          <w:kern w:val="2"/>
          <w:sz w:val="32"/>
          <w:szCs w:val="32"/>
          <w:lang w:val="en-US" w:eastAsia="zh-CN" w:bidi="ar-SA"/>
        </w:rPr>
        <w:t>通过调研视察提高了政协委员履职能力，使委员能提出高质量的提案，有效促进社会经济发展，促进经济又好又快发展，发挥协调关系，汇聚力量，建言献策，服务大局，民主监督的作用持续提升，为哈密市经济社会发展助力增效。</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21</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21</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21</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21</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ascii="Times New Roman" w:hAnsi="Times New Roman" w:eastAsia="仿宋_GB2312" w:cs="Times New Roman"/>
          <w:sz w:val="32"/>
          <w:szCs w:val="32"/>
          <w:highlight w:val="none"/>
          <w:lang w:val="en-US" w:eastAsia="zh-CN"/>
        </w:rPr>
        <w:t>21</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ascii="Times New Roman" w:hAnsi="Times New Roman" w:eastAsia="仿宋_GB2312" w:cs="Times New Roman"/>
          <w:sz w:val="32"/>
          <w:szCs w:val="32"/>
          <w:highlight w:val="none"/>
          <w:lang w:val="en-US" w:eastAsia="zh-CN"/>
        </w:rPr>
        <w:t>调研费用4.57万元，</w:t>
      </w:r>
      <w:r>
        <w:rPr>
          <w:rFonts w:hint="default" w:ascii="Times New Roman" w:hAnsi="Times New Roman" w:eastAsia="仿宋_GB2312" w:cs="Times New Roman"/>
          <w:sz w:val="32"/>
          <w:szCs w:val="32"/>
          <w:highlight w:val="none"/>
          <w:lang w:val="en-US" w:eastAsia="zh-CN"/>
        </w:rPr>
        <w:t>参加委员会议</w:t>
      </w:r>
      <w:r>
        <w:rPr>
          <w:rFonts w:hint="eastAsia" w:ascii="Times New Roman" w:hAnsi="Times New Roman" w:eastAsia="仿宋_GB2312" w:cs="Times New Roman"/>
          <w:sz w:val="32"/>
          <w:szCs w:val="32"/>
          <w:highlight w:val="none"/>
          <w:lang w:val="en-US" w:eastAsia="zh-CN"/>
        </w:rPr>
        <w:t>费1.06万元，委员培训费用6.99万元，活动费用8.38万元。</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根据</w:t>
      </w:r>
      <w:r>
        <w:rPr>
          <w:rFonts w:hint="eastAsia" w:ascii="仿宋_GB2312" w:hAnsi="Times New Roman" w:eastAsia="仿宋_GB2312" w:cs="Times New Roman"/>
          <w:b w:val="0"/>
          <w:bCs w:val="0"/>
          <w:kern w:val="2"/>
          <w:sz w:val="32"/>
          <w:szCs w:val="32"/>
          <w:lang w:val="en-US" w:eastAsia="zh-CN" w:bidi="ar-SA"/>
        </w:rPr>
        <w:t>《中国人民政治协商会议章程》</w:t>
      </w:r>
      <w:r>
        <w:rPr>
          <w:rFonts w:hint="default" w:ascii="Times New Roman" w:hAnsi="Times New Roman" w:eastAsia="仿宋_GB2312" w:cs="Times New Roman"/>
          <w:sz w:val="32"/>
          <w:szCs w:val="32"/>
          <w:highlight w:val="none"/>
          <w:lang w:val="en-US" w:eastAsia="zh-CN"/>
        </w:rPr>
        <w:t>要求，政协委员活动费项目，主要用于保障委员参加会议开展调研工作、参与培训，通过调研视察提高政协委员履职能力，提出高质量的提案，有效促进社会经济发展，促进经济又好又快发展，发挥协调关系，汇聚力量，建言献策，服务大局，民主监督的作用持续提升，为哈密市经济社会发展助力增效。</w:t>
      </w:r>
    </w:p>
    <w:p>
      <w:pPr>
        <w:spacing w:line="560" w:lineRule="exact"/>
        <w:ind w:firstLine="640" w:firstLineChars="200"/>
        <w:rPr>
          <w:rFonts w:hint="eastAsia" w:eastAsia="仿宋_GB2312" w:cs="Times New Roman"/>
          <w:sz w:val="32"/>
          <w:szCs w:val="32"/>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pPr>
        <w:spacing w:line="560" w:lineRule="exact"/>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为认真学习贯彻党的二十大精神，贯彻落实市委二届六次、七次全会精神，充分发挥政协工作整体效能。全年计划根据实际需求不定期开展调研工作4次；</w:t>
      </w:r>
    </w:p>
    <w:p>
      <w:pPr>
        <w:spacing w:line="560" w:lineRule="exact"/>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每月开展一次“哈密政协·新时代委员讲堂”活动；每个专委会全年组织3场；</w:t>
      </w:r>
    </w:p>
    <w:p>
      <w:pPr>
        <w:spacing w:line="56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4月召开全市政协党的建设工作座谈会；</w:t>
      </w:r>
    </w:p>
    <w:p>
      <w:pPr>
        <w:spacing w:line="560" w:lineRule="exact"/>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7月开展哈密市政协委员培训班；</w:t>
      </w:r>
    </w:p>
    <w:p>
      <w:pPr>
        <w:spacing w:line="560" w:lineRule="exact"/>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7月参加甘新蒙青四市政协联席会议；</w:t>
      </w:r>
    </w:p>
    <w:p>
      <w:pPr>
        <w:spacing w:line="56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9月召开政协哈密市第二届委员会常务委员会第九次会议；</w:t>
      </w:r>
    </w:p>
    <w:p>
      <w:pPr>
        <w:spacing w:line="56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9月参加自治区政协成立75周年座谈会；</w:t>
      </w:r>
    </w:p>
    <w:p>
      <w:pPr>
        <w:spacing w:line="560" w:lineRule="exact"/>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9月参加自治区政协常务委员会第八次会议；</w:t>
      </w:r>
    </w:p>
    <w:p>
      <w:pPr>
        <w:spacing w:line="560" w:lineRule="exact"/>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9月参加甘肃文博会、能源产业发展座谈会；</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w:t>
      </w:r>
      <w:r>
        <w:rPr>
          <w:rFonts w:hint="eastAsia" w:eastAsia="仿宋_GB2312" w:cs="Times New Roman"/>
          <w:sz w:val="32"/>
          <w:szCs w:val="32"/>
          <w:highlight w:val="none"/>
          <w:lang w:val="en-US" w:eastAsia="zh-CN"/>
        </w:rPr>
        <w:t>的</w:t>
      </w:r>
      <w:r>
        <w:rPr>
          <w:rFonts w:hint="default" w:ascii="Times New Roman" w:hAnsi="Times New Roman" w:eastAsia="仿宋_GB2312" w:cs="Times New Roman"/>
          <w:sz w:val="32"/>
          <w:szCs w:val="32"/>
          <w:highlight w:val="none"/>
          <w:lang w:val="en-US" w:eastAsia="zh-CN"/>
        </w:rPr>
        <w:t>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通过对项目预算执行情况及各项绩效目标达成程度的系统性分析，全面、客观地评估项目在预定周期内的实施效果，包括社会效益以及可持续性等多维度指标，为项目后续的改进与优化提供科学依据。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w:t>
      </w:r>
      <w:r>
        <w:rPr>
          <w:rFonts w:hint="eastAsia" w:ascii="Times New Roman" w:hAnsi="Times New Roman" w:eastAsia="仿宋_GB2312" w:cs="Times New Roman"/>
          <w:b w:val="0"/>
          <w:bCs w:val="0"/>
          <w:highlight w:val="none"/>
          <w:lang w:val="en-US" w:eastAsia="zh-CN"/>
        </w:rPr>
        <w:t>政协委员活动经费项目</w:t>
      </w:r>
      <w:r>
        <w:rPr>
          <w:rFonts w:hint="default" w:ascii="Times New Roman" w:hAnsi="Times New Roman" w:eastAsia="仿宋_GB2312" w:cs="Times New Roman"/>
          <w:b w:val="0"/>
          <w:bCs w:val="0"/>
          <w:highlight w:val="none"/>
        </w:rPr>
        <w:t>及其预算执行情况。该项目由中国人民政治协商会议哈密市委员会负责实施，旨在</w:t>
      </w:r>
      <w:r>
        <w:rPr>
          <w:rFonts w:hint="eastAsia" w:ascii="Times New Roman" w:hAnsi="Times New Roman" w:eastAsia="仿宋_GB2312" w:cs="Times New Roman"/>
          <w:b w:val="0"/>
          <w:bCs w:val="0"/>
          <w:highlight w:val="none"/>
          <w:lang w:val="en-US" w:eastAsia="zh-CN"/>
        </w:rPr>
        <w:t>提升政协委员履职能力，使委员能提出高质量的提案，有效促进社会经济发展，促进经济又好又快发展，发挥其协调关系，汇聚力量，建言献策，为哈密市经济社会发展助力增效</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21</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社会影响：考察项目对社会</w:t>
      </w:r>
      <w:r>
        <w:rPr>
          <w:rFonts w:hint="eastAsia" w:ascii="Times New Roman" w:hAnsi="Times New Roman" w:eastAsia="仿宋_GB2312" w:cs="Times New Roman"/>
          <w:b w:val="0"/>
          <w:bCs w:val="0"/>
          <w:highlight w:val="none"/>
          <w:lang w:val="en-US" w:eastAsia="zh-CN"/>
        </w:rPr>
        <w:t>各</w:t>
      </w:r>
      <w:r>
        <w:rPr>
          <w:rFonts w:hint="default" w:ascii="Times New Roman" w:hAnsi="Times New Roman" w:eastAsia="仿宋_GB2312" w:cs="Times New Roman"/>
          <w:b w:val="0"/>
          <w:bCs w:val="0"/>
          <w:highlight w:val="none"/>
        </w:rPr>
        <w:t>方面的综合影响。</w:t>
      </w:r>
    </w:p>
    <w:p>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1.绩效评价原则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本次项目绩效评价遵循以下基本原则：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（1）科学公正。绩效评价应当运用科学合理的方法，按照规范的程序，对项目绩效进行客观、公正的反映。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（2）统筹兼顾。单位自评、部门评价和财政评价应职责明确，各有侧重，相互衔接。单位自评应由项目单位自主实施，即“谁支出、谁自评”。部门评价和财政评价应在单位自评的基础上开展。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（3）激励约束。绩效评价结果应与预算安排、政策调整、改进管理实质性挂钩，体现奖优罚劣和激励导向，有效要安排、低效要压减、无效要问责。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（4）公开透明。绩效评价结果应依法依规公开，并自觉接受社会监督。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绩效评价框架是开展绩效评价的核心。绩效评价框架包括评价准则、关键评价问题、评价指标、数据来源、数据收集方法等。指标体系建立过程如下：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（1）确定评价指标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（2）确定权重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确定各个指标相对于项目总体绩效的权重分值。在绩效评价指标体系中，项目决策权重为20分，项目过程权重为20分，项目产出权重为40分，项目效益权重为20分。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（3）确定指标标准值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指标标准值是绩效评价指标的尺度，既要反映同类项目的先进水平，又要符合项目的实际绩效水平。具体采用计划标准等确定此次绩效评价指标标准值。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绩效评价总分值100分，根据综合评分结果，90（含）-100分为优、80（含）-90分为良、60（含）-80分为中、60分以下为差。</w:t>
      </w:r>
    </w:p>
    <w:p>
      <w:pPr>
        <w:pStyle w:val="11"/>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绩效评价从项目决策、项目过程、项目产出、项目效益四个维度进行评价。评价对象为项目目标实施情况，评价核心为资金的支出完成情况和项目的产出效益。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（一）因素分析法。是指综合分析影响绩效目标实现、实施效果的内外部因素的方法。</w:t>
      </w:r>
      <w:r>
        <w:rPr>
          <w:rFonts w:hint="eastAsia" w:ascii="Times New Roman" w:hAnsi="Times New Roman" w:eastAsia="仿宋_GB2312" w:cs="Times New Roman"/>
          <w:b w:val="0"/>
          <w:bCs w:val="0"/>
          <w:kern w:val="28"/>
          <w:sz w:val="32"/>
          <w:szCs w:val="32"/>
          <w:highlight w:val="none"/>
          <w:lang w:val="en-US" w:eastAsia="zh-CN" w:bidi="ar-SA"/>
        </w:rPr>
        <w:t>该项目采用该评价方法主要为分析政协活动的适用性，明确各项工作所带来的优势，以及如何具体应用。明确分析对象，通过政协委员调研、政协委员学习培训、政协委员活动工作进行分析，并将该指标分解分析指标带来的社会效益情况，并通过历年项目经验确定工作内容，提升项目评估的科学性和全面性，以便更好</w:t>
      </w:r>
      <w:r>
        <w:rPr>
          <w:rFonts w:hint="eastAsia" w:eastAsia="仿宋_GB2312" w:cs="Times New Roman"/>
          <w:b w:val="0"/>
          <w:bCs w:val="0"/>
          <w:kern w:val="28"/>
          <w:sz w:val="32"/>
          <w:szCs w:val="32"/>
          <w:highlight w:val="none"/>
          <w:lang w:val="en-US" w:eastAsia="zh-CN" w:bidi="ar-SA"/>
        </w:rPr>
        <w:t>地</w:t>
      </w:r>
      <w:r>
        <w:rPr>
          <w:rFonts w:hint="eastAsia" w:ascii="Times New Roman" w:hAnsi="Times New Roman" w:eastAsia="仿宋_GB2312" w:cs="Times New Roman"/>
          <w:b w:val="0"/>
          <w:bCs w:val="0"/>
          <w:kern w:val="28"/>
          <w:sz w:val="32"/>
          <w:szCs w:val="32"/>
          <w:highlight w:val="none"/>
          <w:lang w:val="en-US" w:eastAsia="zh-CN" w:bidi="ar-SA"/>
        </w:rPr>
        <w:t>展示项目的成效。</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kern w:val="28"/>
          <w:sz w:val="32"/>
          <w:szCs w:val="32"/>
          <w:highlight w:val="none"/>
          <w:lang w:val="en-US" w:eastAsia="zh-CN" w:bidi="ar-SA"/>
        </w:rPr>
        <w:t>计划</w:t>
      </w:r>
      <w:r>
        <w:rPr>
          <w:rFonts w:hint="default" w:ascii="Times New Roman" w:hAnsi="Times New Roman" w:eastAsia="仿宋_GB2312" w:cs="Times New Roman"/>
          <w:b w:val="0"/>
          <w:bCs w:val="0"/>
          <w:kern w:val="28"/>
          <w:sz w:val="32"/>
          <w:szCs w:val="32"/>
          <w:highlight w:val="none"/>
          <w:lang w:val="en-US" w:eastAsia="zh-CN" w:bidi="ar-SA"/>
        </w:rPr>
        <w:t>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（3）历史标准。指参照历史数据制定的评价标准，为体现绩效改进的原则，在可实现的条件下应当确定相对较高的评价标准。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（4）财政部门和预算部门确认或认可的其他标准。</w:t>
      </w:r>
    </w:p>
    <w:p>
      <w:pPr>
        <w:pStyle w:val="11"/>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（1）前期准备与规划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在项目绩效评价工作启动之初，成立了专门的评价工作小组，小组成员由财务、项目管理专业人员及相关领域技术</w:t>
      </w:r>
      <w:r>
        <w:rPr>
          <w:rFonts w:hint="eastAsia" w:ascii="Times New Roman" w:hAnsi="Times New Roman" w:eastAsia="仿宋_GB2312" w:cs="Times New Roman"/>
          <w:b w:val="0"/>
          <w:bCs w:val="0"/>
          <w:kern w:val="28"/>
          <w:sz w:val="32"/>
          <w:szCs w:val="32"/>
          <w:highlight w:val="none"/>
          <w:lang w:val="en-US" w:eastAsia="zh-CN" w:bidi="ar-SA"/>
        </w:rPr>
        <w:t>人员</w:t>
      </w:r>
      <w:r>
        <w:rPr>
          <w:rFonts w:hint="default" w:ascii="Times New Roman" w:hAnsi="Times New Roman" w:eastAsia="仿宋_GB2312" w:cs="Times New Roman"/>
          <w:b w:val="0"/>
          <w:bCs w:val="0"/>
          <w:kern w:val="28"/>
          <w:sz w:val="32"/>
          <w:szCs w:val="32"/>
          <w:highlight w:val="none"/>
          <w:lang w:val="en-US" w:eastAsia="zh-CN" w:bidi="ar-SA"/>
        </w:rPr>
        <w:t>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政协委员活动经费</w:t>
      </w:r>
      <w:r>
        <w:rPr>
          <w:rFonts w:hint="default" w:ascii="Times New Roman" w:hAnsi="Times New Roman" w:eastAsia="仿宋_GB2312" w:cs="Times New Roman"/>
          <w:sz w:val="32"/>
          <w:szCs w:val="32"/>
          <w:highlight w:val="none"/>
        </w:rPr>
        <w:t>在</w:t>
      </w:r>
      <w:r>
        <w:rPr>
          <w:rFonts w:hint="eastAsia" w:eastAsia="仿宋_GB2312" w:cs="Times New Roman"/>
          <w:sz w:val="32"/>
          <w:szCs w:val="32"/>
          <w:highlight w:val="none"/>
          <w:lang w:val="en-US" w:eastAsia="zh-CN"/>
        </w:rPr>
        <w:t>委员调研、委员培训</w:t>
      </w:r>
      <w:r>
        <w:rPr>
          <w:rFonts w:hint="default" w:ascii="Times New Roman" w:hAnsi="Times New Roman" w:eastAsia="仿宋_GB2312" w:cs="Times New Roman"/>
          <w:sz w:val="32"/>
          <w:szCs w:val="32"/>
          <w:highlight w:val="none"/>
        </w:rPr>
        <w:t>等方面表现出色，达到了预期的标准与要求。同时，项目也在</w:t>
      </w:r>
      <w:r>
        <w:rPr>
          <w:rFonts w:hint="eastAsia" w:eastAsia="仿宋_GB2312" w:cs="Times New Roman"/>
          <w:color w:val="auto"/>
          <w:sz w:val="32"/>
          <w:szCs w:val="32"/>
          <w:highlight w:val="none"/>
          <w:lang w:val="en-US" w:eastAsia="zh-CN"/>
        </w:rPr>
        <w:t>通过调研视察工作中</w:t>
      </w:r>
      <w:r>
        <w:rPr>
          <w:rFonts w:hint="default" w:ascii="Times New Roman" w:hAnsi="Times New Roman" w:eastAsia="仿宋_GB2312" w:cs="Times New Roman"/>
          <w:sz w:val="32"/>
          <w:szCs w:val="32"/>
          <w:highlight w:val="none"/>
        </w:rPr>
        <w:t>取得了显著的成效，如</w:t>
      </w:r>
      <w:r>
        <w:rPr>
          <w:rFonts w:hint="eastAsia" w:eastAsia="仿宋_GB2312" w:cs="Times New Roman"/>
          <w:sz w:val="32"/>
          <w:szCs w:val="32"/>
          <w:highlight w:val="none"/>
          <w:lang w:val="en-US" w:eastAsia="zh-CN"/>
        </w:rPr>
        <w:t>通过调研视察提高政协委员履职能力，使委员提出高质量的提案，通过培训使委员自身综合素质得到进一步提升</w:t>
      </w:r>
      <w:r>
        <w:rPr>
          <w:rFonts w:hint="default" w:ascii="Times New Roman" w:hAnsi="Times New Roman" w:eastAsia="仿宋_GB2312" w:cs="Times New Roman"/>
          <w:sz w:val="32"/>
          <w:szCs w:val="32"/>
          <w:highlight w:val="none"/>
        </w:rPr>
        <w:t>等。</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中国人民政治协商会议哈密市委员会</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从项目效益的角度来看，本项目不仅实现了预期的社会效益等方面产生了积极的影响。具体而言，</w:t>
      </w:r>
      <w:r>
        <w:rPr>
          <w:rFonts w:hint="eastAsia" w:eastAsia="仿宋_GB2312" w:cs="Times New Roman"/>
          <w:sz w:val="32"/>
          <w:szCs w:val="32"/>
          <w:highlight w:val="none"/>
          <w:lang w:val="en-US" w:eastAsia="zh-CN"/>
        </w:rPr>
        <w:t>调研形成报告、委员提案数量</w:t>
      </w:r>
      <w:r>
        <w:rPr>
          <w:rFonts w:hint="default" w:ascii="Times New Roman" w:hAnsi="Times New Roman" w:eastAsia="仿宋_GB2312" w:cs="Times New Roman"/>
          <w:sz w:val="32"/>
          <w:szCs w:val="32"/>
          <w:highlight w:val="none"/>
        </w:rPr>
        <w:t>等方面的提升，为项目的利益相关者带来了实实在在的利益。</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eastAsia="仿宋_GB2312" w:cs="Times New Roman"/>
          <w:sz w:val="32"/>
          <w:szCs w:val="32"/>
          <w:highlight w:val="none"/>
          <w:lang w:val="en-US" w:eastAsia="zh-CN"/>
        </w:rPr>
        <w:t>政协委员活动经费项目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w:t>
      </w:r>
      <w:r>
        <w:rPr>
          <w:rFonts w:hint="default" w:ascii="Times New Roman" w:hAnsi="Times New Roman" w:eastAsia="仿宋_GB2312" w:cs="Times New Roman"/>
          <w:b w:val="0"/>
          <w:bCs w:val="0"/>
          <w:highlight w:val="none"/>
        </w:rPr>
        <w:t>据采集、问卷调查及访谈等方式，对本项目进行客观评价，最终评分结果：总得分为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5"/>
        <w:tblW w:w="4998" w:type="pct"/>
        <w:jc w:val="center"/>
        <w:tblLayout w:type="autofit"/>
        <w:tblCellMar>
          <w:top w:w="0" w:type="dxa"/>
          <w:left w:w="108" w:type="dxa"/>
          <w:bottom w:w="0" w:type="dxa"/>
          <w:right w:w="108" w:type="dxa"/>
        </w:tblCellMar>
      </w:tblPr>
      <w:tblGrid>
        <w:gridCol w:w="2787"/>
        <w:gridCol w:w="1927"/>
        <w:gridCol w:w="2023"/>
        <w:gridCol w:w="2023"/>
      </w:tblGrid>
      <w:tr>
        <w:tblPrEx>
          <w:tblCellMar>
            <w:top w:w="0" w:type="dxa"/>
            <w:left w:w="108" w:type="dxa"/>
            <w:bottom w:w="0" w:type="dxa"/>
            <w:right w:w="108" w:type="dxa"/>
          </w:tblCellMar>
        </w:tblPrEx>
        <w:trPr>
          <w:trHeight w:val="90" w:hRule="atLeast"/>
          <w:tblHeader/>
          <w:jc w:val="center"/>
        </w:trPr>
        <w:tc>
          <w:tcPr>
            <w:tcW w:w="1590" w:type="pct"/>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099" w:type="pct"/>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1154" w:type="pct"/>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1154" w:type="pct"/>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1099"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099"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099"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1154"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c>
          <w:tcPr>
            <w:tcW w:w="1154"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099"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099"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1154"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c>
          <w:tcPr>
            <w:tcW w:w="1154" w:type="pct"/>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p>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pPr>
        <w:pStyle w:val="11"/>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w:t>
      </w:r>
      <w:r>
        <w:rPr>
          <w:rFonts w:hint="eastAsia" w:ascii="仿宋_GB2312" w:hAnsi="Times New Roman" w:eastAsia="仿宋_GB2312" w:cs="Times New Roman"/>
          <w:b w:val="0"/>
          <w:bCs w:val="0"/>
          <w:kern w:val="2"/>
          <w:sz w:val="32"/>
          <w:szCs w:val="32"/>
          <w:lang w:val="en-US" w:eastAsia="zh-CN" w:bidi="ar-SA"/>
        </w:rPr>
        <w:t>《中国人民政治协商会议章程》</w:t>
      </w:r>
      <w:r>
        <w:rPr>
          <w:rFonts w:hint="eastAsia" w:eastAsia="仿宋_GB2312" w:cs="Times New Roman"/>
          <w:sz w:val="32"/>
          <w:szCs w:val="32"/>
          <w:highlight w:val="none"/>
          <w:lang w:val="en-US" w:eastAsia="zh-CN"/>
        </w:rPr>
        <w:t>的文件精神，符合</w:t>
      </w:r>
      <w:r>
        <w:rPr>
          <w:rFonts w:hint="default" w:ascii="Times New Roman" w:hAnsi="Times New Roman" w:eastAsia="仿宋_GB2312" w:cs="Times New Roman"/>
          <w:sz w:val="32"/>
          <w:szCs w:val="32"/>
          <w:lang w:val="en-US" w:eastAsia="zh-CN"/>
        </w:rPr>
        <w:t>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风险评估、绩效评估、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项目设置了明确的预期产出效益和效果，将绩效目标细化分解为具体的绩效指标，绩效目标与项目目标任务相对应，绩效目标设定的绩效指标清晰、细化、可衡量。</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1"/>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21</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21</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w:t>
      </w:r>
      <w:r>
        <w:rPr>
          <w:rFonts w:hint="default" w:ascii="Times New Roman" w:hAnsi="Times New Roman" w:eastAsia="仿宋_GB2312" w:cs="Times New Roman"/>
          <w:sz w:val="32"/>
          <w:szCs w:val="32"/>
          <w:lang w:val="en-US" w:eastAsia="zh-CN"/>
        </w:rPr>
        <w:t>功实施提供了坚实的制度保障。项目管理制度的制定紧密结合了项目的特点与实际情况，涵盖了项目的策划、组织、实施、监控与收尾等各个环节。</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在制度设计上，我们注重了制度的科学性与可操作性，确保制度能够切实指导项目的执行与管理。</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综上所述，本项目的管理制度在执行过程中表现出了高度的有效性，既确保了项目的顺利进行，又实现了项目目标的有效达成。</w:t>
      </w:r>
    </w:p>
    <w:p>
      <w:pPr>
        <w:pStyle w:val="13"/>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个三级指标构成，权重分为40分，实际得分</w:t>
      </w:r>
      <w:r>
        <w:rPr>
          <w:rFonts w:hint="eastAsia" w:ascii="Times New Roman" w:hAnsi="Times New Roman" w:eastAsia="仿宋_GB2312" w:cs="Times New Roman"/>
          <w:sz w:val="32"/>
          <w:szCs w:val="32"/>
          <w:lang w:val="en-US" w:eastAsia="zh-CN"/>
        </w:rPr>
        <w:t>40</w:t>
      </w:r>
      <w:r>
        <w:rPr>
          <w:rFonts w:hint="default" w:ascii="Times New Roman" w:hAnsi="Times New Roman" w:eastAsia="仿宋_GB2312" w:cs="Times New Roman"/>
          <w:sz w:val="32"/>
          <w:szCs w:val="32"/>
          <w:lang w:val="en-US" w:eastAsia="zh-CN"/>
        </w:rPr>
        <w:t>分，得分率为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%。具体产出指标完成情况如下：</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 1 \* GB3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sz w:val="32"/>
          <w:szCs w:val="32"/>
          <w:lang w:val="en-US" w:eastAsia="zh-CN"/>
        </w:rPr>
        <w:t>①</w:t>
      </w:r>
      <w:r>
        <w:rPr>
          <w:rFonts w:hint="default" w:ascii="Times New Roman" w:hAnsi="Times New Roman" w:eastAsia="仿宋_GB2312" w:cs="Times New Roman"/>
          <w:sz w:val="32"/>
          <w:szCs w:val="32"/>
          <w:lang w:val="en-US" w:eastAsia="zh-CN"/>
        </w:rPr>
        <w:fldChar w:fldCharType="end"/>
      </w:r>
      <w:r>
        <w:rPr>
          <w:rFonts w:hint="default" w:ascii="Times New Roman" w:hAnsi="Times New Roman" w:eastAsia="仿宋_GB2312" w:cs="Times New Roman"/>
          <w:sz w:val="32"/>
          <w:szCs w:val="32"/>
          <w:lang w:val="en-US" w:eastAsia="zh-CN"/>
        </w:rPr>
        <w:t>数量指标：</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指标1：委员调研次数，指标值：&gt;=4次，实际完成值：4次，指标完成率</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指标</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：委员参加会议次数，指标值：&gt;=6次，实际完成值：6次，指标完成率</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指标</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：委员培训次数，指标值：&gt;=1次，实际完成值：1次，指标完成率</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 2 \* GB3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sz w:val="32"/>
          <w:szCs w:val="32"/>
          <w:lang w:val="en-US" w:eastAsia="zh-CN"/>
        </w:rPr>
        <w:t>②</w:t>
      </w:r>
      <w:r>
        <w:rPr>
          <w:rFonts w:hint="default" w:ascii="Times New Roman" w:hAnsi="Times New Roman" w:eastAsia="仿宋_GB2312" w:cs="Times New Roman"/>
          <w:sz w:val="32"/>
          <w:szCs w:val="32"/>
          <w:lang w:val="en-US" w:eastAsia="zh-CN"/>
        </w:rPr>
        <w:fldChar w:fldCharType="end"/>
      </w:r>
      <w:r>
        <w:rPr>
          <w:rFonts w:hint="default" w:ascii="Times New Roman" w:hAnsi="Times New Roman" w:eastAsia="仿宋_GB2312" w:cs="Times New Roman"/>
          <w:sz w:val="32"/>
          <w:szCs w:val="32"/>
          <w:lang w:val="en-US" w:eastAsia="zh-CN"/>
        </w:rPr>
        <w:t>质量指标：</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指标1：政协委员活动参与率，指标值：&gt;=90%，实际完成值：90%，指标完成率</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 3 \* GB3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sz w:val="32"/>
          <w:szCs w:val="32"/>
          <w:lang w:val="en-US" w:eastAsia="zh-CN"/>
        </w:rPr>
        <w:t>③</w:t>
      </w:r>
      <w:r>
        <w:rPr>
          <w:rFonts w:hint="default" w:ascii="Times New Roman" w:hAnsi="Times New Roman" w:eastAsia="仿宋_GB2312" w:cs="Times New Roman"/>
          <w:sz w:val="32"/>
          <w:szCs w:val="32"/>
          <w:lang w:val="en-US" w:eastAsia="zh-CN"/>
        </w:rPr>
        <w:fldChar w:fldCharType="end"/>
      </w:r>
      <w:r>
        <w:rPr>
          <w:rFonts w:hint="default" w:ascii="Times New Roman" w:hAnsi="Times New Roman" w:eastAsia="仿宋_GB2312" w:cs="Times New Roman"/>
          <w:sz w:val="32"/>
          <w:szCs w:val="32"/>
          <w:lang w:val="en-US" w:eastAsia="zh-CN"/>
        </w:rPr>
        <w:t>时效指标：</w:t>
      </w:r>
    </w:p>
    <w:p>
      <w:pPr>
        <w:spacing w:line="560" w:lineRule="exact"/>
        <w:ind w:firstLine="640" w:firstLineChars="200"/>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指标1：政协委员会活动开展及时率，指标值：&gt;=90%，实际完成值：90%，指标完成率</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 4 \* GB3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sz w:val="32"/>
          <w:szCs w:val="32"/>
          <w:lang w:val="en-US" w:eastAsia="zh-CN"/>
        </w:rPr>
        <w:t>④</w:t>
      </w:r>
      <w:r>
        <w:rPr>
          <w:rFonts w:hint="default" w:ascii="Times New Roman" w:hAnsi="Times New Roman" w:eastAsia="仿宋_GB2312" w:cs="Times New Roman"/>
          <w:sz w:val="32"/>
          <w:szCs w:val="32"/>
          <w:lang w:val="en-US" w:eastAsia="zh-CN"/>
        </w:rPr>
        <w:fldChar w:fldCharType="end"/>
      </w:r>
      <w:r>
        <w:rPr>
          <w:rFonts w:hint="default" w:ascii="Times New Roman" w:hAnsi="Times New Roman" w:eastAsia="仿宋_GB2312" w:cs="Times New Roman"/>
          <w:sz w:val="32"/>
          <w:szCs w:val="32"/>
          <w:lang w:val="en-US" w:eastAsia="zh-CN"/>
        </w:rPr>
        <w:t>成本指标：</w:t>
      </w:r>
    </w:p>
    <w:p>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指标1：市级政协委员活动费标准，指标值：=1000元/人/年，实际完成值：1000元/人/年，指标完成率</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r>
        <w:rPr>
          <w:rFonts w:hint="eastAsia" w:eastAsia="仿宋_GB2312" w:cs="Times New Roman"/>
          <w:sz w:val="32"/>
          <w:szCs w:val="32"/>
          <w:highlight w:val="none"/>
          <w:lang w:eastAsia="zh-CN"/>
        </w:rPr>
        <w:t>。</w:t>
      </w:r>
    </w:p>
    <w:p>
      <w:pPr>
        <w:pStyle w:val="13"/>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项目效益类指标包括项目实施效益和满意度两方面的内容，由</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个三级指标构成，权重分为20分，实际得分</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分，得分率为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%。具体效益指标及满意度指标完成情况如下：</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实施效益</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社会效益指标：</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指标1：调研形成报告数量，指标值：&gt;=4份，实际完成值：4份，指标完成率</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指标</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：委员提案数量，指标值：&gt;=88件，实际完成值：</w:t>
      </w:r>
      <w:r>
        <w:rPr>
          <w:rFonts w:hint="eastAsia" w:ascii="Times New Roman" w:hAnsi="Times New Roman" w:eastAsia="仿宋_GB2312" w:cs="Times New Roman"/>
          <w:sz w:val="32"/>
          <w:szCs w:val="32"/>
          <w:lang w:val="en-US" w:eastAsia="zh-CN"/>
        </w:rPr>
        <w:t>134件</w:t>
      </w:r>
      <w:r>
        <w:rPr>
          <w:rFonts w:hint="default" w:ascii="Times New Roman" w:hAnsi="Times New Roman" w:eastAsia="仿宋_GB2312" w:cs="Times New Roman"/>
          <w:sz w:val="32"/>
          <w:szCs w:val="32"/>
          <w:lang w:val="en-US" w:eastAsia="zh-CN"/>
        </w:rPr>
        <w:t>，指标完成率</w:t>
      </w:r>
      <w:r>
        <w:rPr>
          <w:rFonts w:hint="eastAsia" w:ascii="Times New Roman" w:hAnsi="Times New Roman" w:eastAsia="仿宋_GB2312" w:cs="Times New Roman"/>
          <w:sz w:val="32"/>
          <w:szCs w:val="32"/>
          <w:lang w:val="en-US" w:eastAsia="zh-CN"/>
        </w:rPr>
        <w:t>152</w:t>
      </w:r>
      <w:r>
        <w:rPr>
          <w:rFonts w:hint="default" w:ascii="Times New Roman" w:hAnsi="Times New Roman" w:eastAsia="仿宋_GB2312" w:cs="Times New Roman"/>
          <w:sz w:val="32"/>
          <w:szCs w:val="32"/>
          <w:lang w:val="en-US" w:eastAsia="zh-CN"/>
        </w:rPr>
        <w:t>%，偏差原因：委员提案指标值与实际完成值存在偏差主要原因是，因该指标值存在不可控因素年初在设置绩效目标时参考历年数据进行设置，因2024年提案数量超出预期值导致完成值与目标值存在偏差。</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2.满意度</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指标1：委员满意度，指标值：&gt;=90%，实际完成值：</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，指标完成率</w:t>
      </w:r>
      <w:r>
        <w:rPr>
          <w:rFonts w:hint="eastAsia" w:ascii="Times New Roman" w:hAnsi="Times New Roman" w:eastAsia="仿宋_GB2312" w:cs="Times New Roman"/>
          <w:sz w:val="32"/>
          <w:szCs w:val="32"/>
          <w:lang w:val="en-US" w:eastAsia="zh-CN"/>
        </w:rPr>
        <w:t>111</w:t>
      </w:r>
      <w:r>
        <w:rPr>
          <w:rFonts w:hint="default" w:ascii="Times New Roman" w:hAnsi="Times New Roman" w:eastAsia="仿宋_GB2312" w:cs="Times New Roman"/>
          <w:sz w:val="32"/>
          <w:szCs w:val="32"/>
          <w:lang w:val="en-US" w:eastAsia="zh-CN"/>
        </w:rPr>
        <w:t>%，偏差原因：因年初设置满意度指标时参考往年指标设置情况采取保守预估设置，导致完成值大于目标值。改进措施：后期在指标设置前进行充分调研及研讨争取指标值设置准确性</w:t>
      </w:r>
      <w:r>
        <w:rPr>
          <w:rFonts w:hint="default" w:ascii="Times New Roman" w:hAnsi="Times New Roman" w:eastAsia="仿宋_GB2312" w:cs="Times New Roman"/>
          <w:sz w:val="32"/>
          <w:szCs w:val="32"/>
          <w:highlight w:val="none"/>
          <w:lang w:eastAsia="zh-CN"/>
        </w:rPr>
        <w:t>。</w:t>
      </w:r>
    </w:p>
    <w:p>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政协委员活动经费</w:t>
      </w:r>
      <w:r>
        <w:rPr>
          <w:rFonts w:hint="default" w:ascii="Times New Roman" w:hAnsi="Times New Roman" w:eastAsia="仿宋_GB2312" w:cs="Times New Roman"/>
          <w:sz w:val="32"/>
          <w:szCs w:val="32"/>
        </w:rPr>
        <w:t>项目年初预算</w:t>
      </w:r>
      <w:r>
        <w:rPr>
          <w:rFonts w:hint="eastAsia" w:ascii="Times New Roman" w:hAnsi="Times New Roman" w:eastAsia="仿宋_GB2312" w:cs="Times New Roman"/>
          <w:sz w:val="32"/>
          <w:szCs w:val="32"/>
          <w:lang w:val="en-US" w:eastAsia="zh-CN"/>
        </w:rPr>
        <w:t>21</w:t>
      </w:r>
      <w:r>
        <w:rPr>
          <w:rFonts w:hint="default" w:ascii="Times New Roman" w:hAnsi="Times New Roman" w:eastAsia="仿宋_GB2312" w:cs="Times New Roman"/>
          <w:sz w:val="32"/>
          <w:szCs w:val="32"/>
        </w:rPr>
        <w:t>万元，全年预算</w:t>
      </w:r>
      <w:r>
        <w:rPr>
          <w:rFonts w:hint="eastAsia" w:ascii="Times New Roman" w:hAnsi="Times New Roman" w:eastAsia="仿宋_GB2312" w:cs="Times New Roman"/>
          <w:sz w:val="32"/>
          <w:szCs w:val="32"/>
          <w:lang w:val="en-US" w:eastAsia="zh-CN"/>
        </w:rPr>
        <w:t>21</w:t>
      </w:r>
      <w:r>
        <w:rPr>
          <w:rFonts w:hint="default" w:ascii="Times New Roman" w:hAnsi="Times New Roman" w:eastAsia="仿宋_GB2312" w:cs="Times New Roman"/>
          <w:sz w:val="32"/>
          <w:szCs w:val="32"/>
        </w:rPr>
        <w:t>万元，实际支出</w:t>
      </w:r>
      <w:r>
        <w:rPr>
          <w:rFonts w:hint="eastAsia" w:ascii="Times New Roman" w:hAnsi="Times New Roman" w:eastAsia="仿宋_GB2312" w:cs="Times New Roman"/>
          <w:sz w:val="32"/>
          <w:szCs w:val="32"/>
          <w:lang w:val="en-US" w:eastAsia="zh-CN"/>
        </w:rPr>
        <w:t>21</w:t>
      </w:r>
      <w:r>
        <w:rPr>
          <w:rFonts w:hint="default" w:ascii="Times New Roman" w:hAnsi="Times New Roman" w:eastAsia="仿宋_GB2312" w:cs="Times New Roman"/>
          <w:sz w:val="32"/>
          <w:szCs w:val="32"/>
        </w:rPr>
        <w:t>万元，预算执行率为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%，项目绩效指标总体完成率为</w:t>
      </w:r>
      <w:r>
        <w:rPr>
          <w:rFonts w:hint="eastAsia" w:ascii="Times New Roman" w:hAnsi="Times New Roman" w:eastAsia="仿宋_GB2312" w:cs="Times New Roman"/>
          <w:sz w:val="32"/>
          <w:szCs w:val="32"/>
          <w:lang w:val="en-US" w:eastAsia="zh-CN"/>
        </w:rPr>
        <w:t>107</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Hans"/>
        </w:rPr>
        <w:t>总体</w:t>
      </w:r>
      <w:r>
        <w:rPr>
          <w:rFonts w:hint="default" w:ascii="Times New Roman" w:hAnsi="Times New Roman" w:eastAsia="仿宋_GB2312" w:cs="Times New Roman"/>
          <w:sz w:val="32"/>
          <w:szCs w:val="32"/>
        </w:rPr>
        <w:t>偏差率为</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Hans"/>
        </w:rPr>
        <w:t>偏差</w:t>
      </w:r>
      <w:r>
        <w:rPr>
          <w:rFonts w:hint="default" w:ascii="Times New Roman" w:hAnsi="Times New Roman" w:eastAsia="仿宋_GB2312" w:cs="Times New Roman"/>
          <w:sz w:val="32"/>
          <w:szCs w:val="32"/>
        </w:rPr>
        <w:t>原因</w:t>
      </w:r>
      <w:r>
        <w:rPr>
          <w:rFonts w:hint="eastAsia" w:ascii="Times New Roman" w:hAnsi="Times New Roman" w:eastAsia="仿宋_GB2312" w:cs="Times New Roman"/>
          <w:sz w:val="32"/>
          <w:szCs w:val="32"/>
          <w:lang w:val="en-US" w:eastAsia="zh-CN"/>
        </w:rPr>
        <w:t>1.委员提案指标值与实际完成值存在偏差主要原因是，因该指标值存在不可控因素年初在设置绩效目标时参考历年数据进行设置，因2024年提案数量超出预期值导致完成值与目标值存在偏差。2.因年初设置满意度指标时参考往年指标设置情况采取保守预估设置，导致完成值大于目标值。</w:t>
      </w:r>
      <w:r>
        <w:rPr>
          <w:rFonts w:hint="default" w:ascii="Times New Roman" w:hAnsi="Times New Roman" w:eastAsia="仿宋_GB2312" w:cs="Times New Roman"/>
          <w:sz w:val="32"/>
          <w:szCs w:val="32"/>
          <w:lang w:eastAsia="zh-Hans"/>
        </w:rPr>
        <w:t>改进</w:t>
      </w:r>
      <w:r>
        <w:rPr>
          <w:rFonts w:hint="default" w:ascii="Times New Roman" w:hAnsi="Times New Roman" w:eastAsia="仿宋_GB2312" w:cs="Times New Roman"/>
          <w:sz w:val="32"/>
          <w:szCs w:val="32"/>
        </w:rPr>
        <w:t>措施</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后期在指标设置前进行充分调研及研讨争取指标值设置准确性</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加强项目绩效目标监控力度，如发现偏离情况及时做好纠偏处理。</w:t>
      </w:r>
    </w:p>
    <w:p>
      <w:pPr>
        <w:spacing w:line="560" w:lineRule="exact"/>
        <w:ind w:firstLine="640" w:firstLineChars="200"/>
        <w:rPr>
          <w:rStyle w:val="19"/>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1"/>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pPr>
        <w:spacing w:line="560" w:lineRule="exact"/>
        <w:ind w:firstLine="640" w:firstLineChars="200"/>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pPr>
        <w:pStyle w:val="14"/>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14"/>
        <w:spacing w:after="0" w:line="560" w:lineRule="exact"/>
        <w:ind w:left="0" w:leftChars="0" w:firstLine="640"/>
        <w:rPr>
          <w:rFonts w:hint="eastAsia" w:ascii="Times New Roman" w:hAnsi="Times New Roman" w:eastAsia="仿宋_GB2312" w:cs="Times New Roman"/>
          <w:sz w:val="32"/>
          <w:szCs w:val="32"/>
          <w:lang w:eastAsia="zh-CN"/>
        </w:rPr>
      </w:pPr>
    </w:p>
    <w:p>
      <w:pPr>
        <w:pStyle w:val="14"/>
        <w:spacing w:after="0" w:line="560" w:lineRule="exact"/>
        <w:ind w:left="0" w:leftChars="0" w:firstLine="640"/>
        <w:rPr>
          <w:rFonts w:hint="default" w:ascii="Times New Roman" w:hAnsi="Times New Roman" w:eastAsia="仿宋_GB2312" w:cs="Times New Roman"/>
          <w:sz w:val="32"/>
          <w:szCs w:val="32"/>
        </w:rPr>
      </w:pPr>
    </w:p>
    <w:p>
      <w:pPr>
        <w:pStyle w:val="14"/>
        <w:spacing w:after="0" w:line="560" w:lineRule="exact"/>
        <w:ind w:left="0" w:leftChars="0" w:firstLine="0" w:firstLineChars="0"/>
        <w:rPr>
          <w:rFonts w:hint="default" w:ascii="Times New Roman" w:hAnsi="Times New Roman" w:eastAsia="仿宋_GB2312" w:cs="Times New Roman"/>
          <w:sz w:val="32"/>
          <w:szCs w:val="32"/>
        </w:rPr>
      </w:pPr>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20"/>
        <w:ind w:firstLine="562"/>
        <w:jc w:val="center"/>
        <w:rPr>
          <w:rFonts w:hint="eastAsia" w:ascii="仿宋_GB2312" w:hAnsi="仿宋_GB2312" w:eastAsia="仿宋_GB2312" w:cs="仿宋_GB2312"/>
          <w:sz w:val="28"/>
          <w:szCs w:val="40"/>
        </w:rPr>
      </w:pPr>
      <w:bookmarkStart w:id="1" w:name="_Toc30064_WPSOffice_Level1"/>
      <w:bookmarkStart w:id="2" w:name="_Toc26499_WPSOffice_Level2"/>
      <w:r>
        <w:rPr>
          <w:rFonts w:hint="eastAsia" w:ascii="仿宋_GB2312" w:hAnsi="仿宋_GB2312" w:eastAsia="仿宋_GB2312" w:cs="仿宋_GB2312"/>
          <w:b/>
          <w:bCs/>
          <w:sz w:val="28"/>
          <w:szCs w:val="40"/>
          <w:highlight w:val="none"/>
          <w:lang w:val="en-US" w:eastAsia="zh-CN"/>
        </w:rPr>
        <w:t>政协委员活动经费</w:t>
      </w:r>
      <w:r>
        <w:rPr>
          <w:rFonts w:hint="eastAsia" w:ascii="仿宋_GB2312" w:hAnsi="仿宋_GB2312" w:eastAsia="仿宋_GB2312" w:cs="仿宋_GB2312"/>
          <w:b/>
          <w:bCs/>
          <w:sz w:val="28"/>
          <w:szCs w:val="40"/>
          <w:highlight w:val="none"/>
        </w:rPr>
        <w:t>项目绩</w:t>
      </w:r>
      <w:r>
        <w:rPr>
          <w:rFonts w:hint="eastAsia" w:ascii="仿宋_GB2312" w:hAnsi="仿宋_GB2312" w:eastAsia="仿宋_GB2312" w:cs="仿宋_GB2312"/>
          <w:b/>
          <w:bCs/>
          <w:sz w:val="28"/>
          <w:szCs w:val="40"/>
        </w:rPr>
        <w:t>效评价指标体系及综合评分表</w:t>
      </w:r>
      <w:bookmarkEnd w:id="1"/>
      <w:bookmarkEnd w:id="2"/>
    </w:p>
    <w:tbl>
      <w:tblPr>
        <w:tblStyle w:val="15"/>
        <w:tblW w:w="4689"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autofit"/>
        <w:tblCellMar>
          <w:top w:w="0" w:type="dxa"/>
          <w:left w:w="108" w:type="dxa"/>
          <w:bottom w:w="0" w:type="dxa"/>
          <w:right w:w="108" w:type="dxa"/>
        </w:tblCellMar>
      </w:tblPr>
      <w:tblGrid>
        <w:gridCol w:w="1050"/>
        <w:gridCol w:w="1048"/>
        <w:gridCol w:w="1122"/>
        <w:gridCol w:w="1808"/>
        <w:gridCol w:w="5472"/>
        <w:gridCol w:w="1361"/>
        <w:gridCol w:w="143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78" w:hRule="atLeast"/>
          <w:tblHeader/>
          <w:jc w:val="center"/>
        </w:trPr>
        <w:tc>
          <w:tcPr>
            <w:tcW w:w="395"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394"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422"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680"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2057"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512"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538"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44" w:hRule="atLeast"/>
          <w:jc w:val="center"/>
        </w:trPr>
        <w:tc>
          <w:tcPr>
            <w:tcW w:w="395" w:type="pct"/>
            <w:vMerge w:val="restar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394" w:type="pct"/>
            <w:vMerge w:val="restar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422" w:type="pc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680" w:type="pct"/>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2057" w:type="pct"/>
            <w:shd w:val="clear" w:color="auto" w:fill="auto"/>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w:t>
            </w:r>
            <w:r>
              <w:rPr>
                <w:rFonts w:hint="eastAsia" w:eastAsia="仿宋_GB2312" w:cs="Times New Roman"/>
                <w:color w:val="000000"/>
                <w:kern w:val="0"/>
                <w:sz w:val="18"/>
                <w:szCs w:val="18"/>
                <w:highlight w:val="none"/>
                <w:lang w:eastAsia="zh-CN"/>
              </w:rPr>
              <w:t>和社会</w:t>
            </w:r>
            <w:r>
              <w:rPr>
                <w:rFonts w:hint="default" w:ascii="Times New Roman" w:hAnsi="Times New Roman" w:eastAsia="仿宋_GB2312" w:cs="Times New Roman"/>
                <w:color w:val="000000"/>
                <w:kern w:val="0"/>
                <w:sz w:val="18"/>
                <w:szCs w:val="18"/>
                <w:highlight w:val="none"/>
              </w:rPr>
              <w:t>发展规划相关政策；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512"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bookmarkStart w:id="3" w:name="_GoBack"/>
            <w:bookmarkEnd w:id="3"/>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auto"/>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00" w:hRule="atLeast"/>
          <w:jc w:val="center"/>
        </w:trPr>
        <w:tc>
          <w:tcPr>
            <w:tcW w:w="395" w:type="pct"/>
            <w:vMerge w:val="continue"/>
            <w:shd w:val="clear" w:color="auto" w:fill="auto"/>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680" w:type="pct"/>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2057" w:type="pct"/>
            <w:shd w:val="clear" w:color="auto" w:fill="auto"/>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512"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auto"/>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2" w:hRule="atLeast"/>
          <w:jc w:val="center"/>
        </w:trPr>
        <w:tc>
          <w:tcPr>
            <w:tcW w:w="395" w:type="pct"/>
            <w:vMerge w:val="continue"/>
            <w:shd w:val="clear" w:color="auto" w:fill="auto"/>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422" w:type="pc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2057" w:type="pct"/>
            <w:shd w:val="clear" w:color="auto" w:fill="auto"/>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512"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auto"/>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0" w:hRule="atLeast"/>
          <w:jc w:val="center"/>
        </w:trPr>
        <w:tc>
          <w:tcPr>
            <w:tcW w:w="395" w:type="pct"/>
            <w:vMerge w:val="continue"/>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680" w:type="pct"/>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2057" w:type="pct"/>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512"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auto"/>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84" w:hRule="atLeast"/>
          <w:jc w:val="center"/>
        </w:trPr>
        <w:tc>
          <w:tcPr>
            <w:tcW w:w="395" w:type="pct"/>
            <w:vMerge w:val="continue"/>
            <w:shd w:val="clear" w:color="auto" w:fill="auto"/>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680" w:type="pct"/>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2057" w:type="pct"/>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512"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auto"/>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08" w:hRule="atLeast"/>
          <w:jc w:val="center"/>
        </w:trPr>
        <w:tc>
          <w:tcPr>
            <w:tcW w:w="395" w:type="pct"/>
            <w:vMerge w:val="continue"/>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2057" w:type="pct"/>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512"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auto"/>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51" w:hRule="atLeast"/>
          <w:jc w:val="center"/>
        </w:trPr>
        <w:tc>
          <w:tcPr>
            <w:tcW w:w="395" w:type="pct"/>
            <w:vMerge w:val="restart"/>
            <w:shd w:val="clear" w:color="auto" w:fill="auto"/>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394" w:type="pct"/>
            <w:vMerge w:val="restar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680" w:type="pct"/>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2057" w:type="pct"/>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512"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auto"/>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55" w:hRule="atLeast"/>
          <w:jc w:val="center"/>
        </w:trPr>
        <w:tc>
          <w:tcPr>
            <w:tcW w:w="395" w:type="pct"/>
            <w:vMerge w:val="continue"/>
            <w:shd w:val="clear" w:color="auto" w:fill="auto"/>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auto"/>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680" w:type="pct"/>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2057" w:type="pct"/>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512"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auto"/>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9" w:hRule="atLeast"/>
          <w:jc w:val="center"/>
        </w:trPr>
        <w:tc>
          <w:tcPr>
            <w:tcW w:w="395" w:type="pct"/>
            <w:vMerge w:val="continue"/>
            <w:shd w:val="clear" w:color="auto" w:fill="auto"/>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680" w:type="pct"/>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2057" w:type="pct"/>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512"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auto"/>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37" w:hRule="atLeast"/>
          <w:jc w:val="center"/>
        </w:trPr>
        <w:tc>
          <w:tcPr>
            <w:tcW w:w="395" w:type="pct"/>
            <w:vMerge w:val="continue"/>
            <w:shd w:val="clear" w:color="auto" w:fill="auto"/>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680" w:type="pct"/>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2057" w:type="pct"/>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512"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auto"/>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54" w:hRule="atLeast"/>
          <w:jc w:val="center"/>
        </w:trPr>
        <w:tc>
          <w:tcPr>
            <w:tcW w:w="395" w:type="pct"/>
            <w:vMerge w:val="continue"/>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680" w:type="pct"/>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2057" w:type="pct"/>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512"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auto"/>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58" w:hRule="atLeast"/>
          <w:jc w:val="center"/>
        </w:trPr>
        <w:tc>
          <w:tcPr>
            <w:tcW w:w="395" w:type="pct"/>
            <w:vMerge w:val="restar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394" w:type="pc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422" w:type="pc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680" w:type="pct"/>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2057" w:type="pct"/>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512"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57" w:hRule="atLeast"/>
          <w:jc w:val="center"/>
        </w:trPr>
        <w:tc>
          <w:tcPr>
            <w:tcW w:w="395" w:type="pct"/>
            <w:vMerge w:val="continue"/>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422" w:type="pc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680" w:type="pct"/>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2057" w:type="pct"/>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43" w:hRule="atLeast"/>
          <w:jc w:val="center"/>
        </w:trPr>
        <w:tc>
          <w:tcPr>
            <w:tcW w:w="395" w:type="pct"/>
            <w:vMerge w:val="continue"/>
            <w:shd w:val="clear" w:color="auto" w:fill="auto"/>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auto"/>
            <w:vAlign w:val="center"/>
          </w:tcPr>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422" w:type="pc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680" w:type="pct"/>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2057" w:type="pct"/>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512"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3" w:hRule="atLeast"/>
          <w:jc w:val="center"/>
        </w:trPr>
        <w:tc>
          <w:tcPr>
            <w:tcW w:w="395" w:type="pct"/>
            <w:vMerge w:val="continue"/>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422" w:type="pc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680" w:type="pct"/>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2057" w:type="pct"/>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512"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52" w:hRule="atLeast"/>
          <w:jc w:val="center"/>
        </w:trPr>
        <w:tc>
          <w:tcPr>
            <w:tcW w:w="395" w:type="pct"/>
            <w:vMerge w:val="restar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394" w:type="pct"/>
            <w:vMerge w:val="restar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422" w:type="pc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680" w:type="pct"/>
            <w:shd w:val="clear" w:color="auto" w:fill="auto"/>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2057" w:type="pct"/>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512"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5" w:hRule="atLeast"/>
          <w:jc w:val="center"/>
        </w:trPr>
        <w:tc>
          <w:tcPr>
            <w:tcW w:w="395" w:type="pct"/>
            <w:vMerge w:val="continue"/>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680" w:type="pct"/>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2057" w:type="pct"/>
            <w:shd w:val="clear" w:color="auto" w:fill="auto"/>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512"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33" w:hRule="atLeast"/>
          <w:jc w:val="center"/>
        </w:trPr>
        <w:tc>
          <w:tcPr>
            <w:tcW w:w="3949" w:type="pct"/>
            <w:gridSpan w:val="5"/>
            <w:shd w:val="clear" w:color="auto" w:fill="auto"/>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eastAsia" w:eastAsia="仿宋_GB2312" w:cs="Times New Roman"/>
                <w:b/>
                <w:bCs/>
                <w:color w:val="auto"/>
                <w:kern w:val="0"/>
                <w:sz w:val="18"/>
                <w:szCs w:val="18"/>
                <w:highlight w:val="none"/>
                <w:lang w:val="en-US" w:eastAsia="zh-CN"/>
              </w:rPr>
              <w:t>合计</w:t>
            </w:r>
          </w:p>
        </w:tc>
        <w:tc>
          <w:tcPr>
            <w:tcW w:w="512" w:type="pct"/>
            <w:shd w:val="clear" w:color="auto" w:fill="auto"/>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c>
          <w:tcPr>
            <w:tcW w:w="538" w:type="pct"/>
            <w:shd w:val="clear" w:color="auto" w:fill="auto"/>
            <w:vAlign w:val="center"/>
          </w:tcPr>
          <w:p>
            <w:pPr>
              <w:widowControl/>
              <w:spacing w:line="0" w:lineRule="atLeast"/>
              <w:jc w:val="center"/>
              <w:rPr>
                <w:rFonts w:hint="default"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r>
    </w:tbl>
    <w:p>
      <w:pPr>
        <w:rPr>
          <w:rFonts w:hint="default" w:ascii="Times New Roman" w:hAnsi="Times New Roman" w:cs="Times New Roman"/>
        </w:rPr>
        <w:sectPr>
          <w:pgSz w:w="16838" w:h="11906" w:orient="landscape"/>
          <w:pgMar w:top="1800" w:right="1440" w:bottom="1558" w:left="1440" w:header="851" w:footer="992" w:gutter="0"/>
          <w:pgBorders>
            <w:top w:val="none" w:sz="0" w:space="0"/>
            <w:left w:val="none" w:sz="0" w:space="0"/>
            <w:bottom w:val="none" w:sz="0" w:space="0"/>
            <w:right w:val="none" w:sz="0" w:space="0"/>
          </w:pgBorders>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tbl>
      <w:tblPr>
        <w:tblStyle w:val="1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16"/>
        <w:gridCol w:w="623"/>
        <w:gridCol w:w="740"/>
        <w:gridCol w:w="2645"/>
        <w:gridCol w:w="743"/>
        <w:gridCol w:w="916"/>
        <w:gridCol w:w="765"/>
        <w:gridCol w:w="558"/>
        <w:gridCol w:w="1040"/>
        <w:gridCol w:w="643"/>
        <w:gridCol w:w="740"/>
        <w:gridCol w:w="618"/>
        <w:gridCol w:w="678"/>
        <w:gridCol w:w="28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5000" w:type="pct"/>
            <w:gridSpan w:val="14"/>
            <w:tcBorders>
              <w:top w:val="nil"/>
              <w:left w:val="nil"/>
              <w:bottom w:val="nil"/>
              <w:right w:val="nil"/>
            </w:tcBorders>
            <w:shd w:val="clear" w:color="auto" w:fill="auto"/>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4"/>
            <w:tcBorders>
              <w:top w:val="nil"/>
              <w:left w:val="nil"/>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4562"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政协委员活动经费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1456"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中国人民政治协商会议哈密市委员会</w:t>
            </w:r>
          </w:p>
        </w:tc>
        <w:tc>
          <w:tcPr>
            <w:tcW w:w="5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251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中国人民政治协商会议哈密市委员会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48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85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7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4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10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8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21.00</w:t>
            </w:r>
          </w:p>
        </w:tc>
        <w:tc>
          <w:tcPr>
            <w:tcW w:w="85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21.00</w:t>
            </w:r>
          </w:p>
        </w:tc>
        <w:tc>
          <w:tcPr>
            <w:tcW w:w="7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w:t>
            </w:r>
          </w:p>
        </w:tc>
        <w:tc>
          <w:tcPr>
            <w:tcW w:w="10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8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21.00</w:t>
            </w:r>
          </w:p>
        </w:tc>
        <w:tc>
          <w:tcPr>
            <w:tcW w:w="85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21.00</w:t>
            </w:r>
          </w:p>
        </w:tc>
        <w:tc>
          <w:tcPr>
            <w:tcW w:w="7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4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8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85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79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4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2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三、目标完成情况</w:t>
            </w:r>
          </w:p>
        </w:tc>
        <w:tc>
          <w:tcPr>
            <w:tcW w:w="226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251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0" w:hRule="atLeast"/>
        </w:trPr>
        <w:tc>
          <w:tcPr>
            <w:tcW w:w="2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26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据《中国人民政治协商会议章程》要求，政协委员活动费项目，主要用于保障委员参加会议开展调研工作、参与培训，通过调研视察提高政协委员履职能力，提出高质量的提案，有效促进社会经济发展，促进经济又好又快发展，发挥协调关系，汇聚力量，建言献策，服务大局，民主监督的作用持续提升，为哈密市经济社会发展助力增效。</w:t>
            </w:r>
          </w:p>
        </w:tc>
        <w:tc>
          <w:tcPr>
            <w:tcW w:w="251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协委员活动经费项目已完成4次调研工作，参加委员会议6次，开展委员培训1次，通过调研视察提高了政协委员履职能力，使委员能提出高质量的提案，有效促进社会经济发展，促进经济又好又快发展，发挥协调关系，汇聚力量，建言献策，服务大局，民主监督的作用持续提升，为哈密市经济社会发展助力增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1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指标值设定依据</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上年完成情况</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权重</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赋分规则</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佐证资料</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完成率</w:t>
            </w: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10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2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2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委员调研次数</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&gt;=4次</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=4次</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委员参加会议次数</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&gt;=6次</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=6次</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委员培训次数</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&gt;=1次</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=1次</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政协委员活动参与率</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政协委员会活动开展及时率</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市级政协委员活动费标准</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=1000元/人/年</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原始凭证,工作资料</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=1000元/人/年</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2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2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调研形成报告数量</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&gt;=4份</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=4份</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60" w:hRule="atLeast"/>
        </w:trPr>
        <w:tc>
          <w:tcPr>
            <w:tcW w:w="2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2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委员提案数量</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&gt;=88件</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=134件</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152%</w:t>
            </w: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因该指标值存在不可控因素年初在设置绩效目标时参考历年数据进行设置，因2024年提案数量超出预期值导致完成值与目标值存在偏差。改进措施：后期在指标设置前进行充分调研及研讨争取指标值设置准确性。加强项目绩效目标监控力度，如发现偏离情况及时做好纠偏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2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委员满意度</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111%</w:t>
            </w: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偏差原因：因年初设置满意度指标时参考往年指标设置情况采取保守预估设置，导致完成值大于目标值。改进措施：后期在指标设置前进行充分调研及研讨争取指标值设置准确性。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248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7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100分</w:t>
            </w:r>
          </w:p>
        </w:tc>
        <w:tc>
          <w:tcPr>
            <w:tcW w:w="100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r>
    </w:tbl>
    <w:p>
      <w:pPr>
        <w:spacing w:line="600" w:lineRule="exact"/>
        <w:rPr>
          <w:rFonts w:hint="default" w:eastAsia="黑体" w:cs="Times New Roman"/>
          <w:sz w:val="32"/>
          <w:szCs w:val="32"/>
          <w:lang w:val="en-US" w:eastAsia="zh-CN"/>
        </w:rPr>
      </w:pPr>
    </w:p>
    <w:sectPr>
      <w:pgSz w:w="16838" w:h="11906" w:orient="landscape"/>
      <w:pgMar w:top="1800" w:right="1440" w:bottom="1558"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ACBD6E0-07B2-4E12-8536-A7E37774F3D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08DACC5F-2BB3-4A41-8E50-82EE73D13940}"/>
  </w:font>
  <w:font w:name="华文中宋">
    <w:panose1 w:val="02010600040101010101"/>
    <w:charset w:val="86"/>
    <w:family w:val="auto"/>
    <w:pitch w:val="default"/>
    <w:sig w:usb0="00000287" w:usb1="080F0000" w:usb2="00000000" w:usb3="00000000" w:csb0="0004009F" w:csb1="DFD70000"/>
    <w:embedRegular r:id="rId3" w:fontKey="{D00BEAE1-1E91-4ADC-90B0-E2ACF21B4536}"/>
  </w:font>
  <w:font w:name="方正小标宋_GBK">
    <w:panose1 w:val="02000000000000000000"/>
    <w:charset w:val="86"/>
    <w:family w:val="script"/>
    <w:pitch w:val="default"/>
    <w:sig w:usb0="A00002BF" w:usb1="38CF7CFA" w:usb2="00082016" w:usb3="00000000" w:csb0="00040001" w:csb1="00000000"/>
    <w:embedRegular r:id="rId4" w:fontKey="{7AC7EA25-61EC-436D-97F3-C464760F69FB}"/>
  </w:font>
  <w:font w:name="楷体_GB2312">
    <w:panose1 w:val="02010609030101010101"/>
    <w:charset w:val="86"/>
    <w:family w:val="auto"/>
    <w:pitch w:val="default"/>
    <w:sig w:usb0="00000001" w:usb1="080E0000" w:usb2="00000000" w:usb3="00000000" w:csb0="00040000" w:csb1="00000000"/>
    <w:embedRegular r:id="rId5" w:fontKey="{8559ED1F-4DB4-4792-8B3A-5A4B892F6743}"/>
  </w:font>
  <w:font w:name="方正仿宋_GBK">
    <w:panose1 w:val="02000000000000000000"/>
    <w:charset w:val="86"/>
    <w:family w:val="auto"/>
    <w:pitch w:val="default"/>
    <w:sig w:usb0="A00002BF" w:usb1="38CF7CFA" w:usb2="00082016" w:usb3="00000000" w:csb0="00040001" w:csb1="00000000"/>
    <w:embedRegular r:id="rId6" w:fontKey="{33A0A27B-EAA4-4D7E-906A-423DCBACBB02}"/>
  </w:font>
  <w:font w:name="楷体">
    <w:panose1 w:val="02010609060101010101"/>
    <w:charset w:val="86"/>
    <w:family w:val="modern"/>
    <w:pitch w:val="default"/>
    <w:sig w:usb0="800002BF" w:usb1="38CF7CFA" w:usb2="00000016" w:usb3="00000000" w:csb0="00040001" w:csb1="00000000"/>
    <w:embedRegular r:id="rId7" w:fontKey="{6D7C5407-C615-4912-952A-80745C9B532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8"/>
          <w:jc w:val="center"/>
        </w:pPr>
        <w:r>
          <w:fldChar w:fldCharType="begin"/>
        </w:r>
        <w:r>
          <w:instrText xml:space="preserve">PAGE   \* MERGEFORMAT</w:instrText>
        </w:r>
        <w:r>
          <w:fldChar w:fldCharType="separate"/>
        </w:r>
        <w:r>
          <w:rPr>
            <w:lang w:val="zh-CN"/>
          </w:rPr>
          <w:t>13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3YzZlMjk1MzI3Nzc4ZjgyYTY5ZGQ1MzkwMGUyMTYifQ=="/>
  </w:docVars>
  <w:rsids>
    <w:rsidRoot w:val="FF6C4049"/>
    <w:rsid w:val="006F7242"/>
    <w:rsid w:val="007B168A"/>
    <w:rsid w:val="008004C9"/>
    <w:rsid w:val="008B2CFE"/>
    <w:rsid w:val="00F26FF6"/>
    <w:rsid w:val="01610122"/>
    <w:rsid w:val="02510197"/>
    <w:rsid w:val="026D11C0"/>
    <w:rsid w:val="03EC461B"/>
    <w:rsid w:val="05FF12E2"/>
    <w:rsid w:val="060D0A70"/>
    <w:rsid w:val="07397B77"/>
    <w:rsid w:val="0AD007F3"/>
    <w:rsid w:val="0E3C619F"/>
    <w:rsid w:val="0F5613B9"/>
    <w:rsid w:val="100F38EC"/>
    <w:rsid w:val="11170296"/>
    <w:rsid w:val="12C66037"/>
    <w:rsid w:val="12CD1ABC"/>
    <w:rsid w:val="13471461"/>
    <w:rsid w:val="13B90F01"/>
    <w:rsid w:val="155E4C4D"/>
    <w:rsid w:val="181066D2"/>
    <w:rsid w:val="1C671E73"/>
    <w:rsid w:val="1D322C47"/>
    <w:rsid w:val="1ED0701F"/>
    <w:rsid w:val="23616034"/>
    <w:rsid w:val="23696C97"/>
    <w:rsid w:val="24480FA2"/>
    <w:rsid w:val="25227A45"/>
    <w:rsid w:val="26AC3A6A"/>
    <w:rsid w:val="28ED4760"/>
    <w:rsid w:val="2B9D7E25"/>
    <w:rsid w:val="2C7C7A3B"/>
    <w:rsid w:val="2F364819"/>
    <w:rsid w:val="2FD63906"/>
    <w:rsid w:val="37215DAE"/>
    <w:rsid w:val="38CA40DD"/>
    <w:rsid w:val="394F0285"/>
    <w:rsid w:val="395F2B56"/>
    <w:rsid w:val="39C53BE4"/>
    <w:rsid w:val="3BBA0580"/>
    <w:rsid w:val="3BECE841"/>
    <w:rsid w:val="3CDE204C"/>
    <w:rsid w:val="3D363C36"/>
    <w:rsid w:val="3D79723B"/>
    <w:rsid w:val="3E9C3F6D"/>
    <w:rsid w:val="3EAF22E3"/>
    <w:rsid w:val="3FF7797D"/>
    <w:rsid w:val="406E0708"/>
    <w:rsid w:val="46690BD8"/>
    <w:rsid w:val="49F70BF1"/>
    <w:rsid w:val="4B4340EE"/>
    <w:rsid w:val="503D507A"/>
    <w:rsid w:val="51A256E7"/>
    <w:rsid w:val="51FA74D0"/>
    <w:rsid w:val="52AA4A52"/>
    <w:rsid w:val="52DB50A2"/>
    <w:rsid w:val="54622EEA"/>
    <w:rsid w:val="549A0B57"/>
    <w:rsid w:val="570C6091"/>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42B176B"/>
    <w:rsid w:val="643EE26D"/>
    <w:rsid w:val="656019A0"/>
    <w:rsid w:val="65F242EE"/>
    <w:rsid w:val="666D7E19"/>
    <w:rsid w:val="67FE6D7D"/>
    <w:rsid w:val="68376930"/>
    <w:rsid w:val="68F91E38"/>
    <w:rsid w:val="6B3158B9"/>
    <w:rsid w:val="6BA02A3F"/>
    <w:rsid w:val="6BFC0FC5"/>
    <w:rsid w:val="6C1E5A53"/>
    <w:rsid w:val="6C4E0744"/>
    <w:rsid w:val="6D0112BB"/>
    <w:rsid w:val="6F5C41AC"/>
    <w:rsid w:val="6FAF6C78"/>
    <w:rsid w:val="711C4E3A"/>
    <w:rsid w:val="716167CC"/>
    <w:rsid w:val="718A7AD1"/>
    <w:rsid w:val="72A44BC2"/>
    <w:rsid w:val="7317C656"/>
    <w:rsid w:val="734ED73F"/>
    <w:rsid w:val="73C82B32"/>
    <w:rsid w:val="73F94DAE"/>
    <w:rsid w:val="74220495"/>
    <w:rsid w:val="747D1B6F"/>
    <w:rsid w:val="749E5641"/>
    <w:rsid w:val="7577496B"/>
    <w:rsid w:val="76271066"/>
    <w:rsid w:val="77FD8BE9"/>
    <w:rsid w:val="78000AED"/>
    <w:rsid w:val="79A9BD3F"/>
    <w:rsid w:val="7A6F2136"/>
    <w:rsid w:val="7AE76E46"/>
    <w:rsid w:val="7B776F12"/>
    <w:rsid w:val="7BFFFDD0"/>
    <w:rsid w:val="7C336E5F"/>
    <w:rsid w:val="7C8D4919"/>
    <w:rsid w:val="7D7A5F86"/>
    <w:rsid w:val="7E4B683A"/>
    <w:rsid w:val="7E5E656D"/>
    <w:rsid w:val="7E8F2BCB"/>
    <w:rsid w:val="7EE822D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6">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23"/>
    <w:autoRedefine/>
    <w:qFormat/>
    <w:uiPriority w:val="0"/>
    <w:pPr>
      <w:jc w:val="left"/>
    </w:pPr>
  </w:style>
  <w:style w:type="paragraph" w:styleId="4">
    <w:name w:val="Body Text"/>
    <w:basedOn w:val="1"/>
    <w:autoRedefine/>
    <w:qFormat/>
    <w:uiPriority w:val="0"/>
    <w:pPr>
      <w:spacing w:after="120"/>
    </w:pPr>
  </w:style>
  <w:style w:type="paragraph" w:styleId="5">
    <w:name w:val="Body Text Indent"/>
    <w:basedOn w:val="1"/>
    <w:autoRedefine/>
    <w:qFormat/>
    <w:uiPriority w:val="0"/>
    <w:pPr>
      <w:spacing w:after="120"/>
      <w:ind w:left="420" w:leftChars="200"/>
    </w:pPr>
    <w:rPr>
      <w:rFonts w:ascii="Calibri" w:hAnsi="Calibri"/>
    </w:rPr>
  </w:style>
  <w:style w:type="paragraph" w:styleId="6">
    <w:name w:val="Body Text Indent 2"/>
    <w:basedOn w:val="1"/>
    <w:autoRedefine/>
    <w:qFormat/>
    <w:uiPriority w:val="0"/>
    <w:pPr>
      <w:spacing w:line="500" w:lineRule="exact"/>
      <w:ind w:firstLine="482"/>
    </w:pPr>
    <w:rPr>
      <w:sz w:val="24"/>
      <w:szCs w:val="20"/>
    </w:rPr>
  </w:style>
  <w:style w:type="paragraph" w:styleId="7">
    <w:name w:val="Balloon Text"/>
    <w:basedOn w:val="1"/>
    <w:link w:val="21"/>
    <w:autoRedefine/>
    <w:qFormat/>
    <w:uiPriority w:val="0"/>
    <w:rPr>
      <w:sz w:val="18"/>
      <w:szCs w:val="18"/>
    </w:rPr>
  </w:style>
  <w:style w:type="paragraph" w:styleId="8">
    <w:name w:val="footer"/>
    <w:basedOn w:val="1"/>
    <w:autoRedefine/>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2"/>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3"/>
    <w:next w:val="3"/>
    <w:link w:val="24"/>
    <w:autoRedefine/>
    <w:qFormat/>
    <w:uiPriority w:val="0"/>
    <w:rPr>
      <w:b/>
      <w:bCs/>
    </w:rPr>
  </w:style>
  <w:style w:type="paragraph" w:styleId="13">
    <w:name w:val="Body Text First Indent"/>
    <w:basedOn w:val="4"/>
    <w:autoRedefine/>
    <w:qFormat/>
    <w:uiPriority w:val="0"/>
    <w:pPr>
      <w:spacing w:after="0"/>
      <w:ind w:firstLine="200" w:firstLineChars="200"/>
    </w:pPr>
  </w:style>
  <w:style w:type="paragraph" w:styleId="14">
    <w:name w:val="Body Text First Indent 2"/>
    <w:basedOn w:val="5"/>
    <w:autoRedefine/>
    <w:qFormat/>
    <w:uiPriority w:val="0"/>
    <w:pPr>
      <w:ind w:firstLine="420" w:firstLineChars="200"/>
    </w:pPr>
  </w:style>
  <w:style w:type="character" w:styleId="17">
    <w:name w:val="Strong"/>
    <w:basedOn w:val="16"/>
    <w:autoRedefine/>
    <w:qFormat/>
    <w:uiPriority w:val="0"/>
    <w:rPr>
      <w:b/>
      <w:bCs/>
    </w:rPr>
  </w:style>
  <w:style w:type="character" w:styleId="18">
    <w:name w:val="annotation reference"/>
    <w:basedOn w:val="16"/>
    <w:autoRedefine/>
    <w:qFormat/>
    <w:uiPriority w:val="0"/>
    <w:rPr>
      <w:sz w:val="21"/>
      <w:szCs w:val="21"/>
    </w:rPr>
  </w:style>
  <w:style w:type="character" w:customStyle="1" w:styleId="19">
    <w:name w:val="fontstyle01"/>
    <w:autoRedefine/>
    <w:qFormat/>
    <w:uiPriority w:val="0"/>
    <w:rPr>
      <w:rFonts w:ascii="仿宋_GB2312" w:hAnsi="仿宋_GB2312" w:eastAsia="仿宋_GB2312" w:cs="仿宋_GB2312"/>
      <w:color w:val="000000"/>
      <w:sz w:val="32"/>
      <w:szCs w:val="32"/>
    </w:rPr>
  </w:style>
  <w:style w:type="paragraph" w:customStyle="1" w:styleId="20">
    <w:name w:val="闻政-正文段落文字"/>
    <w:basedOn w:val="1"/>
    <w:autoRedefine/>
    <w:qFormat/>
    <w:uiPriority w:val="3"/>
    <w:pPr>
      <w:spacing w:line="500" w:lineRule="exact"/>
      <w:ind w:firstLine="200"/>
    </w:pPr>
    <w:rPr>
      <w:kern w:val="0"/>
      <w:szCs w:val="28"/>
    </w:rPr>
  </w:style>
  <w:style w:type="character" w:customStyle="1" w:styleId="21">
    <w:name w:val="批注框文本 字符"/>
    <w:basedOn w:val="16"/>
    <w:link w:val="7"/>
    <w:autoRedefine/>
    <w:qFormat/>
    <w:uiPriority w:val="0"/>
    <w:rPr>
      <w:rFonts w:ascii="Times New Roman" w:hAnsi="Times New Roman" w:eastAsia="宋体" w:cs="Times New Roman"/>
      <w:kern w:val="2"/>
      <w:sz w:val="18"/>
      <w:szCs w:val="18"/>
    </w:rPr>
  </w:style>
  <w:style w:type="character" w:customStyle="1" w:styleId="22">
    <w:name w:val="页眉 字符"/>
    <w:basedOn w:val="16"/>
    <w:link w:val="9"/>
    <w:autoRedefine/>
    <w:qFormat/>
    <w:uiPriority w:val="0"/>
    <w:rPr>
      <w:rFonts w:ascii="Times New Roman" w:hAnsi="Times New Roman" w:eastAsia="宋体" w:cs="Times New Roman"/>
      <w:kern w:val="2"/>
      <w:sz w:val="18"/>
      <w:szCs w:val="18"/>
    </w:rPr>
  </w:style>
  <w:style w:type="character" w:customStyle="1" w:styleId="23">
    <w:name w:val="批注文字 字符"/>
    <w:basedOn w:val="16"/>
    <w:link w:val="3"/>
    <w:autoRedefine/>
    <w:qFormat/>
    <w:uiPriority w:val="0"/>
    <w:rPr>
      <w:rFonts w:ascii="Times New Roman" w:hAnsi="Times New Roman" w:eastAsia="宋体" w:cs="Times New Roman"/>
      <w:kern w:val="2"/>
      <w:sz w:val="21"/>
      <w:szCs w:val="24"/>
    </w:rPr>
  </w:style>
  <w:style w:type="character" w:customStyle="1" w:styleId="24">
    <w:name w:val="批注主题 字符"/>
    <w:basedOn w:val="23"/>
    <w:link w:val="12"/>
    <w:autoRedefine/>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32</Pages>
  <Words>12316</Words>
  <Characters>12618</Characters>
  <Lines>58</Lines>
  <Paragraphs>16</Paragraphs>
  <TotalTime>2</TotalTime>
  <ScaleCrop>false</ScaleCrop>
  <LinksUpToDate>false</LinksUpToDate>
  <CharactersWithSpaces>12620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cp:lastPrinted>2025-10-14T03:08:00Z</cp:lastPrinted>
  <dcterms:modified xsi:type="dcterms:W3CDTF">2025-10-16T02:21:15Z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1D4CA47B466849D78AE044150ECF734F_13</vt:lpwstr>
  </property>
  <property fmtid="{D5CDD505-2E9C-101B-9397-08002B2CF9AE}" pid="4" name="KSOTemplateDocerSaveRecord">
    <vt:lpwstr>eyJoZGlkIjoiOGQzOGI1N2U3NDI0Y2Y4ZjMzZmE4MjM0YTYxYzE2OTYiLCJ1c2VySWQiOiI0MTI0OTExNjEifQ==</vt:lpwstr>
  </property>
</Properties>
</file>