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widowControl/>
        <w:spacing w:beforeAutospacing="0" w:afterAutospacing="0"/>
        <w:jc w:val="center"/>
        <w:rPr>
          <w:rFonts w:hint="eastAsia" w:ascii="华文中宋" w:hAnsi="华文中宋" w:eastAsia="华文中宋" w:cs="宋体"/>
          <w:b/>
          <w:bCs/>
          <w:color w:val="333333"/>
          <w:spacing w:val="15"/>
          <w:sz w:val="40"/>
          <w:szCs w:val="40"/>
        </w:rPr>
      </w:pPr>
    </w:p>
    <w:p>
      <w:pPr>
        <w:pStyle w:val="8"/>
        <w:widowControl/>
        <w:spacing w:beforeAutospacing="0" w:afterAutospacing="0"/>
        <w:jc w:val="center"/>
        <w:rPr>
          <w:rFonts w:hint="eastAsia" w:ascii="华文中宋" w:hAnsi="华文中宋" w:eastAsia="华文中宋" w:cs="宋体"/>
          <w:b/>
          <w:bCs/>
          <w:color w:val="333333"/>
          <w:spacing w:val="15"/>
          <w:sz w:val="40"/>
          <w:szCs w:val="40"/>
        </w:rPr>
      </w:pPr>
    </w:p>
    <w:p>
      <w:pPr>
        <w:pStyle w:val="8"/>
        <w:widowControl/>
        <w:spacing w:beforeAutospacing="0" w:afterAutospacing="0"/>
        <w:jc w:val="center"/>
        <w:rPr>
          <w:rFonts w:hint="eastAsia" w:ascii="华文中宋" w:hAnsi="华文中宋" w:eastAsia="华文中宋" w:cs="宋体"/>
          <w:b/>
          <w:bCs/>
          <w:color w:val="333333"/>
          <w:spacing w:val="15"/>
          <w:sz w:val="40"/>
          <w:szCs w:val="40"/>
        </w:rPr>
      </w:pPr>
    </w:p>
    <w:p>
      <w:pPr>
        <w:pStyle w:val="8"/>
        <w:widowControl/>
        <w:spacing w:beforeAutospacing="0" w:afterAutospacing="0"/>
        <w:jc w:val="center"/>
        <w:rPr>
          <w:rFonts w:hint="eastAsia" w:ascii="华文中宋" w:hAnsi="华文中宋" w:eastAsia="华文中宋" w:cs="宋体"/>
          <w:b/>
          <w:bCs/>
          <w:color w:val="333333"/>
          <w:spacing w:val="15"/>
          <w:sz w:val="44"/>
          <w:szCs w:val="44"/>
        </w:rPr>
      </w:pPr>
      <w:r>
        <w:rPr>
          <w:rFonts w:hint="eastAsia" w:ascii="华文中宋" w:hAnsi="华文中宋" w:eastAsia="华文中宋" w:cs="宋体"/>
          <w:b/>
          <w:bCs/>
          <w:color w:val="333333"/>
          <w:spacing w:val="15"/>
          <w:sz w:val="44"/>
          <w:szCs w:val="44"/>
        </w:rPr>
        <w:t>哈密市城市更新管理办法</w:t>
      </w:r>
    </w:p>
    <w:p>
      <w:pPr>
        <w:pStyle w:val="8"/>
        <w:widowControl/>
        <w:spacing w:beforeAutospacing="0" w:afterAutospacing="0"/>
        <w:jc w:val="center"/>
        <w:rPr>
          <w:rStyle w:val="13"/>
          <w:rFonts w:hint="eastAsia" w:ascii="仿宋_GB2312" w:hAnsi="微软雅黑" w:eastAsia="仿宋_GB2312"/>
          <w:color w:val="333333"/>
          <w:spacing w:val="15"/>
          <w:sz w:val="44"/>
          <w:szCs w:val="44"/>
        </w:rPr>
      </w:pPr>
      <w:r>
        <w:rPr>
          <w:rFonts w:hint="eastAsia" w:ascii="华文中宋" w:hAnsi="华文中宋" w:eastAsia="华文中宋" w:cs="宋体"/>
          <w:b/>
          <w:bCs/>
          <w:color w:val="333333"/>
          <w:spacing w:val="15"/>
          <w:sz w:val="44"/>
          <w:szCs w:val="44"/>
        </w:rPr>
        <w:t>（</w:t>
      </w:r>
      <w:r>
        <w:rPr>
          <w:rFonts w:hint="eastAsia" w:ascii="华文中宋" w:hAnsi="华文中宋" w:eastAsia="华文中宋" w:cs="宋体"/>
          <w:b/>
          <w:bCs/>
          <w:color w:val="333333"/>
          <w:spacing w:val="15"/>
          <w:sz w:val="44"/>
          <w:szCs w:val="44"/>
          <w:lang w:val="en-US" w:eastAsia="zh-CN"/>
        </w:rPr>
        <w:t>草案</w:t>
      </w:r>
      <w:r>
        <w:rPr>
          <w:rFonts w:hint="eastAsia" w:ascii="华文中宋" w:hAnsi="华文中宋" w:eastAsia="华文中宋" w:cs="宋体"/>
          <w:b/>
          <w:bCs/>
          <w:color w:val="333333"/>
          <w:spacing w:val="15"/>
          <w:sz w:val="44"/>
          <w:szCs w:val="44"/>
        </w:rPr>
        <w:t>）</w:t>
      </w:r>
    </w:p>
    <w:p>
      <w:pPr>
        <w:widowControl/>
        <w:shd w:val="clear" w:color="auto" w:fill="FFFFFF"/>
        <w:jc w:val="center"/>
        <w:rPr>
          <w:rStyle w:val="13"/>
          <w:rFonts w:hint="eastAsia" w:ascii="仿宋_GB2312" w:hAnsi="微软雅黑" w:eastAsia="仿宋_GB2312"/>
          <w:color w:val="333333"/>
          <w:spacing w:val="15"/>
          <w:sz w:val="30"/>
          <w:szCs w:val="30"/>
        </w:rPr>
      </w:pPr>
    </w:p>
    <w:p>
      <w:pPr>
        <w:widowControl/>
        <w:shd w:val="clear" w:color="auto" w:fill="FFFFFF"/>
        <w:jc w:val="center"/>
        <w:rPr>
          <w:rStyle w:val="13"/>
          <w:rFonts w:hint="eastAsia" w:ascii="仿宋_GB2312" w:hAnsi="微软雅黑" w:eastAsia="仿宋_GB2312"/>
          <w:color w:val="333333"/>
          <w:spacing w:val="15"/>
          <w:sz w:val="30"/>
          <w:szCs w:val="30"/>
        </w:rPr>
      </w:pPr>
    </w:p>
    <w:p>
      <w:pPr>
        <w:widowControl/>
        <w:shd w:val="clear" w:color="auto" w:fill="FFFFFF"/>
        <w:jc w:val="center"/>
        <w:rPr>
          <w:rStyle w:val="13"/>
          <w:rFonts w:hint="eastAsia" w:ascii="仿宋_GB2312" w:hAnsi="微软雅黑" w:eastAsia="仿宋_GB2312"/>
          <w:color w:val="333333"/>
          <w:spacing w:val="15"/>
          <w:sz w:val="30"/>
          <w:szCs w:val="30"/>
        </w:rPr>
      </w:pPr>
    </w:p>
    <w:p>
      <w:pPr>
        <w:widowControl/>
        <w:shd w:val="clear" w:color="auto" w:fill="FFFFFF"/>
        <w:jc w:val="center"/>
        <w:rPr>
          <w:rStyle w:val="13"/>
          <w:rFonts w:hint="eastAsia" w:ascii="仿宋_GB2312" w:hAnsi="微软雅黑" w:eastAsia="仿宋_GB2312"/>
          <w:color w:val="333333"/>
          <w:spacing w:val="15"/>
          <w:sz w:val="30"/>
          <w:szCs w:val="30"/>
        </w:rPr>
      </w:pPr>
    </w:p>
    <w:p>
      <w:pPr>
        <w:widowControl/>
        <w:shd w:val="clear" w:color="auto" w:fill="FFFFFF"/>
        <w:jc w:val="center"/>
        <w:rPr>
          <w:rStyle w:val="13"/>
          <w:rFonts w:hint="eastAsia" w:ascii="仿宋_GB2312" w:hAnsi="微软雅黑" w:eastAsia="仿宋_GB2312"/>
          <w:color w:val="333333"/>
          <w:spacing w:val="15"/>
          <w:sz w:val="30"/>
          <w:szCs w:val="30"/>
        </w:rPr>
      </w:pPr>
    </w:p>
    <w:p>
      <w:pPr>
        <w:widowControl/>
        <w:shd w:val="clear" w:color="auto" w:fill="FFFFFF"/>
        <w:jc w:val="center"/>
        <w:rPr>
          <w:rStyle w:val="13"/>
          <w:rFonts w:hint="eastAsia" w:ascii="仿宋_GB2312" w:hAnsi="微软雅黑" w:eastAsia="仿宋_GB2312"/>
          <w:color w:val="333333"/>
          <w:spacing w:val="15"/>
          <w:sz w:val="30"/>
          <w:szCs w:val="30"/>
        </w:rPr>
      </w:pPr>
    </w:p>
    <w:p>
      <w:pPr>
        <w:widowControl/>
        <w:shd w:val="clear" w:color="auto" w:fill="FFFFFF"/>
        <w:jc w:val="center"/>
        <w:rPr>
          <w:rStyle w:val="13"/>
          <w:rFonts w:hint="eastAsia" w:ascii="仿宋_GB2312" w:hAnsi="微软雅黑" w:eastAsia="仿宋_GB2312"/>
          <w:color w:val="333333"/>
          <w:spacing w:val="15"/>
          <w:sz w:val="30"/>
          <w:szCs w:val="30"/>
        </w:rPr>
      </w:pPr>
    </w:p>
    <w:p>
      <w:pPr>
        <w:widowControl/>
        <w:shd w:val="clear" w:color="auto" w:fill="FFFFFF"/>
        <w:jc w:val="center"/>
        <w:rPr>
          <w:rStyle w:val="13"/>
          <w:rFonts w:hint="eastAsia" w:ascii="仿宋_GB2312" w:hAnsi="微软雅黑" w:eastAsia="仿宋_GB2312"/>
          <w:color w:val="333333"/>
          <w:spacing w:val="15"/>
          <w:sz w:val="30"/>
          <w:szCs w:val="30"/>
        </w:rPr>
      </w:pPr>
    </w:p>
    <w:p>
      <w:pPr>
        <w:widowControl/>
        <w:shd w:val="clear" w:color="auto" w:fill="FFFFFF"/>
        <w:jc w:val="center"/>
        <w:rPr>
          <w:rStyle w:val="13"/>
          <w:rFonts w:hint="eastAsia" w:ascii="仿宋_GB2312" w:hAnsi="微软雅黑" w:eastAsia="仿宋_GB2312"/>
          <w:color w:val="333333"/>
          <w:spacing w:val="15"/>
          <w:sz w:val="30"/>
          <w:szCs w:val="30"/>
        </w:rPr>
      </w:pPr>
    </w:p>
    <w:p>
      <w:pPr>
        <w:widowControl/>
        <w:shd w:val="clear" w:color="auto" w:fill="FFFFFF"/>
        <w:jc w:val="center"/>
        <w:rPr>
          <w:rStyle w:val="13"/>
          <w:rFonts w:hint="eastAsia" w:ascii="仿宋_GB2312" w:hAnsi="微软雅黑" w:eastAsia="仿宋_GB2312"/>
          <w:color w:val="333333"/>
          <w:spacing w:val="15"/>
          <w:sz w:val="30"/>
          <w:szCs w:val="30"/>
        </w:rPr>
      </w:pPr>
    </w:p>
    <w:p>
      <w:pPr>
        <w:widowControl/>
        <w:shd w:val="clear" w:color="auto" w:fill="FFFFFF"/>
        <w:jc w:val="center"/>
        <w:rPr>
          <w:rStyle w:val="13"/>
          <w:rFonts w:hint="eastAsia" w:ascii="仿宋_GB2312" w:hAnsi="微软雅黑" w:eastAsia="仿宋_GB2312"/>
          <w:color w:val="333333"/>
          <w:spacing w:val="15"/>
          <w:sz w:val="30"/>
          <w:szCs w:val="30"/>
        </w:rPr>
      </w:pPr>
    </w:p>
    <w:p>
      <w:pPr>
        <w:widowControl/>
        <w:shd w:val="clear" w:color="auto" w:fill="FFFFFF"/>
        <w:jc w:val="center"/>
        <w:rPr>
          <w:rStyle w:val="13"/>
          <w:rFonts w:hint="eastAsia" w:ascii="仿宋_GB2312" w:hAnsi="微软雅黑" w:eastAsia="仿宋_GB2312"/>
          <w:color w:val="333333"/>
          <w:spacing w:val="15"/>
          <w:sz w:val="30"/>
          <w:szCs w:val="30"/>
        </w:rPr>
      </w:pPr>
    </w:p>
    <w:p>
      <w:pPr>
        <w:widowControl/>
        <w:shd w:val="clear" w:color="auto" w:fill="FFFFFF"/>
        <w:jc w:val="center"/>
        <w:rPr>
          <w:rStyle w:val="13"/>
          <w:rFonts w:hint="eastAsia" w:ascii="仿宋_GB2312" w:hAnsi="微软雅黑" w:eastAsia="仿宋_GB2312"/>
          <w:color w:val="333333"/>
          <w:spacing w:val="15"/>
          <w:sz w:val="30"/>
          <w:szCs w:val="30"/>
        </w:rPr>
      </w:pPr>
    </w:p>
    <w:p>
      <w:pPr>
        <w:widowControl/>
        <w:shd w:val="clear" w:color="auto" w:fill="FFFFFF"/>
        <w:jc w:val="center"/>
        <w:rPr>
          <w:rStyle w:val="13"/>
          <w:rFonts w:hint="eastAsia" w:ascii="仿宋_GB2312" w:hAnsi="微软雅黑" w:eastAsia="仿宋_GB2312"/>
          <w:color w:val="333333"/>
          <w:spacing w:val="15"/>
          <w:sz w:val="30"/>
          <w:szCs w:val="30"/>
        </w:rPr>
      </w:pPr>
    </w:p>
    <w:p>
      <w:pPr>
        <w:widowControl/>
        <w:shd w:val="clear" w:color="auto" w:fill="FFFFFF"/>
        <w:jc w:val="center"/>
        <w:rPr>
          <w:rStyle w:val="13"/>
          <w:rFonts w:hint="eastAsia" w:ascii="仿宋_GB2312" w:hAnsi="微软雅黑" w:eastAsia="仿宋_GB2312"/>
          <w:color w:val="333333"/>
          <w:spacing w:val="15"/>
          <w:sz w:val="30"/>
          <w:szCs w:val="30"/>
        </w:rPr>
      </w:pPr>
    </w:p>
    <w:p>
      <w:pPr>
        <w:widowControl/>
        <w:shd w:val="clear" w:color="auto" w:fill="FFFFFF"/>
        <w:jc w:val="center"/>
        <w:rPr>
          <w:rStyle w:val="13"/>
          <w:rFonts w:hint="eastAsia" w:ascii="仿宋_GB2312" w:hAnsi="微软雅黑" w:eastAsia="仿宋_GB2312"/>
          <w:color w:val="333333"/>
          <w:spacing w:val="15"/>
          <w:sz w:val="30"/>
          <w:szCs w:val="30"/>
        </w:rPr>
      </w:pPr>
    </w:p>
    <w:p>
      <w:pPr>
        <w:widowControl/>
        <w:shd w:val="clear" w:color="auto" w:fill="FFFFFF"/>
        <w:jc w:val="center"/>
        <w:rPr>
          <w:rStyle w:val="13"/>
          <w:rFonts w:hint="eastAsia" w:ascii="仿宋_GB2312" w:hAnsi="微软雅黑" w:eastAsia="仿宋_GB2312"/>
          <w:color w:val="333333"/>
          <w:spacing w:val="15"/>
          <w:sz w:val="30"/>
          <w:szCs w:val="30"/>
        </w:rPr>
      </w:pPr>
    </w:p>
    <w:p>
      <w:pPr>
        <w:widowControl/>
        <w:shd w:val="clear" w:color="auto" w:fill="FFFFFF"/>
        <w:jc w:val="center"/>
        <w:rPr>
          <w:rStyle w:val="13"/>
          <w:rFonts w:hint="eastAsia" w:ascii="仿宋_GB2312" w:hAnsi="微软雅黑" w:eastAsia="仿宋_GB2312"/>
          <w:color w:val="333333"/>
          <w:spacing w:val="15"/>
          <w:sz w:val="40"/>
          <w:szCs w:val="40"/>
        </w:rPr>
      </w:pPr>
      <w:r>
        <w:rPr>
          <w:rStyle w:val="13"/>
          <w:rFonts w:hint="eastAsia" w:ascii="仿宋_GB2312" w:hAnsi="微软雅黑" w:eastAsia="仿宋_GB2312"/>
          <w:color w:val="333333"/>
          <w:spacing w:val="15"/>
          <w:sz w:val="40"/>
          <w:szCs w:val="40"/>
        </w:rPr>
        <w:t xml:space="preserve">目 </w:t>
      </w:r>
      <w:r>
        <w:rPr>
          <w:rStyle w:val="13"/>
          <w:rFonts w:ascii="仿宋_GB2312" w:hAnsi="微软雅黑" w:eastAsia="仿宋_GB2312"/>
          <w:color w:val="333333"/>
          <w:spacing w:val="15"/>
          <w:sz w:val="40"/>
          <w:szCs w:val="40"/>
        </w:rPr>
        <w:t xml:space="preserve"> </w:t>
      </w:r>
      <w:r>
        <w:rPr>
          <w:rStyle w:val="13"/>
          <w:rFonts w:hint="eastAsia" w:ascii="仿宋_GB2312" w:hAnsi="微软雅黑" w:eastAsia="仿宋_GB2312"/>
          <w:color w:val="333333"/>
          <w:spacing w:val="15"/>
          <w:sz w:val="40"/>
          <w:szCs w:val="40"/>
        </w:rPr>
        <w:t>录</w:t>
      </w:r>
    </w:p>
    <w:p>
      <w:pPr>
        <w:pStyle w:val="7"/>
        <w:tabs>
          <w:tab w:val="right" w:leader="dot" w:pos="8844"/>
        </w:tabs>
        <w:rPr>
          <w:rFonts w:hint="eastAsia" w:ascii="楷体" w:hAnsi="楷体" w:eastAsia="楷体" w:cs="楷体"/>
          <w:sz w:val="32"/>
          <w:szCs w:val="32"/>
        </w:rPr>
      </w:pPr>
      <w:r>
        <w:rPr>
          <w:rFonts w:hint="eastAsia" w:ascii="楷体" w:hAnsi="楷体" w:eastAsia="楷体" w:cs="楷体"/>
          <w:b/>
          <w:bCs/>
          <w:caps/>
          <w:color w:val="333333"/>
          <w:spacing w:val="15"/>
          <w:sz w:val="32"/>
          <w:szCs w:val="32"/>
        </w:rPr>
        <w:fldChar w:fldCharType="begin"/>
      </w:r>
      <w:r>
        <w:rPr>
          <w:rFonts w:hint="eastAsia" w:ascii="楷体" w:hAnsi="楷体" w:eastAsia="楷体" w:cs="楷体"/>
          <w:color w:val="333333"/>
          <w:spacing w:val="15"/>
          <w:sz w:val="32"/>
          <w:szCs w:val="32"/>
        </w:rPr>
        <w:instrText xml:space="preserve"> TOC \o "1-3" \h \z \u </w:instrText>
      </w:r>
      <w:r>
        <w:rPr>
          <w:rFonts w:hint="eastAsia" w:ascii="楷体" w:hAnsi="楷体" w:eastAsia="楷体" w:cs="楷体"/>
          <w:b/>
          <w:bCs/>
          <w:caps/>
          <w:color w:val="333333"/>
          <w:spacing w:val="15"/>
          <w:sz w:val="32"/>
          <w:szCs w:val="32"/>
        </w:rPr>
        <w:fldChar w:fldCharType="separate"/>
      </w:r>
      <w:r>
        <w:rPr>
          <w:rFonts w:hint="eastAsia" w:ascii="楷体" w:hAnsi="楷体" w:eastAsia="楷体" w:cs="楷体"/>
          <w:bCs/>
          <w:caps/>
          <w:color w:val="333333"/>
          <w:spacing w:val="15"/>
          <w:sz w:val="32"/>
          <w:szCs w:val="32"/>
        </w:rPr>
        <w:fldChar w:fldCharType="begin"/>
      </w:r>
      <w:r>
        <w:rPr>
          <w:rFonts w:hint="eastAsia" w:ascii="楷体" w:hAnsi="楷体" w:eastAsia="楷体" w:cs="楷体"/>
          <w:bCs/>
          <w:caps/>
          <w:spacing w:val="15"/>
          <w:sz w:val="32"/>
          <w:szCs w:val="32"/>
        </w:rPr>
        <w:instrText xml:space="preserve"> HYPERLINK \l _Toc15641 </w:instrText>
      </w:r>
      <w:r>
        <w:rPr>
          <w:rFonts w:hint="eastAsia" w:ascii="楷体" w:hAnsi="楷体" w:eastAsia="楷体" w:cs="楷体"/>
          <w:bCs/>
          <w:caps/>
          <w:spacing w:val="15"/>
          <w:sz w:val="32"/>
          <w:szCs w:val="32"/>
        </w:rPr>
        <w:fldChar w:fldCharType="separate"/>
      </w:r>
      <w:r>
        <w:rPr>
          <w:rFonts w:hint="eastAsia" w:ascii="楷体" w:hAnsi="楷体" w:eastAsia="楷体" w:cs="楷体"/>
          <w:sz w:val="32"/>
          <w:szCs w:val="32"/>
        </w:rPr>
        <w:t>第一章 总则</w:t>
      </w:r>
      <w:r>
        <w:rPr>
          <w:rFonts w:hint="eastAsia" w:ascii="楷体" w:hAnsi="楷体" w:eastAsia="楷体" w:cs="楷体"/>
          <w:sz w:val="32"/>
          <w:szCs w:val="32"/>
        </w:rPr>
        <w:tab/>
      </w: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PAGEREF _Toc15641 \h </w:instrText>
      </w:r>
      <w:r>
        <w:rPr>
          <w:rFonts w:hint="eastAsia" w:ascii="楷体" w:hAnsi="楷体" w:eastAsia="楷体" w:cs="楷体"/>
          <w:sz w:val="32"/>
          <w:szCs w:val="32"/>
        </w:rPr>
        <w:fldChar w:fldCharType="separate"/>
      </w:r>
      <w:r>
        <w:rPr>
          <w:rFonts w:hint="eastAsia" w:ascii="楷体" w:hAnsi="楷体" w:eastAsia="楷体" w:cs="楷体"/>
          <w:sz w:val="32"/>
          <w:szCs w:val="32"/>
        </w:rPr>
        <w:t>3</w:t>
      </w:r>
      <w:r>
        <w:rPr>
          <w:rFonts w:hint="eastAsia" w:ascii="楷体" w:hAnsi="楷体" w:eastAsia="楷体" w:cs="楷体"/>
          <w:sz w:val="32"/>
          <w:szCs w:val="32"/>
        </w:rPr>
        <w:fldChar w:fldCharType="end"/>
      </w:r>
      <w:r>
        <w:rPr>
          <w:rFonts w:hint="eastAsia" w:ascii="楷体" w:hAnsi="楷体" w:eastAsia="楷体" w:cs="楷体"/>
          <w:bCs/>
          <w:caps/>
          <w:color w:val="333333"/>
          <w:spacing w:val="15"/>
          <w:sz w:val="32"/>
          <w:szCs w:val="32"/>
        </w:rPr>
        <w:fldChar w:fldCharType="end"/>
      </w:r>
    </w:p>
    <w:p>
      <w:pPr>
        <w:pStyle w:val="7"/>
        <w:tabs>
          <w:tab w:val="right" w:leader="dot" w:pos="8844"/>
        </w:tabs>
        <w:rPr>
          <w:rFonts w:hint="eastAsia" w:ascii="楷体" w:hAnsi="楷体" w:eastAsia="楷体" w:cs="楷体"/>
          <w:sz w:val="32"/>
          <w:szCs w:val="32"/>
        </w:rPr>
      </w:pPr>
      <w:r>
        <w:rPr>
          <w:rFonts w:hint="eastAsia" w:ascii="楷体" w:hAnsi="楷体" w:eastAsia="楷体" w:cs="楷体"/>
          <w:color w:val="333333"/>
          <w:spacing w:val="15"/>
          <w:kern w:val="2"/>
          <w:sz w:val="32"/>
          <w:szCs w:val="32"/>
        </w:rPr>
        <w:fldChar w:fldCharType="begin"/>
      </w:r>
      <w:r>
        <w:rPr>
          <w:rFonts w:hint="eastAsia" w:ascii="楷体" w:hAnsi="楷体" w:eastAsia="楷体" w:cs="楷体"/>
          <w:spacing w:val="15"/>
          <w:kern w:val="2"/>
          <w:sz w:val="32"/>
          <w:szCs w:val="32"/>
        </w:rPr>
        <w:instrText xml:space="preserve"> HYPERLINK \l _Toc1415 </w:instrText>
      </w:r>
      <w:r>
        <w:rPr>
          <w:rFonts w:hint="eastAsia" w:ascii="楷体" w:hAnsi="楷体" w:eastAsia="楷体" w:cs="楷体"/>
          <w:spacing w:val="15"/>
          <w:kern w:val="2"/>
          <w:sz w:val="32"/>
          <w:szCs w:val="32"/>
        </w:rPr>
        <w:fldChar w:fldCharType="separate"/>
      </w:r>
      <w:r>
        <w:rPr>
          <w:rFonts w:hint="eastAsia" w:ascii="楷体" w:hAnsi="楷体" w:eastAsia="楷体" w:cs="楷体"/>
          <w:sz w:val="32"/>
          <w:szCs w:val="32"/>
        </w:rPr>
        <w:t>第二章 规划计划</w:t>
      </w:r>
      <w:r>
        <w:rPr>
          <w:rFonts w:hint="eastAsia" w:ascii="楷体" w:hAnsi="楷体" w:eastAsia="楷体" w:cs="楷体"/>
          <w:sz w:val="32"/>
          <w:szCs w:val="32"/>
        </w:rPr>
        <w:tab/>
      </w: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PAGEREF _Toc1415 \h </w:instrText>
      </w:r>
      <w:r>
        <w:rPr>
          <w:rFonts w:hint="eastAsia" w:ascii="楷体" w:hAnsi="楷体" w:eastAsia="楷体" w:cs="楷体"/>
          <w:sz w:val="32"/>
          <w:szCs w:val="32"/>
        </w:rPr>
        <w:fldChar w:fldCharType="separate"/>
      </w:r>
      <w:r>
        <w:rPr>
          <w:rFonts w:hint="eastAsia" w:ascii="楷体" w:hAnsi="楷体" w:eastAsia="楷体" w:cs="楷体"/>
          <w:sz w:val="32"/>
          <w:szCs w:val="32"/>
        </w:rPr>
        <w:t>6</w:t>
      </w:r>
      <w:r>
        <w:rPr>
          <w:rFonts w:hint="eastAsia" w:ascii="楷体" w:hAnsi="楷体" w:eastAsia="楷体" w:cs="楷体"/>
          <w:sz w:val="32"/>
          <w:szCs w:val="32"/>
        </w:rPr>
        <w:fldChar w:fldCharType="end"/>
      </w:r>
      <w:r>
        <w:rPr>
          <w:rFonts w:hint="eastAsia" w:ascii="楷体" w:hAnsi="楷体" w:eastAsia="楷体" w:cs="楷体"/>
          <w:color w:val="333333"/>
          <w:spacing w:val="15"/>
          <w:kern w:val="2"/>
          <w:sz w:val="32"/>
          <w:szCs w:val="32"/>
        </w:rPr>
        <w:fldChar w:fldCharType="end"/>
      </w:r>
    </w:p>
    <w:p>
      <w:pPr>
        <w:pStyle w:val="7"/>
        <w:tabs>
          <w:tab w:val="right" w:leader="dot" w:pos="8844"/>
        </w:tabs>
        <w:rPr>
          <w:rFonts w:hint="eastAsia" w:ascii="楷体" w:hAnsi="楷体" w:eastAsia="楷体" w:cs="楷体"/>
          <w:sz w:val="32"/>
          <w:szCs w:val="32"/>
        </w:rPr>
      </w:pPr>
      <w:r>
        <w:rPr>
          <w:rFonts w:hint="eastAsia" w:ascii="楷体" w:hAnsi="楷体" w:eastAsia="楷体" w:cs="楷体"/>
          <w:color w:val="333333"/>
          <w:spacing w:val="15"/>
          <w:kern w:val="2"/>
          <w:sz w:val="32"/>
          <w:szCs w:val="32"/>
        </w:rPr>
        <w:fldChar w:fldCharType="begin"/>
      </w:r>
      <w:r>
        <w:rPr>
          <w:rFonts w:hint="eastAsia" w:ascii="楷体" w:hAnsi="楷体" w:eastAsia="楷体" w:cs="楷体"/>
          <w:spacing w:val="15"/>
          <w:kern w:val="2"/>
          <w:sz w:val="32"/>
          <w:szCs w:val="32"/>
        </w:rPr>
        <w:instrText xml:space="preserve"> HYPERLINK \l _Toc7394 </w:instrText>
      </w:r>
      <w:r>
        <w:rPr>
          <w:rFonts w:hint="eastAsia" w:ascii="楷体" w:hAnsi="楷体" w:eastAsia="楷体" w:cs="楷体"/>
          <w:spacing w:val="15"/>
          <w:kern w:val="2"/>
          <w:sz w:val="32"/>
          <w:szCs w:val="32"/>
        </w:rPr>
        <w:fldChar w:fldCharType="separate"/>
      </w:r>
      <w:r>
        <w:rPr>
          <w:rFonts w:hint="eastAsia" w:ascii="楷体" w:hAnsi="楷体" w:eastAsia="楷体" w:cs="楷体"/>
          <w:sz w:val="32"/>
          <w:szCs w:val="32"/>
        </w:rPr>
        <w:t>第三章 项目实施</w:t>
      </w:r>
      <w:r>
        <w:rPr>
          <w:rFonts w:hint="eastAsia" w:ascii="楷体" w:hAnsi="楷体" w:eastAsia="楷体" w:cs="楷体"/>
          <w:sz w:val="32"/>
          <w:szCs w:val="32"/>
        </w:rPr>
        <w:tab/>
      </w: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PAGEREF _Toc7394 \h </w:instrText>
      </w:r>
      <w:r>
        <w:rPr>
          <w:rFonts w:hint="eastAsia" w:ascii="楷体" w:hAnsi="楷体" w:eastAsia="楷体" w:cs="楷体"/>
          <w:sz w:val="32"/>
          <w:szCs w:val="32"/>
        </w:rPr>
        <w:fldChar w:fldCharType="separate"/>
      </w:r>
      <w:r>
        <w:rPr>
          <w:rFonts w:hint="eastAsia" w:ascii="楷体" w:hAnsi="楷体" w:eastAsia="楷体" w:cs="楷体"/>
          <w:sz w:val="32"/>
          <w:szCs w:val="32"/>
        </w:rPr>
        <w:t>7</w:t>
      </w:r>
      <w:r>
        <w:rPr>
          <w:rFonts w:hint="eastAsia" w:ascii="楷体" w:hAnsi="楷体" w:eastAsia="楷体" w:cs="楷体"/>
          <w:sz w:val="32"/>
          <w:szCs w:val="32"/>
        </w:rPr>
        <w:fldChar w:fldCharType="end"/>
      </w:r>
      <w:r>
        <w:rPr>
          <w:rFonts w:hint="eastAsia" w:ascii="楷体" w:hAnsi="楷体" w:eastAsia="楷体" w:cs="楷体"/>
          <w:color w:val="333333"/>
          <w:spacing w:val="15"/>
          <w:kern w:val="2"/>
          <w:sz w:val="32"/>
          <w:szCs w:val="32"/>
        </w:rPr>
        <w:fldChar w:fldCharType="end"/>
      </w:r>
    </w:p>
    <w:p>
      <w:pPr>
        <w:pStyle w:val="7"/>
        <w:tabs>
          <w:tab w:val="right" w:leader="dot" w:pos="8844"/>
        </w:tabs>
        <w:rPr>
          <w:rFonts w:hint="eastAsia" w:ascii="楷体" w:hAnsi="楷体" w:eastAsia="楷体" w:cs="楷体"/>
          <w:sz w:val="32"/>
          <w:szCs w:val="32"/>
        </w:rPr>
      </w:pPr>
      <w:r>
        <w:rPr>
          <w:rFonts w:hint="eastAsia" w:ascii="楷体" w:hAnsi="楷体" w:eastAsia="楷体" w:cs="楷体"/>
          <w:color w:val="333333"/>
          <w:spacing w:val="15"/>
          <w:kern w:val="2"/>
          <w:sz w:val="32"/>
          <w:szCs w:val="32"/>
        </w:rPr>
        <w:fldChar w:fldCharType="begin"/>
      </w:r>
      <w:r>
        <w:rPr>
          <w:rFonts w:hint="eastAsia" w:ascii="楷体" w:hAnsi="楷体" w:eastAsia="楷体" w:cs="楷体"/>
          <w:spacing w:val="15"/>
          <w:kern w:val="2"/>
          <w:sz w:val="32"/>
          <w:szCs w:val="32"/>
        </w:rPr>
        <w:instrText xml:space="preserve"> HYPERLINK \l _Toc23438 </w:instrText>
      </w:r>
      <w:r>
        <w:rPr>
          <w:rFonts w:hint="eastAsia" w:ascii="楷体" w:hAnsi="楷体" w:eastAsia="楷体" w:cs="楷体"/>
          <w:spacing w:val="15"/>
          <w:kern w:val="2"/>
          <w:sz w:val="32"/>
          <w:szCs w:val="32"/>
        </w:rPr>
        <w:fldChar w:fldCharType="separate"/>
      </w:r>
      <w:r>
        <w:rPr>
          <w:rFonts w:hint="eastAsia" w:ascii="楷体" w:hAnsi="楷体" w:eastAsia="楷体" w:cs="楷体"/>
          <w:sz w:val="32"/>
          <w:szCs w:val="32"/>
        </w:rPr>
        <w:t>第四章 政策支持</w:t>
      </w:r>
      <w:r>
        <w:rPr>
          <w:rFonts w:hint="eastAsia" w:ascii="楷体" w:hAnsi="楷体" w:eastAsia="楷体" w:cs="楷体"/>
          <w:sz w:val="32"/>
          <w:szCs w:val="32"/>
        </w:rPr>
        <w:tab/>
      </w: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PAGEREF _Toc23438 \h </w:instrText>
      </w:r>
      <w:r>
        <w:rPr>
          <w:rFonts w:hint="eastAsia" w:ascii="楷体" w:hAnsi="楷体" w:eastAsia="楷体" w:cs="楷体"/>
          <w:sz w:val="32"/>
          <w:szCs w:val="32"/>
        </w:rPr>
        <w:fldChar w:fldCharType="separate"/>
      </w:r>
      <w:r>
        <w:rPr>
          <w:rFonts w:hint="eastAsia" w:ascii="楷体" w:hAnsi="楷体" w:eastAsia="楷体" w:cs="楷体"/>
          <w:sz w:val="32"/>
          <w:szCs w:val="32"/>
        </w:rPr>
        <w:t>9</w:t>
      </w:r>
      <w:r>
        <w:rPr>
          <w:rFonts w:hint="eastAsia" w:ascii="楷体" w:hAnsi="楷体" w:eastAsia="楷体" w:cs="楷体"/>
          <w:sz w:val="32"/>
          <w:szCs w:val="32"/>
        </w:rPr>
        <w:fldChar w:fldCharType="end"/>
      </w:r>
      <w:r>
        <w:rPr>
          <w:rFonts w:hint="eastAsia" w:ascii="楷体" w:hAnsi="楷体" w:eastAsia="楷体" w:cs="楷体"/>
          <w:color w:val="333333"/>
          <w:spacing w:val="15"/>
          <w:kern w:val="2"/>
          <w:sz w:val="32"/>
          <w:szCs w:val="32"/>
        </w:rPr>
        <w:fldChar w:fldCharType="end"/>
      </w:r>
    </w:p>
    <w:p>
      <w:pPr>
        <w:pStyle w:val="7"/>
        <w:tabs>
          <w:tab w:val="right" w:leader="dot" w:pos="8844"/>
        </w:tabs>
        <w:rPr>
          <w:rFonts w:hint="eastAsia" w:ascii="楷体" w:hAnsi="楷体" w:eastAsia="楷体" w:cs="楷体"/>
          <w:sz w:val="32"/>
          <w:szCs w:val="32"/>
        </w:rPr>
      </w:pPr>
      <w:r>
        <w:rPr>
          <w:rFonts w:hint="eastAsia" w:ascii="楷体" w:hAnsi="楷体" w:eastAsia="楷体" w:cs="楷体"/>
          <w:color w:val="333333"/>
          <w:spacing w:val="15"/>
          <w:kern w:val="2"/>
          <w:sz w:val="32"/>
          <w:szCs w:val="32"/>
        </w:rPr>
        <w:fldChar w:fldCharType="begin"/>
      </w:r>
      <w:r>
        <w:rPr>
          <w:rFonts w:hint="eastAsia" w:ascii="楷体" w:hAnsi="楷体" w:eastAsia="楷体" w:cs="楷体"/>
          <w:spacing w:val="15"/>
          <w:kern w:val="2"/>
          <w:sz w:val="32"/>
          <w:szCs w:val="32"/>
        </w:rPr>
        <w:instrText xml:space="preserve"> HYPERLINK \l _Toc19774 </w:instrText>
      </w:r>
      <w:r>
        <w:rPr>
          <w:rFonts w:hint="eastAsia" w:ascii="楷体" w:hAnsi="楷体" w:eastAsia="楷体" w:cs="楷体"/>
          <w:spacing w:val="15"/>
          <w:kern w:val="2"/>
          <w:sz w:val="32"/>
          <w:szCs w:val="32"/>
        </w:rPr>
        <w:fldChar w:fldCharType="separate"/>
      </w:r>
      <w:r>
        <w:rPr>
          <w:rFonts w:hint="eastAsia" w:ascii="楷体" w:hAnsi="楷体" w:eastAsia="楷体" w:cs="楷体"/>
          <w:sz w:val="32"/>
          <w:szCs w:val="32"/>
        </w:rPr>
        <w:t>第五章 权益保障</w:t>
      </w:r>
      <w:r>
        <w:rPr>
          <w:rFonts w:hint="eastAsia" w:ascii="楷体" w:hAnsi="楷体" w:eastAsia="楷体" w:cs="楷体"/>
          <w:sz w:val="32"/>
          <w:szCs w:val="32"/>
        </w:rPr>
        <w:tab/>
      </w: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PAGEREF _Toc19774 \h </w:instrText>
      </w:r>
      <w:r>
        <w:rPr>
          <w:rFonts w:hint="eastAsia" w:ascii="楷体" w:hAnsi="楷体" w:eastAsia="楷体" w:cs="楷体"/>
          <w:sz w:val="32"/>
          <w:szCs w:val="32"/>
        </w:rPr>
        <w:fldChar w:fldCharType="separate"/>
      </w:r>
      <w:r>
        <w:rPr>
          <w:rFonts w:hint="eastAsia" w:ascii="楷体" w:hAnsi="楷体" w:eastAsia="楷体" w:cs="楷体"/>
          <w:sz w:val="32"/>
          <w:szCs w:val="32"/>
        </w:rPr>
        <w:t>10</w:t>
      </w:r>
      <w:r>
        <w:rPr>
          <w:rFonts w:hint="eastAsia" w:ascii="楷体" w:hAnsi="楷体" w:eastAsia="楷体" w:cs="楷体"/>
          <w:sz w:val="32"/>
          <w:szCs w:val="32"/>
        </w:rPr>
        <w:fldChar w:fldCharType="end"/>
      </w:r>
      <w:r>
        <w:rPr>
          <w:rFonts w:hint="eastAsia" w:ascii="楷体" w:hAnsi="楷体" w:eastAsia="楷体" w:cs="楷体"/>
          <w:color w:val="333333"/>
          <w:spacing w:val="15"/>
          <w:kern w:val="2"/>
          <w:sz w:val="32"/>
          <w:szCs w:val="32"/>
        </w:rPr>
        <w:fldChar w:fldCharType="end"/>
      </w:r>
    </w:p>
    <w:p>
      <w:pPr>
        <w:pStyle w:val="7"/>
        <w:tabs>
          <w:tab w:val="right" w:leader="dot" w:pos="8844"/>
        </w:tabs>
        <w:rPr>
          <w:rFonts w:hint="eastAsia" w:ascii="楷体" w:hAnsi="楷体" w:eastAsia="楷体" w:cs="楷体"/>
          <w:sz w:val="32"/>
          <w:szCs w:val="32"/>
        </w:rPr>
      </w:pPr>
      <w:r>
        <w:rPr>
          <w:rFonts w:hint="eastAsia" w:ascii="楷体" w:hAnsi="楷体" w:eastAsia="楷体" w:cs="楷体"/>
          <w:color w:val="333333"/>
          <w:spacing w:val="15"/>
          <w:kern w:val="2"/>
          <w:sz w:val="32"/>
          <w:szCs w:val="32"/>
        </w:rPr>
        <w:fldChar w:fldCharType="begin"/>
      </w:r>
      <w:r>
        <w:rPr>
          <w:rFonts w:hint="eastAsia" w:ascii="楷体" w:hAnsi="楷体" w:eastAsia="楷体" w:cs="楷体"/>
          <w:spacing w:val="15"/>
          <w:kern w:val="2"/>
          <w:sz w:val="32"/>
          <w:szCs w:val="32"/>
        </w:rPr>
        <w:instrText xml:space="preserve"> HYPERLINK \l _Toc31551 </w:instrText>
      </w:r>
      <w:r>
        <w:rPr>
          <w:rFonts w:hint="eastAsia" w:ascii="楷体" w:hAnsi="楷体" w:eastAsia="楷体" w:cs="楷体"/>
          <w:spacing w:val="15"/>
          <w:kern w:val="2"/>
          <w:sz w:val="32"/>
          <w:szCs w:val="32"/>
        </w:rPr>
        <w:fldChar w:fldCharType="separate"/>
      </w:r>
      <w:r>
        <w:rPr>
          <w:rFonts w:hint="eastAsia" w:ascii="楷体" w:hAnsi="楷体" w:eastAsia="楷体" w:cs="楷体"/>
          <w:sz w:val="32"/>
          <w:szCs w:val="32"/>
        </w:rPr>
        <w:t>第六章 实施监督</w:t>
      </w:r>
      <w:r>
        <w:rPr>
          <w:rFonts w:hint="eastAsia" w:ascii="楷体" w:hAnsi="楷体" w:eastAsia="楷体" w:cs="楷体"/>
          <w:sz w:val="32"/>
          <w:szCs w:val="32"/>
        </w:rPr>
        <w:tab/>
      </w: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PAGEREF _Toc31551 \h </w:instrText>
      </w:r>
      <w:r>
        <w:rPr>
          <w:rFonts w:hint="eastAsia" w:ascii="楷体" w:hAnsi="楷体" w:eastAsia="楷体" w:cs="楷体"/>
          <w:sz w:val="32"/>
          <w:szCs w:val="32"/>
        </w:rPr>
        <w:fldChar w:fldCharType="separate"/>
      </w:r>
      <w:r>
        <w:rPr>
          <w:rFonts w:hint="eastAsia" w:ascii="楷体" w:hAnsi="楷体" w:eastAsia="楷体" w:cs="楷体"/>
          <w:sz w:val="32"/>
          <w:szCs w:val="32"/>
        </w:rPr>
        <w:t>11</w:t>
      </w:r>
      <w:r>
        <w:rPr>
          <w:rFonts w:hint="eastAsia" w:ascii="楷体" w:hAnsi="楷体" w:eastAsia="楷体" w:cs="楷体"/>
          <w:sz w:val="32"/>
          <w:szCs w:val="32"/>
        </w:rPr>
        <w:fldChar w:fldCharType="end"/>
      </w:r>
      <w:r>
        <w:rPr>
          <w:rFonts w:hint="eastAsia" w:ascii="楷体" w:hAnsi="楷体" w:eastAsia="楷体" w:cs="楷体"/>
          <w:color w:val="333333"/>
          <w:spacing w:val="15"/>
          <w:kern w:val="2"/>
          <w:sz w:val="32"/>
          <w:szCs w:val="32"/>
        </w:rPr>
        <w:fldChar w:fldCharType="end"/>
      </w:r>
    </w:p>
    <w:p>
      <w:pPr>
        <w:pStyle w:val="7"/>
        <w:tabs>
          <w:tab w:val="right" w:leader="dot" w:pos="8844"/>
        </w:tabs>
        <w:rPr>
          <w:rFonts w:hint="eastAsia" w:ascii="楷体" w:hAnsi="楷体" w:eastAsia="楷体" w:cs="楷体"/>
          <w:sz w:val="32"/>
          <w:szCs w:val="32"/>
        </w:rPr>
      </w:pPr>
      <w:r>
        <w:rPr>
          <w:rFonts w:hint="eastAsia" w:ascii="楷体" w:hAnsi="楷体" w:eastAsia="楷体" w:cs="楷体"/>
          <w:color w:val="333333"/>
          <w:spacing w:val="15"/>
          <w:kern w:val="2"/>
          <w:sz w:val="32"/>
          <w:szCs w:val="32"/>
        </w:rPr>
        <w:fldChar w:fldCharType="begin"/>
      </w:r>
      <w:r>
        <w:rPr>
          <w:rFonts w:hint="eastAsia" w:ascii="楷体" w:hAnsi="楷体" w:eastAsia="楷体" w:cs="楷体"/>
          <w:spacing w:val="15"/>
          <w:kern w:val="2"/>
          <w:sz w:val="32"/>
          <w:szCs w:val="32"/>
        </w:rPr>
        <w:instrText xml:space="preserve"> HYPERLINK \l _Toc893 </w:instrText>
      </w:r>
      <w:r>
        <w:rPr>
          <w:rFonts w:hint="eastAsia" w:ascii="楷体" w:hAnsi="楷体" w:eastAsia="楷体" w:cs="楷体"/>
          <w:spacing w:val="15"/>
          <w:kern w:val="2"/>
          <w:sz w:val="32"/>
          <w:szCs w:val="32"/>
        </w:rPr>
        <w:fldChar w:fldCharType="separate"/>
      </w:r>
      <w:r>
        <w:rPr>
          <w:rFonts w:hint="eastAsia" w:ascii="楷体" w:hAnsi="楷体" w:eastAsia="楷体" w:cs="楷体"/>
          <w:sz w:val="32"/>
          <w:szCs w:val="32"/>
        </w:rPr>
        <w:t>第七章 附则</w:t>
      </w:r>
      <w:r>
        <w:rPr>
          <w:rFonts w:hint="eastAsia" w:ascii="楷体" w:hAnsi="楷体" w:eastAsia="楷体" w:cs="楷体"/>
          <w:sz w:val="32"/>
          <w:szCs w:val="32"/>
        </w:rPr>
        <w:tab/>
      </w:r>
      <w:r>
        <w:rPr>
          <w:rFonts w:hint="eastAsia" w:ascii="楷体" w:hAnsi="楷体" w:eastAsia="楷体" w:cs="楷体"/>
          <w:sz w:val="32"/>
          <w:szCs w:val="32"/>
        </w:rPr>
        <w:fldChar w:fldCharType="begin"/>
      </w:r>
      <w:r>
        <w:rPr>
          <w:rFonts w:hint="eastAsia" w:ascii="楷体" w:hAnsi="楷体" w:eastAsia="楷体" w:cs="楷体"/>
          <w:sz w:val="32"/>
          <w:szCs w:val="32"/>
        </w:rPr>
        <w:instrText xml:space="preserve"> PAGEREF _Toc893 \h </w:instrText>
      </w:r>
      <w:r>
        <w:rPr>
          <w:rFonts w:hint="eastAsia" w:ascii="楷体" w:hAnsi="楷体" w:eastAsia="楷体" w:cs="楷体"/>
          <w:sz w:val="32"/>
          <w:szCs w:val="32"/>
        </w:rPr>
        <w:fldChar w:fldCharType="separate"/>
      </w:r>
      <w:r>
        <w:rPr>
          <w:rFonts w:hint="eastAsia" w:ascii="楷体" w:hAnsi="楷体" w:eastAsia="楷体" w:cs="楷体"/>
          <w:sz w:val="32"/>
          <w:szCs w:val="32"/>
        </w:rPr>
        <w:t>13</w:t>
      </w:r>
      <w:r>
        <w:rPr>
          <w:rFonts w:hint="eastAsia" w:ascii="楷体" w:hAnsi="楷体" w:eastAsia="楷体" w:cs="楷体"/>
          <w:sz w:val="32"/>
          <w:szCs w:val="32"/>
        </w:rPr>
        <w:fldChar w:fldCharType="end"/>
      </w:r>
      <w:r>
        <w:rPr>
          <w:rFonts w:hint="eastAsia" w:ascii="楷体" w:hAnsi="楷体" w:eastAsia="楷体" w:cs="楷体"/>
          <w:color w:val="333333"/>
          <w:spacing w:val="15"/>
          <w:kern w:val="2"/>
          <w:sz w:val="32"/>
          <w:szCs w:val="32"/>
        </w:rPr>
        <w:fldChar w:fldCharType="end"/>
      </w:r>
    </w:p>
    <w:p>
      <w:pPr>
        <w:pStyle w:val="8"/>
        <w:shd w:val="clear" w:color="auto" w:fill="FFFFFF"/>
        <w:spacing w:beforeAutospacing="0" w:afterAutospacing="0"/>
        <w:jc w:val="both"/>
        <w:rPr>
          <w:rFonts w:hint="eastAsia" w:ascii="楷体" w:hAnsi="楷体" w:eastAsia="楷体" w:cs="楷体"/>
          <w:color w:val="333333"/>
          <w:spacing w:val="15"/>
          <w:sz w:val="32"/>
          <w:szCs w:val="32"/>
        </w:rPr>
      </w:pPr>
      <w:r>
        <w:rPr>
          <w:rFonts w:hint="eastAsia" w:ascii="楷体" w:hAnsi="楷体" w:eastAsia="楷体" w:cs="楷体"/>
          <w:color w:val="333333"/>
          <w:spacing w:val="15"/>
          <w:kern w:val="2"/>
          <w:sz w:val="32"/>
          <w:szCs w:val="32"/>
        </w:rPr>
        <w:fldChar w:fldCharType="end"/>
      </w:r>
    </w:p>
    <w:p>
      <w:pPr>
        <w:widowControl/>
        <w:rPr>
          <w:rFonts w:hint="eastAsia" w:ascii="黑体" w:hAnsi="黑体" w:eastAsia="黑体"/>
          <w:sz w:val="36"/>
          <w:szCs w:val="36"/>
        </w:rPr>
      </w:pPr>
      <w:r>
        <w:rPr>
          <w:rStyle w:val="13"/>
          <w:rFonts w:ascii="黑体" w:hAnsi="黑体" w:eastAsia="黑体"/>
          <w:sz w:val="36"/>
          <w:szCs w:val="36"/>
        </w:rPr>
        <w:br w:type="page"/>
      </w:r>
      <w:bookmarkStart w:id="0" w:name="_Toc145340789"/>
      <w:bookmarkEnd w:id="0"/>
      <w:bookmarkStart w:id="1" w:name="_Toc145340694"/>
      <w:bookmarkEnd w:id="1"/>
      <w:bookmarkStart w:id="2" w:name="_Toc145340878"/>
      <w:bookmarkEnd w:id="2"/>
    </w:p>
    <w:p>
      <w:pPr>
        <w:pStyle w:val="2"/>
        <w:keepNext w:val="0"/>
        <w:keepLines w:val="0"/>
        <w:pageBreakBefore w:val="0"/>
        <w:numPr>
          <w:ilvl w:val="0"/>
          <w:numId w:val="0"/>
        </w:numPr>
        <w:kinsoku/>
        <w:wordWrap/>
        <w:overflowPunct/>
        <w:topLinePunct w:val="0"/>
        <w:autoSpaceDE/>
        <w:autoSpaceDN/>
        <w:bidi w:val="0"/>
        <w:adjustRightInd w:val="0"/>
        <w:snapToGrid w:val="0"/>
        <w:spacing w:before="0" w:beforeLines="0" w:line="520" w:lineRule="exact"/>
        <w:ind w:left="0" w:firstLine="361" w:firstLineChars="100"/>
        <w:jc w:val="center"/>
        <w:textAlignment w:val="auto"/>
        <w:rPr>
          <w:rFonts w:hint="eastAsia"/>
        </w:rPr>
      </w:pPr>
      <w:bookmarkStart w:id="3" w:name="_Toc145340695"/>
      <w:bookmarkStart w:id="4" w:name="_Toc145340879"/>
      <w:bookmarkStart w:id="5" w:name="_Toc145344338"/>
      <w:bookmarkStart w:id="6" w:name="_Toc146272463"/>
      <w:bookmarkStart w:id="7" w:name="_Toc145278100"/>
      <w:bookmarkStart w:id="8" w:name="_Toc145347560"/>
      <w:bookmarkStart w:id="9" w:name="_Toc145340790"/>
      <w:bookmarkStart w:id="10" w:name="_Toc145144552"/>
      <w:bookmarkStart w:id="11" w:name="_Toc145320658"/>
      <w:bookmarkStart w:id="12" w:name="_Toc145346972"/>
      <w:bookmarkStart w:id="13" w:name="_Toc15641"/>
      <w:r>
        <w:rPr>
          <w:rFonts w:hint="eastAsia"/>
        </w:rPr>
        <w:t>第一章 总则</w:t>
      </w:r>
      <w:bookmarkEnd w:id="3"/>
      <w:bookmarkEnd w:id="4"/>
      <w:bookmarkEnd w:id="5"/>
      <w:bookmarkEnd w:id="6"/>
      <w:bookmarkEnd w:id="7"/>
      <w:bookmarkEnd w:id="8"/>
      <w:bookmarkEnd w:id="9"/>
      <w:bookmarkEnd w:id="10"/>
      <w:bookmarkEnd w:id="11"/>
      <w:bookmarkEnd w:id="12"/>
      <w:bookmarkEnd w:id="13"/>
    </w:p>
    <w:p>
      <w:pPr>
        <w:rPr>
          <w:rFonts w:hint="eastAsia"/>
        </w:rPr>
      </w:pP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立法目的</w:t>
      </w:r>
      <w:r>
        <w:rPr>
          <w:rFonts w:hint="eastAsia" w:ascii="仿宋_GB2312" w:hAnsi="微软雅黑" w:eastAsia="仿宋_GB2312" w:cs="宋体"/>
          <w:color w:val="333333"/>
          <w:spacing w:val="15"/>
          <w:sz w:val="30"/>
          <w:szCs w:val="30"/>
          <w:lang w:eastAsia="zh-CN"/>
        </w:rPr>
        <w:t>】</w:t>
      </w:r>
      <w:r>
        <w:rPr>
          <w:rFonts w:ascii="仿宋_GB2312" w:hAnsi="微软雅黑" w:eastAsia="仿宋_GB2312" w:cs="宋体"/>
          <w:color w:val="333333"/>
          <w:spacing w:val="15"/>
          <w:sz w:val="30"/>
          <w:szCs w:val="30"/>
        </w:rPr>
        <w:t>为</w:t>
      </w:r>
      <w:r>
        <w:rPr>
          <w:rFonts w:hint="eastAsia" w:ascii="仿宋_GB2312" w:hAnsi="微软雅黑" w:eastAsia="仿宋_GB2312" w:cs="宋体"/>
          <w:color w:val="333333"/>
          <w:spacing w:val="15"/>
          <w:sz w:val="30"/>
          <w:szCs w:val="30"/>
        </w:rPr>
        <w:t>深入贯彻落实党中央、国务院关于推进城市更新行动重大决策部署，转变城市开发建设方式，推动城市高质量发展，</w:t>
      </w:r>
      <w:r>
        <w:rPr>
          <w:rFonts w:ascii="仿宋_GB2312" w:hAnsi="微软雅黑" w:eastAsia="仿宋_GB2312" w:cs="宋体"/>
          <w:color w:val="333333"/>
          <w:spacing w:val="15"/>
          <w:sz w:val="30"/>
          <w:szCs w:val="30"/>
        </w:rPr>
        <w:t>优化</w:t>
      </w:r>
      <w:r>
        <w:rPr>
          <w:rFonts w:hint="eastAsia" w:ascii="仿宋_GB2312" w:hAnsi="微软雅黑" w:eastAsia="仿宋_GB2312" w:cs="宋体"/>
          <w:color w:val="333333"/>
          <w:spacing w:val="15"/>
          <w:sz w:val="30"/>
          <w:szCs w:val="30"/>
        </w:rPr>
        <w:t>城市</w:t>
      </w:r>
      <w:r>
        <w:rPr>
          <w:rFonts w:ascii="仿宋_GB2312" w:hAnsi="微软雅黑" w:eastAsia="仿宋_GB2312" w:cs="宋体"/>
          <w:color w:val="333333"/>
          <w:spacing w:val="15"/>
          <w:sz w:val="30"/>
          <w:szCs w:val="30"/>
        </w:rPr>
        <w:t>布局，</w:t>
      </w:r>
      <w:r>
        <w:rPr>
          <w:rFonts w:hint="eastAsia" w:ascii="仿宋_GB2312" w:hAnsi="微软雅黑" w:eastAsia="仿宋_GB2312" w:cs="宋体"/>
          <w:color w:val="333333"/>
          <w:spacing w:val="15"/>
          <w:sz w:val="30"/>
          <w:szCs w:val="30"/>
        </w:rPr>
        <w:t>提升城市品质、</w:t>
      </w:r>
      <w:r>
        <w:rPr>
          <w:rFonts w:ascii="仿宋_GB2312" w:hAnsi="微软雅黑" w:eastAsia="仿宋_GB2312" w:cs="宋体"/>
          <w:color w:val="333333"/>
          <w:spacing w:val="15"/>
          <w:sz w:val="30"/>
          <w:szCs w:val="30"/>
        </w:rPr>
        <w:t>完善城市功能</w:t>
      </w:r>
      <w:r>
        <w:rPr>
          <w:rFonts w:hint="eastAsia" w:ascii="仿宋_GB2312" w:hAnsi="微软雅黑" w:eastAsia="仿宋_GB2312" w:cs="宋体"/>
          <w:color w:val="333333"/>
          <w:spacing w:val="15"/>
          <w:sz w:val="30"/>
          <w:szCs w:val="30"/>
        </w:rPr>
        <w:t>、改善人居环境</w:t>
      </w:r>
      <w:r>
        <w:rPr>
          <w:rFonts w:ascii="仿宋_GB2312" w:hAnsi="微软雅黑" w:eastAsia="仿宋_GB2312" w:cs="宋体"/>
          <w:color w:val="333333"/>
          <w:spacing w:val="15"/>
          <w:sz w:val="30"/>
          <w:szCs w:val="30"/>
        </w:rPr>
        <w:t>，传承历史文化，</w:t>
      </w:r>
      <w:r>
        <w:rPr>
          <w:rFonts w:hint="eastAsia" w:ascii="仿宋_GB2312" w:hAnsi="微软雅黑" w:eastAsia="仿宋_GB2312" w:cs="宋体"/>
          <w:color w:val="333333"/>
          <w:spacing w:val="15"/>
          <w:sz w:val="30"/>
          <w:szCs w:val="30"/>
        </w:rPr>
        <w:t>不断满足人民群众日益增长的美好生活需要</w:t>
      </w:r>
      <w:r>
        <w:rPr>
          <w:rFonts w:ascii="仿宋_GB2312" w:hAnsi="微软雅黑" w:eastAsia="仿宋_GB2312" w:cs="宋体"/>
          <w:color w:val="333333"/>
          <w:spacing w:val="15"/>
          <w:sz w:val="30"/>
          <w:szCs w:val="30"/>
        </w:rPr>
        <w:t>，根据有关法律、法规，结合本市实际，制定本</w:t>
      </w:r>
      <w:r>
        <w:rPr>
          <w:rFonts w:hint="eastAsia" w:ascii="仿宋_GB2312" w:hAnsi="微软雅黑" w:eastAsia="仿宋_GB2312" w:cs="宋体"/>
          <w:color w:val="333333"/>
          <w:spacing w:val="15"/>
          <w:sz w:val="30"/>
          <w:szCs w:val="30"/>
        </w:rPr>
        <w:t>办法</w:t>
      </w:r>
      <w:r>
        <w:rPr>
          <w:rFonts w:ascii="仿宋_GB2312" w:hAnsi="微软雅黑" w:eastAsia="仿宋_GB2312" w:cs="宋体"/>
          <w:color w:val="333333"/>
          <w:spacing w:val="15"/>
          <w:sz w:val="30"/>
          <w:szCs w:val="30"/>
        </w:rPr>
        <w:t>。</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适用范围</w:t>
      </w:r>
      <w:r>
        <w:rPr>
          <w:rFonts w:hint="eastAsia" w:ascii="仿宋_GB2312" w:hAnsi="微软雅黑" w:eastAsia="仿宋_GB2312" w:cs="宋体"/>
          <w:color w:val="333333"/>
          <w:spacing w:val="15"/>
          <w:sz w:val="30"/>
          <w:szCs w:val="30"/>
          <w:lang w:eastAsia="zh-CN"/>
        </w:rPr>
        <w:t>】</w:t>
      </w:r>
      <w:r>
        <w:rPr>
          <w:rFonts w:ascii="仿宋_GB2312" w:hAnsi="微软雅黑" w:eastAsia="仿宋_GB2312" w:cs="宋体"/>
          <w:color w:val="333333"/>
          <w:spacing w:val="15"/>
          <w:sz w:val="30"/>
          <w:szCs w:val="30"/>
        </w:rPr>
        <w:t>本</w:t>
      </w:r>
      <w:r>
        <w:rPr>
          <w:rFonts w:hint="eastAsia" w:ascii="仿宋_GB2312" w:hAnsi="微软雅黑" w:eastAsia="仿宋_GB2312" w:cs="宋体"/>
          <w:color w:val="333333"/>
          <w:spacing w:val="15"/>
          <w:sz w:val="30"/>
          <w:szCs w:val="30"/>
        </w:rPr>
        <w:t>办法</w:t>
      </w:r>
      <w:r>
        <w:rPr>
          <w:rFonts w:ascii="仿宋_GB2312" w:hAnsi="微软雅黑" w:eastAsia="仿宋_GB2312" w:cs="宋体"/>
          <w:color w:val="333333"/>
          <w:spacing w:val="15"/>
          <w:sz w:val="30"/>
          <w:szCs w:val="30"/>
        </w:rPr>
        <w:t>适用于本市行政区域内的城市更新活动</w:t>
      </w:r>
      <w:r>
        <w:rPr>
          <w:rFonts w:hint="eastAsia" w:ascii="仿宋_GB2312" w:hAnsi="微软雅黑" w:eastAsia="仿宋_GB2312" w:cs="宋体"/>
          <w:color w:val="333333"/>
          <w:spacing w:val="15"/>
          <w:sz w:val="30"/>
          <w:szCs w:val="30"/>
        </w:rPr>
        <w:t>。</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ascii="仿宋_GB2312" w:hAnsi="微软雅黑" w:eastAsia="仿宋_GB2312" w:cs="宋体"/>
          <w:color w:val="333333"/>
          <w:spacing w:val="15"/>
          <w:sz w:val="30"/>
          <w:szCs w:val="30"/>
        </w:rPr>
        <w:t>本办法所称城市更新，是指对市人民政府按照规定程序和要求确定的地区进行城市空间形态和功能可持续改善的建设和管理活动</w:t>
      </w:r>
      <w:r>
        <w:rPr>
          <w:rFonts w:hint="eastAsia" w:ascii="仿宋_GB2312" w:hAnsi="微软雅黑" w:eastAsia="仿宋_GB2312" w:cs="宋体"/>
          <w:color w:val="333333"/>
          <w:spacing w:val="15"/>
          <w:sz w:val="30"/>
          <w:szCs w:val="30"/>
        </w:rPr>
        <w:t>，</w:t>
      </w:r>
      <w:r>
        <w:rPr>
          <w:rFonts w:ascii="仿宋_GB2312" w:hAnsi="微软雅黑" w:eastAsia="仿宋_GB2312" w:cs="宋体"/>
          <w:color w:val="333333"/>
          <w:spacing w:val="15"/>
          <w:sz w:val="30"/>
          <w:szCs w:val="30"/>
        </w:rPr>
        <w:t>具体包括：</w:t>
      </w:r>
      <w:r>
        <w:rPr>
          <w:rFonts w:hint="eastAsia" w:ascii="仿宋_GB2312" w:hAnsi="微软雅黑" w:eastAsia="仿宋_GB2312" w:cs="宋体"/>
          <w:color w:val="333333"/>
          <w:spacing w:val="15"/>
          <w:sz w:val="30"/>
          <w:szCs w:val="30"/>
        </w:rPr>
        <w:t xml:space="preserve"> </w:t>
      </w:r>
    </w:p>
    <w:p>
      <w:pPr>
        <w:pStyle w:val="8"/>
        <w:keepNext w:val="0"/>
        <w:keepLines w:val="0"/>
        <w:pageBreakBefore w:val="0"/>
        <w:numPr>
          <w:ilvl w:val="0"/>
          <w:numId w:val="3"/>
        </w:numPr>
        <w:shd w:val="clear" w:color="auto" w:fill="FFFFFF"/>
        <w:kinsoku/>
        <w:wordWrap/>
        <w:overflowPunct/>
        <w:topLinePunct w:val="0"/>
        <w:autoSpaceDE/>
        <w:autoSpaceDN/>
        <w:bidi w:val="0"/>
        <w:adjustRightInd w:val="0"/>
        <w:snapToGrid w:val="0"/>
        <w:spacing w:beforeAutospacing="0" w:afterAutospacing="0" w:line="520" w:lineRule="exact"/>
        <w:ind w:left="0" w:firstLine="660" w:firstLineChars="200"/>
        <w:textAlignment w:val="auto"/>
        <w:rPr>
          <w:rFonts w:hint="eastAsia" w:ascii="仿宋_GB2312" w:hAnsi="微软雅黑" w:eastAsia="仿宋_GB2312"/>
          <w:color w:val="333333"/>
          <w:spacing w:val="15"/>
          <w:sz w:val="30"/>
          <w:szCs w:val="30"/>
        </w:rPr>
      </w:pPr>
      <w:r>
        <w:rPr>
          <w:rFonts w:hint="eastAsia" w:ascii="仿宋_GB2312" w:hAnsi="微软雅黑" w:eastAsia="仿宋_GB2312"/>
          <w:color w:val="333333"/>
          <w:spacing w:val="15"/>
          <w:sz w:val="30"/>
          <w:szCs w:val="30"/>
        </w:rPr>
        <w:t>居住类城市更新：包括老旧平房院落、危旧楼房改造、老旧小区和</w:t>
      </w:r>
      <w:r>
        <w:rPr>
          <w:rFonts w:ascii="仿宋_GB2312" w:hAnsi="微软雅黑" w:eastAsia="仿宋_GB2312"/>
          <w:color w:val="333333"/>
          <w:spacing w:val="15"/>
          <w:sz w:val="30"/>
          <w:szCs w:val="30"/>
        </w:rPr>
        <w:t>棚户区改造</w:t>
      </w:r>
      <w:r>
        <w:rPr>
          <w:rFonts w:hint="eastAsia" w:ascii="仿宋_GB2312" w:hAnsi="微软雅黑" w:eastAsia="仿宋_GB2312"/>
          <w:color w:val="333333"/>
          <w:spacing w:val="15"/>
          <w:sz w:val="30"/>
          <w:szCs w:val="30"/>
        </w:rPr>
        <w:t>；</w:t>
      </w:r>
    </w:p>
    <w:p>
      <w:pPr>
        <w:pStyle w:val="8"/>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20" w:lineRule="exact"/>
        <w:ind w:left="0" w:firstLine="660" w:firstLineChars="200"/>
        <w:textAlignment w:val="auto"/>
        <w:rPr>
          <w:rFonts w:hint="eastAsia" w:ascii="仿宋_GB2312" w:hAnsi="微软雅黑" w:eastAsia="仿宋_GB2312"/>
          <w:color w:val="333333"/>
          <w:spacing w:val="15"/>
          <w:sz w:val="30"/>
          <w:szCs w:val="30"/>
        </w:rPr>
      </w:pPr>
      <w:r>
        <w:rPr>
          <w:rFonts w:hint="eastAsia" w:ascii="仿宋_GB2312" w:hAnsi="微软雅黑" w:eastAsia="仿宋_GB2312"/>
          <w:color w:val="333333"/>
          <w:spacing w:val="15"/>
          <w:sz w:val="30"/>
          <w:szCs w:val="30"/>
        </w:rPr>
        <w:t>（二）产业类城市更新：</w:t>
      </w:r>
      <w:r>
        <w:rPr>
          <w:rFonts w:ascii="仿宋_GB2312" w:hAnsi="微软雅黑" w:eastAsia="仿宋_GB2312"/>
          <w:color w:val="333333"/>
          <w:spacing w:val="15"/>
          <w:sz w:val="30"/>
          <w:szCs w:val="30"/>
        </w:rPr>
        <w:t>包括</w:t>
      </w:r>
      <w:r>
        <w:rPr>
          <w:rFonts w:hint="eastAsia" w:ascii="仿宋_GB2312" w:hAnsi="微软雅黑" w:eastAsia="仿宋_GB2312"/>
          <w:color w:val="333333"/>
          <w:spacing w:val="15"/>
          <w:sz w:val="30"/>
          <w:szCs w:val="30"/>
        </w:rPr>
        <w:t>老旧厂房和产业园区、低效楼宇、传统商业设施等再利用</w:t>
      </w:r>
      <w:r>
        <w:rPr>
          <w:rFonts w:ascii="仿宋_GB2312" w:hAnsi="微软雅黑" w:eastAsia="仿宋_GB2312"/>
          <w:color w:val="333333"/>
          <w:spacing w:val="15"/>
          <w:sz w:val="30"/>
          <w:szCs w:val="30"/>
        </w:rPr>
        <w:t>和提质</w:t>
      </w:r>
      <w:r>
        <w:rPr>
          <w:rFonts w:hint="eastAsia" w:ascii="仿宋_GB2312" w:hAnsi="微软雅黑" w:eastAsia="仿宋_GB2312"/>
          <w:color w:val="333333"/>
          <w:spacing w:val="15"/>
          <w:sz w:val="30"/>
          <w:szCs w:val="30"/>
        </w:rPr>
        <w:t>增效；</w:t>
      </w:r>
    </w:p>
    <w:p>
      <w:pPr>
        <w:pStyle w:val="8"/>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20" w:lineRule="exact"/>
        <w:ind w:left="0" w:firstLine="660" w:firstLineChars="200"/>
        <w:textAlignment w:val="auto"/>
        <w:rPr>
          <w:rFonts w:hint="eastAsia" w:ascii="仿宋_GB2312" w:hAnsi="微软雅黑" w:eastAsia="仿宋_GB2312"/>
          <w:color w:val="333333"/>
          <w:spacing w:val="15"/>
          <w:sz w:val="30"/>
          <w:szCs w:val="30"/>
        </w:rPr>
      </w:pPr>
      <w:r>
        <w:rPr>
          <w:rFonts w:hint="eastAsia" w:ascii="仿宋_GB2312" w:hAnsi="微软雅黑" w:eastAsia="仿宋_GB2312"/>
          <w:color w:val="333333"/>
          <w:spacing w:val="15"/>
          <w:sz w:val="30"/>
          <w:szCs w:val="30"/>
        </w:rPr>
        <w:t>（三）设施类城市更新：</w:t>
      </w:r>
      <w:r>
        <w:rPr>
          <w:rFonts w:ascii="仿宋_GB2312" w:hAnsi="微软雅黑" w:eastAsia="仿宋_GB2312"/>
          <w:color w:val="333333"/>
          <w:spacing w:val="15"/>
          <w:sz w:val="30"/>
          <w:szCs w:val="30"/>
        </w:rPr>
        <w:t>包括</w:t>
      </w:r>
      <w:r>
        <w:rPr>
          <w:rFonts w:hint="eastAsia" w:ascii="仿宋_GB2312" w:hAnsi="微软雅黑" w:eastAsia="仿宋_GB2312"/>
          <w:color w:val="333333"/>
          <w:spacing w:val="15"/>
          <w:sz w:val="30"/>
          <w:szCs w:val="30"/>
        </w:rPr>
        <w:t>老旧市政基础设施、公共服务设施和公共安全设施</w:t>
      </w:r>
      <w:r>
        <w:rPr>
          <w:rFonts w:ascii="仿宋_GB2312" w:hAnsi="微软雅黑" w:eastAsia="仿宋_GB2312"/>
          <w:color w:val="333333"/>
          <w:spacing w:val="15"/>
          <w:sz w:val="30"/>
          <w:szCs w:val="30"/>
        </w:rPr>
        <w:t>更新</w:t>
      </w:r>
      <w:r>
        <w:rPr>
          <w:rFonts w:hint="eastAsia" w:ascii="仿宋_GB2312" w:hAnsi="微软雅黑" w:eastAsia="仿宋_GB2312"/>
          <w:color w:val="333333"/>
          <w:spacing w:val="15"/>
          <w:sz w:val="30"/>
          <w:szCs w:val="30"/>
        </w:rPr>
        <w:t>及补短板；</w:t>
      </w:r>
    </w:p>
    <w:p>
      <w:pPr>
        <w:pStyle w:val="8"/>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20" w:lineRule="exact"/>
        <w:ind w:left="0" w:firstLine="660" w:firstLineChars="200"/>
        <w:textAlignment w:val="auto"/>
        <w:rPr>
          <w:rFonts w:hint="eastAsia" w:ascii="仿宋_GB2312" w:hAnsi="微软雅黑" w:eastAsia="仿宋_GB2312"/>
          <w:color w:val="333333"/>
          <w:spacing w:val="15"/>
          <w:sz w:val="30"/>
          <w:szCs w:val="30"/>
        </w:rPr>
      </w:pPr>
      <w:r>
        <w:rPr>
          <w:rFonts w:hint="eastAsia" w:ascii="仿宋_GB2312" w:hAnsi="微软雅黑" w:eastAsia="仿宋_GB2312"/>
          <w:color w:val="333333"/>
          <w:spacing w:val="15"/>
          <w:sz w:val="30"/>
          <w:szCs w:val="30"/>
        </w:rPr>
        <w:t>（四）公共空间类城市更新：包括提升绿色空间、滨水空间、慢行系统等环境品质；</w:t>
      </w:r>
    </w:p>
    <w:p>
      <w:pPr>
        <w:pStyle w:val="8"/>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20" w:lineRule="exact"/>
        <w:ind w:left="0" w:firstLine="660" w:firstLineChars="200"/>
        <w:textAlignment w:val="auto"/>
        <w:rPr>
          <w:rFonts w:hint="eastAsia" w:ascii="仿宋_GB2312" w:hAnsi="微软雅黑" w:eastAsia="仿宋_GB2312"/>
          <w:color w:val="333333"/>
          <w:spacing w:val="15"/>
          <w:sz w:val="30"/>
          <w:szCs w:val="30"/>
        </w:rPr>
      </w:pPr>
      <w:r>
        <w:rPr>
          <w:rFonts w:hint="eastAsia" w:ascii="仿宋_GB2312" w:hAnsi="微软雅黑" w:eastAsia="仿宋_GB2312"/>
          <w:color w:val="333333"/>
          <w:spacing w:val="15"/>
          <w:sz w:val="30"/>
          <w:szCs w:val="30"/>
        </w:rPr>
        <w:t>（五）区域综合性城市更新：综合统筹片区存量资源配置、优化功能布局，实现片区可持续发展；</w:t>
      </w:r>
    </w:p>
    <w:p>
      <w:pPr>
        <w:pStyle w:val="8"/>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20" w:lineRule="exact"/>
        <w:ind w:left="0" w:firstLine="660" w:firstLineChars="200"/>
        <w:textAlignment w:val="auto"/>
        <w:rPr>
          <w:rFonts w:hint="eastAsia" w:ascii="仿宋_GB2312" w:hAnsi="微软雅黑" w:eastAsia="仿宋_GB2312"/>
          <w:color w:val="333333"/>
          <w:spacing w:val="15"/>
          <w:sz w:val="30"/>
          <w:szCs w:val="30"/>
        </w:rPr>
      </w:pPr>
      <w:r>
        <w:rPr>
          <w:rFonts w:hint="eastAsia" w:ascii="仿宋_GB2312" w:hAnsi="微软雅黑" w:eastAsia="仿宋_GB2312"/>
          <w:color w:val="333333"/>
          <w:spacing w:val="15"/>
          <w:sz w:val="30"/>
          <w:szCs w:val="30"/>
        </w:rPr>
        <w:t>（六）市人民政府确定的其他城市更新活动。</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基本原则</w:t>
      </w:r>
      <w:r>
        <w:rPr>
          <w:rFonts w:hint="eastAsia" w:ascii="仿宋_GB2312" w:hAnsi="微软雅黑" w:eastAsia="仿宋_GB2312" w:cs="宋体"/>
          <w:color w:val="333333"/>
          <w:spacing w:val="15"/>
          <w:sz w:val="30"/>
          <w:szCs w:val="30"/>
          <w:lang w:eastAsia="zh-CN"/>
        </w:rPr>
        <w:t>】</w:t>
      </w:r>
      <w:r>
        <w:rPr>
          <w:rFonts w:ascii="仿宋_GB2312" w:hAnsi="微软雅黑" w:eastAsia="仿宋_GB2312" w:cs="宋体"/>
          <w:color w:val="333333"/>
          <w:spacing w:val="15"/>
          <w:sz w:val="30"/>
          <w:szCs w:val="30"/>
        </w:rPr>
        <w:t>城市更新应当贯彻落实</w:t>
      </w:r>
      <w:r>
        <w:rPr>
          <w:rFonts w:hint="eastAsia" w:ascii="仿宋_GB2312" w:hAnsi="微软雅黑" w:eastAsia="仿宋_GB2312" w:cs="宋体"/>
          <w:color w:val="333333"/>
          <w:spacing w:val="15"/>
          <w:sz w:val="30"/>
          <w:szCs w:val="30"/>
        </w:rPr>
        <w:t>城市生命体</w:t>
      </w:r>
      <w:r>
        <w:rPr>
          <w:rFonts w:ascii="仿宋_GB2312" w:hAnsi="微软雅黑" w:eastAsia="仿宋_GB2312" w:cs="宋体"/>
          <w:color w:val="333333"/>
          <w:spacing w:val="15"/>
          <w:sz w:val="30"/>
          <w:szCs w:val="30"/>
        </w:rPr>
        <w:t>理念，强化系统观念、全生命周期管</w:t>
      </w:r>
      <w:r>
        <w:rPr>
          <w:rFonts w:ascii="仿宋_GB2312" w:hAnsi="微软雅黑" w:eastAsia="仿宋_GB2312" w:cs="宋体"/>
          <w:color w:val="000000" w:themeColor="text1"/>
          <w:spacing w:val="15"/>
          <w:sz w:val="30"/>
          <w:szCs w:val="30"/>
          <w14:textFill>
            <w14:solidFill>
              <w14:schemeClr w14:val="tx1"/>
            </w14:solidFill>
          </w14:textFill>
        </w:rPr>
        <w:t>理</w:t>
      </w:r>
      <w:r>
        <w:rPr>
          <w:rFonts w:hint="eastAsia" w:ascii="仿宋_GB2312" w:hAnsi="微软雅黑" w:eastAsia="仿宋_GB2312" w:cs="宋体"/>
          <w:color w:val="000000" w:themeColor="text1"/>
          <w:spacing w:val="15"/>
          <w:sz w:val="30"/>
          <w:szCs w:val="30"/>
          <w14:textFill>
            <w14:solidFill>
              <w14:schemeClr w14:val="tx1"/>
            </w14:solidFill>
          </w14:textFill>
        </w:rPr>
        <w:t>，坚持以人</w:t>
      </w:r>
      <w:r>
        <w:rPr>
          <w:rFonts w:hint="eastAsia" w:ascii="仿宋_GB2312" w:hAnsi="微软雅黑" w:eastAsia="仿宋_GB2312" w:cs="宋体"/>
          <w:spacing w:val="15"/>
          <w:sz w:val="30"/>
          <w:szCs w:val="30"/>
        </w:rPr>
        <w:t>为本、民生优先，顶层设计、整体统筹，试点先行、分步实施，多方协同、公众参与的</w:t>
      </w:r>
      <w:r>
        <w:rPr>
          <w:rFonts w:ascii="仿宋_GB2312" w:hAnsi="微软雅黑" w:eastAsia="仿宋_GB2312" w:cs="宋体"/>
          <w:spacing w:val="15"/>
          <w:sz w:val="30"/>
          <w:szCs w:val="30"/>
        </w:rPr>
        <w:t>基本原则。</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总体目标</w:t>
      </w:r>
      <w:r>
        <w:rPr>
          <w:rFonts w:hint="eastAsia" w:ascii="仿宋_GB2312" w:hAnsi="微软雅黑" w:eastAsia="仿宋_GB2312" w:cs="宋体"/>
          <w:color w:val="333333"/>
          <w:spacing w:val="15"/>
          <w:sz w:val="30"/>
          <w:szCs w:val="30"/>
          <w:lang w:eastAsia="zh-CN"/>
        </w:rPr>
        <w:t>】</w:t>
      </w:r>
      <w:r>
        <w:rPr>
          <w:rFonts w:ascii="仿宋_GB2312" w:hAnsi="微软雅黑" w:eastAsia="仿宋_GB2312" w:cs="宋体"/>
          <w:color w:val="333333"/>
          <w:spacing w:val="15"/>
          <w:sz w:val="30"/>
          <w:szCs w:val="30"/>
        </w:rPr>
        <w:t>城市更新的总体目标是</w:t>
      </w:r>
      <w:r>
        <w:rPr>
          <w:rFonts w:hint="eastAsia" w:ascii="仿宋_GB2312" w:hAnsi="微软雅黑" w:eastAsia="仿宋_GB2312" w:cs="宋体"/>
          <w:color w:val="333333"/>
          <w:spacing w:val="15"/>
          <w:sz w:val="30"/>
          <w:szCs w:val="30"/>
        </w:rPr>
        <w:t>以问题为导向、以项目为牵引，聚焦城市存量空间资源提质增效，强化区域统筹、弹性管控，充分调动社会各方积极性，加快推进城市治理体系和治理能力现代化，推动城市更新活动全生命周期管理，</w:t>
      </w:r>
      <w:r>
        <w:rPr>
          <w:rFonts w:ascii="仿宋_GB2312" w:hAnsi="微软雅黑" w:eastAsia="仿宋_GB2312" w:cs="宋体"/>
          <w:color w:val="333333"/>
          <w:spacing w:val="15"/>
          <w:sz w:val="30"/>
          <w:szCs w:val="30"/>
        </w:rPr>
        <w:t>建设</w:t>
      </w:r>
      <w:r>
        <w:rPr>
          <w:rFonts w:hint="eastAsia" w:ascii="仿宋_GB2312" w:hAnsi="微软雅黑" w:eastAsia="仿宋_GB2312" w:cs="宋体"/>
          <w:color w:val="333333"/>
          <w:spacing w:val="15"/>
          <w:sz w:val="30"/>
          <w:szCs w:val="30"/>
        </w:rPr>
        <w:t>宜居、宜业、绿色、韧性、智慧、人文城市</w:t>
      </w:r>
      <w:r>
        <w:rPr>
          <w:rFonts w:ascii="仿宋_GB2312" w:hAnsi="微软雅黑" w:eastAsia="仿宋_GB2312" w:cs="宋体"/>
          <w:color w:val="333333"/>
          <w:spacing w:val="15"/>
          <w:sz w:val="30"/>
          <w:szCs w:val="30"/>
        </w:rPr>
        <w:t>，</w:t>
      </w:r>
      <w:r>
        <w:rPr>
          <w:rFonts w:hint="eastAsia" w:ascii="仿宋_GB2312" w:hAnsi="微软雅黑" w:eastAsia="仿宋_GB2312" w:cs="宋体"/>
          <w:color w:val="333333"/>
          <w:spacing w:val="15"/>
          <w:sz w:val="30"/>
          <w:szCs w:val="30"/>
        </w:rPr>
        <w:t>建立可持续的城市更新模式，树立城市更新“哈密典范”</w:t>
      </w:r>
      <w:r>
        <w:rPr>
          <w:rFonts w:ascii="仿宋_GB2312" w:hAnsi="微软雅黑" w:eastAsia="仿宋_GB2312" w:cs="宋体"/>
          <w:color w:val="333333"/>
          <w:spacing w:val="15"/>
          <w:sz w:val="30"/>
          <w:szCs w:val="30"/>
        </w:rPr>
        <w:t>。</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统筹机制</w:t>
      </w:r>
      <w:r>
        <w:rPr>
          <w:rFonts w:hint="eastAsia" w:ascii="仿宋_GB2312" w:hAnsi="微软雅黑" w:eastAsia="仿宋_GB2312" w:cs="宋体"/>
          <w:color w:val="333333"/>
          <w:spacing w:val="15"/>
          <w:sz w:val="30"/>
          <w:szCs w:val="30"/>
          <w:lang w:eastAsia="zh-CN"/>
        </w:rPr>
        <w:t>】</w:t>
      </w:r>
      <w:r>
        <w:rPr>
          <w:rFonts w:ascii="仿宋_GB2312" w:hAnsi="微软雅黑" w:eastAsia="仿宋_GB2312" w:cs="宋体"/>
          <w:color w:val="333333"/>
          <w:spacing w:val="15"/>
          <w:sz w:val="30"/>
          <w:szCs w:val="30"/>
        </w:rPr>
        <w:t>市人民政府应当加强全市城市更新工作的领导</w:t>
      </w:r>
      <w:r>
        <w:rPr>
          <w:rFonts w:hint="eastAsia" w:ascii="仿宋_GB2312" w:hAnsi="微软雅黑" w:eastAsia="仿宋_GB2312" w:cs="宋体"/>
          <w:color w:val="333333"/>
          <w:spacing w:val="15"/>
          <w:sz w:val="30"/>
          <w:szCs w:val="30"/>
        </w:rPr>
        <w:t>和统筹</w:t>
      </w:r>
      <w:r>
        <w:rPr>
          <w:rFonts w:ascii="仿宋_GB2312" w:hAnsi="微软雅黑" w:eastAsia="仿宋_GB2312" w:cs="宋体"/>
          <w:color w:val="333333"/>
          <w:spacing w:val="15"/>
          <w:sz w:val="30"/>
          <w:szCs w:val="30"/>
        </w:rPr>
        <w:t>，</w:t>
      </w:r>
      <w:r>
        <w:rPr>
          <w:rFonts w:hint="eastAsia" w:ascii="仿宋_GB2312" w:hAnsi="微软雅黑" w:eastAsia="仿宋_GB2312" w:cs="宋体"/>
          <w:color w:val="333333"/>
          <w:spacing w:val="15"/>
          <w:sz w:val="30"/>
          <w:szCs w:val="30"/>
        </w:rPr>
        <w:t>建</w:t>
      </w:r>
      <w:r>
        <w:rPr>
          <w:rFonts w:ascii="仿宋_GB2312" w:hAnsi="微软雅黑" w:eastAsia="仿宋_GB2312" w:cs="宋体"/>
          <w:color w:val="333333"/>
          <w:spacing w:val="15"/>
          <w:sz w:val="30"/>
          <w:szCs w:val="30"/>
        </w:rPr>
        <w:t>立城市更新</w:t>
      </w:r>
      <w:r>
        <w:rPr>
          <w:rFonts w:hint="eastAsia" w:ascii="仿宋_GB2312" w:hAnsi="微软雅黑" w:eastAsia="仿宋_GB2312" w:cs="宋体"/>
          <w:color w:val="333333"/>
          <w:spacing w:val="15"/>
          <w:sz w:val="30"/>
          <w:szCs w:val="30"/>
        </w:rPr>
        <w:t>协调推进机制</w:t>
      </w:r>
      <w:r>
        <w:rPr>
          <w:rFonts w:ascii="仿宋_GB2312" w:hAnsi="微软雅黑" w:eastAsia="仿宋_GB2312" w:cs="宋体"/>
          <w:color w:val="333333"/>
          <w:spacing w:val="15"/>
          <w:sz w:val="30"/>
          <w:szCs w:val="30"/>
        </w:rPr>
        <w:t>，</w:t>
      </w:r>
      <w:r>
        <w:rPr>
          <w:rFonts w:hint="eastAsia" w:ascii="仿宋_GB2312" w:hAnsi="微软雅黑" w:eastAsia="仿宋_GB2312" w:cs="宋体"/>
          <w:color w:val="333333"/>
          <w:spacing w:val="15"/>
          <w:sz w:val="30"/>
          <w:szCs w:val="30"/>
        </w:rPr>
        <w:t>负责统筹协同全市城市更新工作，</w:t>
      </w:r>
      <w:r>
        <w:rPr>
          <w:rFonts w:ascii="仿宋_GB2312" w:hAnsi="微软雅黑" w:eastAsia="仿宋_GB2312" w:cs="宋体"/>
          <w:color w:val="333333"/>
          <w:spacing w:val="15"/>
          <w:sz w:val="30"/>
          <w:szCs w:val="30"/>
        </w:rPr>
        <w:t>研究审定城市更新重大事项、作出重大决策。</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000000" w:themeColor="text1"/>
          <w:spacing w:val="15"/>
          <w:sz w:val="30"/>
          <w:szCs w:val="30"/>
          <w14:textFill>
            <w14:solidFill>
              <w14:schemeClr w14:val="tx1"/>
            </w14:solidFill>
          </w14:textFill>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部门职责</w:t>
      </w:r>
      <w:r>
        <w:rPr>
          <w:rFonts w:hint="eastAsia" w:ascii="仿宋_GB2312" w:hAnsi="微软雅黑" w:eastAsia="仿宋_GB2312" w:cs="宋体"/>
          <w:color w:val="333333"/>
          <w:spacing w:val="15"/>
          <w:sz w:val="30"/>
          <w:szCs w:val="30"/>
          <w:lang w:eastAsia="zh-CN"/>
        </w:rPr>
        <w:t>】</w:t>
      </w:r>
      <w:r>
        <w:rPr>
          <w:rFonts w:ascii="仿宋_GB2312" w:hAnsi="微软雅黑" w:eastAsia="仿宋_GB2312" w:cs="宋体"/>
          <w:color w:val="333333"/>
          <w:spacing w:val="15"/>
          <w:sz w:val="30"/>
          <w:szCs w:val="30"/>
        </w:rPr>
        <w:t>市住房城乡建设行政主管部门是本市城市更新工作的</w:t>
      </w:r>
      <w:r>
        <w:rPr>
          <w:rFonts w:hint="eastAsia" w:ascii="仿宋_GB2312" w:hAnsi="微软雅黑" w:eastAsia="仿宋_GB2312" w:cs="宋体"/>
          <w:color w:val="333333"/>
          <w:spacing w:val="15"/>
          <w:sz w:val="30"/>
          <w:szCs w:val="30"/>
        </w:rPr>
        <w:t>牵头</w:t>
      </w:r>
      <w:r>
        <w:rPr>
          <w:rFonts w:ascii="仿宋_GB2312" w:hAnsi="微软雅黑" w:eastAsia="仿宋_GB2312" w:cs="宋体"/>
          <w:color w:val="333333"/>
          <w:spacing w:val="15"/>
          <w:sz w:val="30"/>
          <w:szCs w:val="30"/>
        </w:rPr>
        <w:t>主管部</w:t>
      </w:r>
      <w:r>
        <w:rPr>
          <w:rFonts w:ascii="仿宋_GB2312" w:hAnsi="微软雅黑" w:eastAsia="仿宋_GB2312" w:cs="宋体"/>
          <w:color w:val="000000" w:themeColor="text1"/>
          <w:spacing w:val="15"/>
          <w:sz w:val="30"/>
          <w:szCs w:val="30"/>
          <w14:textFill>
            <w14:solidFill>
              <w14:schemeClr w14:val="tx1"/>
            </w14:solidFill>
          </w14:textFill>
        </w:rPr>
        <w:t>门，</w:t>
      </w:r>
      <w:r>
        <w:rPr>
          <w:rFonts w:hint="eastAsia" w:ascii="仿宋_GB2312" w:hAnsi="微软雅黑" w:eastAsia="仿宋_GB2312" w:cs="宋体"/>
          <w:color w:val="000000" w:themeColor="text1"/>
          <w:spacing w:val="15"/>
          <w:sz w:val="30"/>
          <w:szCs w:val="30"/>
          <w14:textFill>
            <w14:solidFill>
              <w14:schemeClr w14:val="tx1"/>
            </w14:solidFill>
          </w14:textFill>
        </w:rPr>
        <w:t>编制城市更新专项规划、技术导则、建设计划，牵头优化城市更新项目审批流程</w:t>
      </w:r>
      <w:r>
        <w:rPr>
          <w:rFonts w:ascii="仿宋_GB2312" w:hAnsi="微软雅黑" w:eastAsia="仿宋_GB2312" w:cs="宋体"/>
          <w:color w:val="000000" w:themeColor="text1"/>
          <w:spacing w:val="15"/>
          <w:sz w:val="30"/>
          <w:szCs w:val="30"/>
          <w14:textFill>
            <w14:solidFill>
              <w14:schemeClr w14:val="tx1"/>
            </w14:solidFill>
          </w14:textFill>
        </w:rPr>
        <w:t>。</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ascii="仿宋_GB2312" w:hAnsi="微软雅黑" w:eastAsia="仿宋_GB2312" w:cs="宋体"/>
          <w:color w:val="333333"/>
          <w:spacing w:val="15"/>
          <w:sz w:val="30"/>
          <w:szCs w:val="30"/>
        </w:rPr>
        <w:t>市自然资源</w:t>
      </w:r>
      <w:r>
        <w:rPr>
          <w:rFonts w:hint="eastAsia" w:ascii="仿宋_GB2312" w:hAnsi="微软雅黑" w:eastAsia="仿宋_GB2312" w:cs="宋体"/>
          <w:color w:val="333333"/>
          <w:spacing w:val="15"/>
          <w:sz w:val="30"/>
          <w:szCs w:val="30"/>
        </w:rPr>
        <w:t>主管</w:t>
      </w:r>
      <w:r>
        <w:rPr>
          <w:rFonts w:ascii="仿宋_GB2312" w:hAnsi="微软雅黑" w:eastAsia="仿宋_GB2312" w:cs="宋体"/>
          <w:color w:val="333333"/>
          <w:spacing w:val="15"/>
          <w:sz w:val="30"/>
          <w:szCs w:val="30"/>
        </w:rPr>
        <w:t>部门负责</w:t>
      </w:r>
      <w:r>
        <w:rPr>
          <w:rFonts w:hint="eastAsia" w:ascii="仿宋_GB2312" w:hAnsi="微软雅黑" w:eastAsia="仿宋_GB2312" w:cs="宋体"/>
          <w:color w:val="333333"/>
          <w:spacing w:val="15"/>
          <w:sz w:val="30"/>
          <w:szCs w:val="30"/>
        </w:rPr>
        <w:t>国土空间规划与城市更新的规划衔接和用地管理工作</w:t>
      </w:r>
      <w:r>
        <w:rPr>
          <w:rFonts w:ascii="仿宋_GB2312" w:hAnsi="微软雅黑" w:eastAsia="仿宋_GB2312" w:cs="宋体"/>
          <w:color w:val="333333"/>
          <w:spacing w:val="15"/>
          <w:sz w:val="30"/>
          <w:szCs w:val="30"/>
        </w:rPr>
        <w:t>。</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bookmarkStart w:id="80" w:name="_GoBack"/>
      <w:r>
        <w:rPr>
          <w:rFonts w:hint="eastAsia" w:ascii="仿宋_GB2312" w:hAnsi="微软雅黑" w:eastAsia="仿宋_GB2312" w:cs="宋体"/>
          <w:color w:val="333333"/>
          <w:spacing w:val="15"/>
          <w:sz w:val="30"/>
          <w:szCs w:val="30"/>
        </w:rPr>
        <w:t>市</w:t>
      </w:r>
      <w:r>
        <w:rPr>
          <w:rFonts w:ascii="仿宋_GB2312" w:hAnsi="微软雅黑" w:eastAsia="仿宋_GB2312" w:cs="宋体"/>
          <w:color w:val="333333"/>
          <w:spacing w:val="15"/>
          <w:sz w:val="30"/>
          <w:szCs w:val="30"/>
        </w:rPr>
        <w:t>发展改革、工业和信息化、财政、生态环境、交通运输、水务、农业农村、商务</w:t>
      </w:r>
      <w:bookmarkEnd w:id="80"/>
      <w:r>
        <w:rPr>
          <w:rFonts w:ascii="仿宋_GB2312" w:hAnsi="微软雅黑" w:eastAsia="仿宋_GB2312" w:cs="宋体"/>
          <w:color w:val="333333"/>
          <w:spacing w:val="15"/>
          <w:sz w:val="30"/>
          <w:szCs w:val="30"/>
        </w:rPr>
        <w:t>、城市管理综合执法、林</w:t>
      </w:r>
      <w:r>
        <w:rPr>
          <w:rFonts w:hint="eastAsia" w:ascii="仿宋_GB2312" w:hAnsi="微软雅黑" w:eastAsia="仿宋_GB2312" w:cs="宋体"/>
          <w:color w:val="333333"/>
          <w:spacing w:val="15"/>
          <w:sz w:val="30"/>
          <w:szCs w:val="30"/>
        </w:rPr>
        <w:t>草、</w:t>
      </w:r>
      <w:r>
        <w:rPr>
          <w:rFonts w:ascii="仿宋_GB2312" w:hAnsi="微软雅黑" w:eastAsia="仿宋_GB2312" w:cs="宋体"/>
          <w:color w:val="333333"/>
          <w:spacing w:val="15"/>
          <w:sz w:val="30"/>
          <w:szCs w:val="30"/>
        </w:rPr>
        <w:t>园林等相关部门在各自职责范围内负责城市更新相关工作。</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spacing w:val="15"/>
          <w:sz w:val="30"/>
          <w:szCs w:val="30"/>
        </w:rPr>
      </w:pPr>
      <w:r>
        <w:rPr>
          <w:rFonts w:hint="eastAsia" w:ascii="仿宋_GB2312" w:hAnsi="微软雅黑" w:eastAsia="仿宋_GB2312" w:cs="宋体"/>
          <w:spacing w:val="15"/>
          <w:sz w:val="30"/>
          <w:szCs w:val="30"/>
        </w:rPr>
        <w:t>区县</w:t>
      </w:r>
      <w:r>
        <w:rPr>
          <w:rFonts w:ascii="仿宋_GB2312" w:hAnsi="微软雅黑" w:eastAsia="仿宋_GB2312" w:cs="宋体"/>
          <w:spacing w:val="15"/>
          <w:sz w:val="30"/>
          <w:szCs w:val="30"/>
        </w:rPr>
        <w:t>人民政府负责城市更新工作的部门由区</w:t>
      </w:r>
      <w:r>
        <w:rPr>
          <w:rFonts w:hint="eastAsia" w:ascii="仿宋_GB2312" w:hAnsi="微软雅黑" w:eastAsia="仿宋_GB2312" w:cs="宋体"/>
          <w:spacing w:val="15"/>
          <w:sz w:val="30"/>
          <w:szCs w:val="30"/>
        </w:rPr>
        <w:t>县</w:t>
      </w:r>
      <w:r>
        <w:rPr>
          <w:rFonts w:ascii="仿宋_GB2312" w:hAnsi="微软雅黑" w:eastAsia="仿宋_GB2312" w:cs="宋体"/>
          <w:spacing w:val="15"/>
          <w:sz w:val="30"/>
          <w:szCs w:val="30"/>
        </w:rPr>
        <w:t>人民政府指定，</w:t>
      </w:r>
      <w:r>
        <w:rPr>
          <w:rFonts w:hint="eastAsia" w:ascii="仿宋_GB2312" w:hAnsi="微软雅黑" w:eastAsia="仿宋_GB2312" w:cs="宋体"/>
          <w:spacing w:val="15"/>
          <w:sz w:val="30"/>
          <w:szCs w:val="30"/>
        </w:rPr>
        <w:t>配合组织本行政区域的城市更新工作</w:t>
      </w:r>
      <w:r>
        <w:rPr>
          <w:rFonts w:ascii="仿宋_GB2312" w:hAnsi="微软雅黑" w:eastAsia="仿宋_GB2312" w:cs="宋体"/>
          <w:spacing w:val="15"/>
          <w:sz w:val="30"/>
          <w:szCs w:val="30"/>
        </w:rPr>
        <w:t>。</w:t>
      </w:r>
      <w:r>
        <w:rPr>
          <w:rFonts w:hint="eastAsia" w:ascii="仿宋_GB2312" w:hAnsi="微软雅黑" w:eastAsia="仿宋_GB2312" w:cs="宋体"/>
          <w:spacing w:val="15"/>
          <w:sz w:val="30"/>
          <w:szCs w:val="30"/>
        </w:rPr>
        <w:t>各功能板块、街道办事处、乡镇人民政府按照职责做好城市更新相关工作。</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专家委员会</w:t>
      </w: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rPr>
        <w:t>城市更新实行专家咨询制度，在市城市更新领导小组下设专家委员会，为城市更新活动提供全过程咨询和服务。</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公众参与</w:t>
      </w: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rPr>
        <w:t>建立健全职能部门、街道社区、物业权利人、利害相关人、责任规划师等广泛参与城市更新的工作机制，依法保障公众的知情权、参与权和监督权。</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资金来源</w:t>
      </w:r>
      <w:r>
        <w:rPr>
          <w:rFonts w:hint="eastAsia" w:ascii="仿宋_GB2312" w:hAnsi="微软雅黑" w:eastAsia="仿宋_GB2312" w:cs="宋体"/>
          <w:color w:val="333333"/>
          <w:spacing w:val="15"/>
          <w:sz w:val="30"/>
          <w:szCs w:val="30"/>
          <w:lang w:eastAsia="zh-CN"/>
        </w:rPr>
        <w:t>】</w:t>
      </w:r>
      <w:r>
        <w:rPr>
          <w:rFonts w:ascii="仿宋_GB2312" w:hAnsi="微软雅黑" w:eastAsia="仿宋_GB2312" w:cs="宋体"/>
          <w:color w:val="000000" w:themeColor="text1"/>
          <w:spacing w:val="15"/>
          <w:sz w:val="30"/>
          <w:szCs w:val="30"/>
          <w14:textFill>
            <w14:solidFill>
              <w14:schemeClr w14:val="tx1"/>
            </w14:solidFill>
          </w14:textFill>
        </w:rPr>
        <w:t>市、区</w:t>
      </w:r>
      <w:r>
        <w:rPr>
          <w:rFonts w:hint="eastAsia" w:ascii="仿宋_GB2312" w:hAnsi="微软雅黑" w:eastAsia="仿宋_GB2312" w:cs="宋体"/>
          <w:color w:val="000000" w:themeColor="text1"/>
          <w:spacing w:val="15"/>
          <w:sz w:val="30"/>
          <w:szCs w:val="30"/>
          <w14:textFill>
            <w14:solidFill>
              <w14:schemeClr w14:val="tx1"/>
            </w14:solidFill>
          </w14:textFill>
        </w:rPr>
        <w:t>县</w:t>
      </w:r>
      <w:r>
        <w:rPr>
          <w:rFonts w:ascii="仿宋_GB2312" w:hAnsi="微软雅黑" w:eastAsia="仿宋_GB2312" w:cs="宋体"/>
          <w:color w:val="000000" w:themeColor="text1"/>
          <w:spacing w:val="15"/>
          <w:sz w:val="30"/>
          <w:szCs w:val="30"/>
          <w14:textFill>
            <w14:solidFill>
              <w14:schemeClr w14:val="tx1"/>
            </w14:solidFill>
          </w14:textFill>
        </w:rPr>
        <w:t>负责</w:t>
      </w:r>
      <w:r>
        <w:rPr>
          <w:rFonts w:ascii="仿宋_GB2312" w:hAnsi="微软雅黑" w:eastAsia="仿宋_GB2312" w:cs="宋体"/>
          <w:color w:val="333333"/>
          <w:spacing w:val="15"/>
          <w:sz w:val="30"/>
          <w:szCs w:val="30"/>
        </w:rPr>
        <w:t>城市更新工作的部门应当将城市更新工作经费纳入部门预算管理，市、区</w:t>
      </w:r>
      <w:r>
        <w:rPr>
          <w:rFonts w:hint="eastAsia" w:ascii="仿宋_GB2312" w:hAnsi="微软雅黑" w:eastAsia="仿宋_GB2312" w:cs="宋体"/>
          <w:color w:val="333333"/>
          <w:spacing w:val="15"/>
          <w:sz w:val="30"/>
          <w:szCs w:val="30"/>
        </w:rPr>
        <w:t>县</w:t>
      </w:r>
      <w:r>
        <w:rPr>
          <w:rFonts w:ascii="仿宋_GB2312" w:hAnsi="微软雅黑" w:eastAsia="仿宋_GB2312" w:cs="宋体"/>
          <w:color w:val="333333"/>
          <w:spacing w:val="15"/>
          <w:sz w:val="30"/>
          <w:szCs w:val="30"/>
        </w:rPr>
        <w:t>财政部门</w:t>
      </w:r>
      <w:r>
        <w:rPr>
          <w:rFonts w:hint="eastAsia" w:ascii="仿宋_GB2312" w:hAnsi="微软雅黑" w:eastAsia="仿宋_GB2312" w:cs="宋体"/>
          <w:color w:val="333333"/>
          <w:spacing w:val="15"/>
          <w:sz w:val="30"/>
          <w:szCs w:val="30"/>
        </w:rPr>
        <w:t>多渠道筹集城市更新资金，</w:t>
      </w:r>
      <w:r>
        <w:rPr>
          <w:rFonts w:ascii="仿宋_GB2312" w:hAnsi="微软雅黑" w:eastAsia="仿宋_GB2312" w:cs="宋体"/>
          <w:color w:val="333333"/>
          <w:spacing w:val="15"/>
          <w:sz w:val="30"/>
          <w:szCs w:val="30"/>
        </w:rPr>
        <w:t>按照规定统筹保障有关资金需求。</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rPr>
        <w:t>多渠道筹集城市更新资金，具体包括：</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rPr>
        <w:t>（一）各级财政安排的城市更新资金；</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rPr>
        <w:t>（二）金融机构融资资金；</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rPr>
        <w:t>（三）参与城市更新的市场主体投入的资金；</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rPr>
        <w:t>（四）土地使用权人和房屋所有权人自筹资金；</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rPr>
        <w:t>（五）其他符合规定的资金。</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资金筹措</w:t>
      </w: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rPr>
        <w:t>市、区县</w:t>
      </w:r>
      <w:r>
        <w:rPr>
          <w:rFonts w:ascii="仿宋_GB2312" w:hAnsi="微软雅黑" w:eastAsia="仿宋_GB2312" w:cs="宋体"/>
          <w:color w:val="333333"/>
          <w:spacing w:val="15"/>
          <w:sz w:val="30"/>
          <w:szCs w:val="30"/>
        </w:rPr>
        <w:t>人民</w:t>
      </w:r>
      <w:r>
        <w:rPr>
          <w:rFonts w:hint="eastAsia" w:ascii="仿宋_GB2312" w:hAnsi="微软雅黑" w:eastAsia="仿宋_GB2312" w:cs="宋体"/>
          <w:color w:val="333333"/>
          <w:spacing w:val="15"/>
          <w:sz w:val="30"/>
          <w:szCs w:val="30"/>
        </w:rPr>
        <w:t>政府应当加强对城市更新的财政投入，加大政府专项债券对城市更新的支持；鼓励积极利用国家政策性金融和市场金融对城市更新的支持政策筹集资金，探索信贷金融新产品；合理引导居民出资参与更新改造。</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rPr>
        <w:t>充分发挥财政资金的撬动作用，整合利用城镇老旧小区改造、棚户区改造、保障性租赁住房等专项财政资金统筹用于城市更新。</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rPr>
        <w:t>积极引入市场力量，通过直接投资、间接投资、委托代建等多种方式参与城市更新。</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信息管理</w:t>
      </w: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rPr>
        <w:t>按照“一网统管”要求，加强城市更新工作的信息化管理，建立全市统一的信息系统，归集体检评估、专项规划、片区策划、项目清单、建设计划等基础数据，逐步完善城市更新数据库，为项目实施和管理提供服务保障。</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jc w:val="both"/>
        <w:textAlignment w:val="auto"/>
        <w:rPr>
          <w:rFonts w:hint="eastAsia" w:ascii="仿宋_GB2312" w:hAnsi="微软雅黑" w:eastAsia="仿宋_GB2312" w:cs="宋体"/>
          <w:color w:val="333333"/>
          <w:spacing w:val="15"/>
          <w:sz w:val="30"/>
          <w:szCs w:val="30"/>
        </w:rPr>
      </w:pPr>
    </w:p>
    <w:p>
      <w:pPr>
        <w:pStyle w:val="2"/>
        <w:keepNext w:val="0"/>
        <w:keepLines w:val="0"/>
        <w:pageBreakBefore w:val="0"/>
        <w:numPr>
          <w:ilvl w:val="0"/>
          <w:numId w:val="0"/>
        </w:numPr>
        <w:kinsoku/>
        <w:wordWrap/>
        <w:overflowPunct/>
        <w:topLinePunct w:val="0"/>
        <w:autoSpaceDE/>
        <w:autoSpaceDN/>
        <w:bidi w:val="0"/>
        <w:adjustRightInd w:val="0"/>
        <w:snapToGrid w:val="0"/>
        <w:spacing w:before="0" w:beforeLines="0" w:line="520" w:lineRule="exact"/>
        <w:ind w:left="0"/>
        <w:jc w:val="center"/>
        <w:textAlignment w:val="auto"/>
        <w:rPr>
          <w:rFonts w:hint="eastAsia"/>
        </w:rPr>
      </w:pPr>
      <w:bookmarkStart w:id="14" w:name="_Toc145144553"/>
      <w:bookmarkStart w:id="15" w:name="_Toc146272464"/>
      <w:bookmarkStart w:id="16" w:name="_Toc145278101"/>
      <w:bookmarkStart w:id="17" w:name="_Toc145320659"/>
      <w:bookmarkStart w:id="18" w:name="_Toc145340880"/>
      <w:bookmarkStart w:id="19" w:name="_Toc145347561"/>
      <w:bookmarkStart w:id="20" w:name="_Toc145340791"/>
      <w:bookmarkStart w:id="21" w:name="_Toc145344339"/>
      <w:bookmarkStart w:id="22" w:name="_Toc145340696"/>
      <w:bookmarkStart w:id="23" w:name="_Toc145346973"/>
      <w:bookmarkStart w:id="24" w:name="_Toc1415"/>
      <w:r>
        <w:rPr>
          <w:rFonts w:hint="eastAsia"/>
        </w:rPr>
        <w:t>第二章 规划</w:t>
      </w:r>
      <w:bookmarkEnd w:id="14"/>
      <w:bookmarkEnd w:id="15"/>
      <w:bookmarkEnd w:id="16"/>
      <w:bookmarkEnd w:id="17"/>
      <w:bookmarkEnd w:id="18"/>
      <w:bookmarkEnd w:id="19"/>
      <w:bookmarkEnd w:id="20"/>
      <w:bookmarkEnd w:id="21"/>
      <w:bookmarkEnd w:id="22"/>
      <w:bookmarkEnd w:id="23"/>
      <w:r>
        <w:rPr>
          <w:rFonts w:hint="eastAsia"/>
        </w:rPr>
        <w:t>计划</w:t>
      </w:r>
      <w:bookmarkEnd w:id="24"/>
    </w:p>
    <w:p>
      <w:pPr>
        <w:rPr>
          <w:rFonts w:hint="eastAsia"/>
        </w:rPr>
      </w:pP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规划理念</w:t>
      </w:r>
      <w:r>
        <w:rPr>
          <w:rFonts w:hint="eastAsia" w:ascii="仿宋_GB2312" w:hAnsi="微软雅黑" w:eastAsia="仿宋_GB2312" w:cs="宋体"/>
          <w:color w:val="333333"/>
          <w:spacing w:val="15"/>
          <w:sz w:val="30"/>
          <w:szCs w:val="30"/>
          <w:lang w:eastAsia="zh-CN"/>
        </w:rPr>
        <w:t>】</w:t>
      </w:r>
      <w:r>
        <w:rPr>
          <w:rFonts w:ascii="仿宋_GB2312" w:hAnsi="微软雅黑" w:eastAsia="仿宋_GB2312" w:cs="宋体"/>
          <w:color w:val="333333"/>
          <w:spacing w:val="15"/>
          <w:sz w:val="30"/>
          <w:szCs w:val="30"/>
        </w:rPr>
        <w:t>城市更新</w:t>
      </w:r>
      <w:r>
        <w:rPr>
          <w:rFonts w:hint="eastAsia" w:ascii="仿宋_GB2312" w:hAnsi="微软雅黑" w:eastAsia="仿宋_GB2312" w:cs="宋体"/>
          <w:color w:val="333333"/>
          <w:spacing w:val="15"/>
          <w:sz w:val="30"/>
          <w:szCs w:val="30"/>
        </w:rPr>
        <w:t>是以城市生命体理念为基本理念，系统性、全周期推动城市建设的统筹新区建设与老城改造、功能提升与民生改善、历史文化保护与特色风貌塑造，科学</w:t>
      </w:r>
      <w:r>
        <w:rPr>
          <w:rFonts w:ascii="仿宋_GB2312" w:hAnsi="微软雅黑" w:eastAsia="仿宋_GB2312" w:cs="宋体"/>
          <w:color w:val="333333"/>
          <w:spacing w:val="15"/>
          <w:sz w:val="30"/>
          <w:szCs w:val="30"/>
        </w:rPr>
        <w:t>配置</w:t>
      </w:r>
      <w:r>
        <w:rPr>
          <w:rFonts w:hint="eastAsia" w:ascii="仿宋_GB2312" w:hAnsi="微软雅黑" w:eastAsia="仿宋_GB2312" w:cs="宋体"/>
          <w:color w:val="333333"/>
          <w:spacing w:val="15"/>
          <w:sz w:val="30"/>
          <w:szCs w:val="30"/>
        </w:rPr>
        <w:t>城市</w:t>
      </w:r>
      <w:r>
        <w:rPr>
          <w:rFonts w:ascii="仿宋_GB2312" w:hAnsi="微软雅黑" w:eastAsia="仿宋_GB2312" w:cs="宋体"/>
          <w:color w:val="333333"/>
          <w:spacing w:val="15"/>
          <w:sz w:val="30"/>
          <w:szCs w:val="30"/>
        </w:rPr>
        <w:t>空间资源</w:t>
      </w:r>
      <w:r>
        <w:rPr>
          <w:rFonts w:hint="eastAsia" w:ascii="仿宋_GB2312" w:hAnsi="微软雅黑" w:eastAsia="仿宋_GB2312" w:cs="宋体"/>
          <w:color w:val="333333"/>
          <w:spacing w:val="15"/>
          <w:sz w:val="30"/>
          <w:szCs w:val="30"/>
        </w:rPr>
        <w:t>的城市建设活动。</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城市体检</w:t>
      </w: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rPr>
        <w:t>建立城市体检机制，将城市体检作为城市更新的前提。城市</w:t>
      </w:r>
      <w:r>
        <w:rPr>
          <w:rFonts w:ascii="仿宋_GB2312" w:hAnsi="微软雅黑" w:eastAsia="仿宋_GB2312" w:cs="宋体"/>
          <w:color w:val="333333"/>
          <w:spacing w:val="15"/>
          <w:sz w:val="30"/>
          <w:szCs w:val="30"/>
        </w:rPr>
        <w:t>体检工作</w:t>
      </w:r>
      <w:r>
        <w:rPr>
          <w:rFonts w:hint="eastAsia" w:ascii="仿宋_GB2312" w:hAnsi="微软雅黑" w:eastAsia="仿宋_GB2312" w:cs="宋体"/>
          <w:color w:val="333333"/>
          <w:spacing w:val="15"/>
          <w:sz w:val="30"/>
          <w:szCs w:val="30"/>
        </w:rPr>
        <w:t>由市政府主导，住房城乡建设部门牵头组织，各相关部</w:t>
      </w:r>
      <w:r>
        <w:rPr>
          <w:rFonts w:hint="eastAsia" w:ascii="仿宋_GB2312" w:hAnsi="微软雅黑" w:eastAsia="仿宋_GB2312" w:cs="宋体"/>
          <w:spacing w:val="15"/>
          <w:sz w:val="30"/>
          <w:szCs w:val="30"/>
        </w:rPr>
        <w:t>门、区县、街</w:t>
      </w:r>
      <w:r>
        <w:rPr>
          <w:rFonts w:hint="eastAsia" w:ascii="仿宋_GB2312" w:hAnsi="微软雅黑" w:eastAsia="仿宋_GB2312" w:cs="宋体"/>
          <w:color w:val="333333"/>
          <w:spacing w:val="15"/>
          <w:sz w:val="30"/>
          <w:szCs w:val="30"/>
        </w:rPr>
        <w:t>道、社区共同参与。</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城市更新专项规划</w:t>
      </w:r>
      <w:r>
        <w:rPr>
          <w:rFonts w:hint="eastAsia" w:ascii="仿宋_GB2312" w:hAnsi="微软雅黑" w:eastAsia="仿宋_GB2312" w:cs="宋体"/>
          <w:color w:val="333333"/>
          <w:spacing w:val="15"/>
          <w:sz w:val="30"/>
          <w:szCs w:val="30"/>
          <w:lang w:eastAsia="zh-CN"/>
        </w:rPr>
        <w:t>】</w:t>
      </w:r>
      <w:r>
        <w:rPr>
          <w:rFonts w:ascii="仿宋_GB2312" w:hAnsi="微软雅黑" w:eastAsia="仿宋_GB2312" w:cs="宋体"/>
          <w:spacing w:val="15"/>
          <w:sz w:val="30"/>
          <w:szCs w:val="30"/>
        </w:rPr>
        <w:t>市住房城乡建设</w:t>
      </w:r>
      <w:r>
        <w:rPr>
          <w:rFonts w:hint="eastAsia" w:ascii="仿宋_GB2312" w:hAnsi="微软雅黑" w:eastAsia="仿宋_GB2312" w:cs="宋体"/>
          <w:spacing w:val="15"/>
          <w:sz w:val="30"/>
          <w:szCs w:val="30"/>
        </w:rPr>
        <w:t>部门</w:t>
      </w:r>
      <w:r>
        <w:rPr>
          <w:rFonts w:ascii="仿宋_GB2312" w:hAnsi="微软雅黑" w:eastAsia="仿宋_GB2312" w:cs="宋体"/>
          <w:spacing w:val="15"/>
          <w:sz w:val="30"/>
          <w:szCs w:val="30"/>
        </w:rPr>
        <w:t>会同有关部门，</w:t>
      </w:r>
      <w:r>
        <w:rPr>
          <w:rFonts w:hint="eastAsia" w:ascii="仿宋_GB2312" w:hAnsi="微软雅黑" w:eastAsia="仿宋_GB2312" w:cs="宋体"/>
          <w:spacing w:val="15"/>
          <w:sz w:val="30"/>
          <w:szCs w:val="30"/>
        </w:rPr>
        <w:t>依据城市体检结果，编制城市更新专项规划。城市更新专项规划是指导本市行政区域内城市更新工作的总体安排，具体包括提出更新目标、划分</w:t>
      </w:r>
      <w:r>
        <w:rPr>
          <w:rFonts w:ascii="仿宋_GB2312" w:hAnsi="微软雅黑" w:eastAsia="仿宋_GB2312" w:cs="宋体"/>
          <w:spacing w:val="15"/>
          <w:sz w:val="30"/>
          <w:szCs w:val="30"/>
        </w:rPr>
        <w:t>城市更新片区</w:t>
      </w:r>
      <w:r>
        <w:rPr>
          <w:rFonts w:hint="eastAsia" w:ascii="仿宋_GB2312" w:hAnsi="微软雅黑" w:eastAsia="仿宋_GB2312" w:cs="宋体"/>
          <w:spacing w:val="15"/>
          <w:sz w:val="30"/>
          <w:szCs w:val="30"/>
        </w:rPr>
        <w:t>、划定城市更新单元，划定重点更新区域、建立项目库，明确项目实施计划等内容。城市</w:t>
      </w:r>
      <w:r>
        <w:rPr>
          <w:rFonts w:ascii="仿宋_GB2312" w:hAnsi="微软雅黑" w:eastAsia="仿宋_GB2312" w:cs="宋体"/>
          <w:spacing w:val="15"/>
          <w:sz w:val="30"/>
          <w:szCs w:val="30"/>
        </w:rPr>
        <w:t>更新专项规划报市人民政府批准。</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spacing w:val="15"/>
          <w:sz w:val="30"/>
          <w:szCs w:val="30"/>
        </w:rPr>
      </w:pPr>
      <w:r>
        <w:rPr>
          <w:rFonts w:hint="eastAsia" w:ascii="仿宋_GB2312" w:hAnsi="微软雅黑" w:eastAsia="仿宋_GB2312" w:cs="宋体"/>
          <w:spacing w:val="15"/>
          <w:sz w:val="30"/>
          <w:szCs w:val="30"/>
        </w:rPr>
        <w:t>在</w:t>
      </w:r>
      <w:r>
        <w:rPr>
          <w:rFonts w:ascii="仿宋_GB2312" w:hAnsi="微软雅黑" w:eastAsia="仿宋_GB2312" w:cs="宋体"/>
          <w:spacing w:val="15"/>
          <w:sz w:val="30"/>
          <w:szCs w:val="30"/>
        </w:rPr>
        <w:t>城市更新专项规划</w:t>
      </w:r>
      <w:r>
        <w:rPr>
          <w:rFonts w:hint="eastAsia" w:ascii="仿宋_GB2312" w:hAnsi="微软雅黑" w:eastAsia="仿宋_GB2312" w:cs="宋体"/>
          <w:spacing w:val="15"/>
          <w:sz w:val="30"/>
          <w:szCs w:val="30"/>
        </w:rPr>
        <w:t>基础上</w:t>
      </w:r>
      <w:r>
        <w:rPr>
          <w:rFonts w:ascii="仿宋_GB2312" w:hAnsi="微软雅黑" w:eastAsia="仿宋_GB2312" w:cs="宋体"/>
          <w:spacing w:val="15"/>
          <w:sz w:val="30"/>
          <w:szCs w:val="30"/>
        </w:rPr>
        <w:t>，可根据实际需要开展</w:t>
      </w:r>
      <w:r>
        <w:rPr>
          <w:rFonts w:hint="eastAsia" w:ascii="仿宋_GB2312" w:hAnsi="微软雅黑" w:eastAsia="仿宋_GB2312" w:cs="宋体"/>
          <w:spacing w:val="15"/>
          <w:sz w:val="30"/>
          <w:szCs w:val="30"/>
        </w:rPr>
        <w:t>公共服务、</w:t>
      </w:r>
      <w:r>
        <w:rPr>
          <w:rFonts w:ascii="仿宋_GB2312" w:hAnsi="微软雅黑" w:eastAsia="仿宋_GB2312" w:cs="宋体"/>
          <w:spacing w:val="15"/>
          <w:sz w:val="30"/>
          <w:szCs w:val="30"/>
        </w:rPr>
        <w:t>市政</w:t>
      </w:r>
      <w:r>
        <w:rPr>
          <w:rFonts w:hint="eastAsia" w:ascii="仿宋_GB2312" w:hAnsi="微软雅黑" w:eastAsia="仿宋_GB2312" w:cs="宋体"/>
          <w:spacing w:val="15"/>
          <w:sz w:val="30"/>
          <w:szCs w:val="30"/>
        </w:rPr>
        <w:t>设施</w:t>
      </w:r>
      <w:r>
        <w:rPr>
          <w:rFonts w:ascii="仿宋_GB2312" w:hAnsi="微软雅黑" w:eastAsia="仿宋_GB2312" w:cs="宋体"/>
          <w:spacing w:val="15"/>
          <w:sz w:val="30"/>
          <w:szCs w:val="30"/>
        </w:rPr>
        <w:t>、</w:t>
      </w:r>
      <w:r>
        <w:rPr>
          <w:rFonts w:hint="eastAsia" w:ascii="仿宋_GB2312" w:hAnsi="微软雅黑" w:eastAsia="仿宋_GB2312" w:cs="宋体"/>
          <w:spacing w:val="15"/>
          <w:sz w:val="30"/>
          <w:szCs w:val="30"/>
        </w:rPr>
        <w:t>道路</w:t>
      </w:r>
      <w:r>
        <w:rPr>
          <w:rFonts w:ascii="仿宋_GB2312" w:hAnsi="微软雅黑" w:eastAsia="仿宋_GB2312" w:cs="宋体"/>
          <w:spacing w:val="15"/>
          <w:sz w:val="30"/>
          <w:szCs w:val="30"/>
        </w:rPr>
        <w:t>交通、</w:t>
      </w:r>
      <w:r>
        <w:rPr>
          <w:rFonts w:hint="eastAsia" w:ascii="仿宋_GB2312" w:hAnsi="微软雅黑" w:eastAsia="仿宋_GB2312" w:cs="宋体"/>
          <w:spacing w:val="15"/>
          <w:sz w:val="30"/>
          <w:szCs w:val="30"/>
        </w:rPr>
        <w:t>城市</w:t>
      </w:r>
      <w:r>
        <w:rPr>
          <w:rFonts w:ascii="仿宋_GB2312" w:hAnsi="微软雅黑" w:eastAsia="仿宋_GB2312" w:cs="宋体"/>
          <w:spacing w:val="15"/>
          <w:sz w:val="30"/>
          <w:szCs w:val="30"/>
        </w:rPr>
        <w:t>风貌、</w:t>
      </w:r>
      <w:r>
        <w:rPr>
          <w:rFonts w:hint="eastAsia" w:ascii="仿宋_GB2312" w:hAnsi="微软雅黑" w:eastAsia="仿宋_GB2312" w:cs="宋体"/>
          <w:spacing w:val="15"/>
          <w:sz w:val="30"/>
          <w:szCs w:val="30"/>
        </w:rPr>
        <w:t>蓝绿空间、</w:t>
      </w:r>
      <w:r>
        <w:rPr>
          <w:rFonts w:ascii="仿宋_GB2312" w:hAnsi="微软雅黑" w:eastAsia="仿宋_GB2312" w:cs="宋体"/>
          <w:spacing w:val="15"/>
          <w:sz w:val="30"/>
          <w:szCs w:val="30"/>
        </w:rPr>
        <w:t>历史文化</w:t>
      </w:r>
      <w:r>
        <w:rPr>
          <w:rFonts w:hint="eastAsia" w:ascii="仿宋_GB2312" w:hAnsi="微软雅黑" w:eastAsia="仿宋_GB2312" w:cs="宋体"/>
          <w:spacing w:val="15"/>
          <w:sz w:val="30"/>
          <w:szCs w:val="30"/>
        </w:rPr>
        <w:t>保护</w:t>
      </w:r>
      <w:r>
        <w:rPr>
          <w:rFonts w:ascii="仿宋_GB2312" w:hAnsi="微软雅黑" w:eastAsia="仿宋_GB2312" w:cs="宋体"/>
          <w:spacing w:val="15"/>
          <w:sz w:val="30"/>
          <w:szCs w:val="30"/>
        </w:rPr>
        <w:t>等</w:t>
      </w:r>
      <w:r>
        <w:rPr>
          <w:rFonts w:hint="eastAsia" w:ascii="仿宋_GB2312" w:hAnsi="微软雅黑" w:eastAsia="仿宋_GB2312" w:cs="宋体"/>
          <w:spacing w:val="15"/>
          <w:sz w:val="30"/>
          <w:szCs w:val="30"/>
        </w:rPr>
        <w:t>专项规划</w:t>
      </w:r>
      <w:r>
        <w:rPr>
          <w:rFonts w:ascii="仿宋_GB2312" w:hAnsi="微软雅黑" w:eastAsia="仿宋_GB2312" w:cs="宋体"/>
          <w:spacing w:val="15"/>
          <w:sz w:val="30"/>
          <w:szCs w:val="30"/>
        </w:rPr>
        <w:t>。</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规划衔接</w:t>
      </w:r>
      <w:r>
        <w:rPr>
          <w:rFonts w:hint="eastAsia" w:ascii="仿宋_GB2312" w:hAnsi="微软雅黑" w:eastAsia="仿宋_GB2312" w:cs="宋体"/>
          <w:color w:val="333333"/>
          <w:spacing w:val="15"/>
          <w:sz w:val="30"/>
          <w:szCs w:val="30"/>
          <w:lang w:eastAsia="zh-CN"/>
        </w:rPr>
        <w:t>】</w:t>
      </w:r>
      <w:r>
        <w:rPr>
          <w:rFonts w:ascii="仿宋_GB2312" w:hAnsi="微软雅黑" w:eastAsia="仿宋_GB2312" w:cs="宋体"/>
          <w:spacing w:val="15"/>
          <w:sz w:val="30"/>
          <w:szCs w:val="30"/>
        </w:rPr>
        <w:t>城市更新专项规划应当以国土空间总体规划为</w:t>
      </w:r>
      <w:r>
        <w:rPr>
          <w:rFonts w:hint="eastAsia" w:ascii="仿宋_GB2312" w:hAnsi="微软雅黑" w:eastAsia="仿宋_GB2312" w:cs="宋体"/>
          <w:spacing w:val="15"/>
          <w:sz w:val="30"/>
          <w:szCs w:val="30"/>
        </w:rPr>
        <w:t>依据</w:t>
      </w:r>
      <w:r>
        <w:rPr>
          <w:rFonts w:ascii="仿宋_GB2312" w:hAnsi="微软雅黑" w:eastAsia="仿宋_GB2312" w:cs="宋体"/>
          <w:spacing w:val="15"/>
          <w:sz w:val="30"/>
          <w:szCs w:val="30"/>
        </w:rPr>
        <w:t>，</w:t>
      </w:r>
      <w:r>
        <w:rPr>
          <w:rFonts w:hint="eastAsia" w:ascii="仿宋_GB2312" w:hAnsi="微软雅黑" w:eastAsia="仿宋_GB2312" w:cs="宋体"/>
          <w:spacing w:val="15"/>
          <w:sz w:val="30"/>
          <w:szCs w:val="30"/>
        </w:rPr>
        <w:t>并与详细规划做好衔接，将城市更新专项规划的成果纳入控制性详细规划和国土空间一张图管理。</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FF0000"/>
          <w:spacing w:val="15"/>
          <w:sz w:val="30"/>
          <w:szCs w:val="30"/>
        </w:rPr>
      </w:pPr>
      <w:r>
        <w:rPr>
          <w:rFonts w:ascii="仿宋_GB2312" w:hAnsi="微软雅黑" w:eastAsia="仿宋_GB2312" w:cs="宋体"/>
          <w:spacing w:val="15"/>
          <w:sz w:val="30"/>
          <w:szCs w:val="30"/>
        </w:rPr>
        <w:t>城市更新涉及历史城区、历史文化街区、历史文化名村、历史风貌区、文物古迹、古树名木、历史建筑、传统风貌建筑和预先保护对象等历史文化遗产的，应当按照已批准的保护规划和相关法律、法规等对保护保留对象进行保护利用，并依法办理审批手续。</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FF0000"/>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规划评估</w:t>
      </w:r>
      <w:r>
        <w:rPr>
          <w:rFonts w:hint="eastAsia" w:ascii="仿宋_GB2312" w:hAnsi="微软雅黑" w:eastAsia="仿宋_GB2312" w:cs="宋体"/>
          <w:color w:val="333333"/>
          <w:spacing w:val="15"/>
          <w:sz w:val="30"/>
          <w:szCs w:val="30"/>
          <w:lang w:eastAsia="zh-CN"/>
        </w:rPr>
        <w:t>】</w:t>
      </w:r>
      <w:r>
        <w:rPr>
          <w:rFonts w:ascii="仿宋_GB2312" w:hAnsi="微软雅黑" w:eastAsia="仿宋_GB2312" w:cs="宋体"/>
          <w:spacing w:val="15"/>
          <w:sz w:val="30"/>
          <w:szCs w:val="30"/>
        </w:rPr>
        <w:t>市</w:t>
      </w:r>
      <w:r>
        <w:rPr>
          <w:rFonts w:hint="eastAsia" w:ascii="仿宋_GB2312" w:hAnsi="微软雅黑" w:eastAsia="仿宋_GB2312" w:cs="宋体"/>
          <w:spacing w:val="15"/>
          <w:sz w:val="30"/>
          <w:szCs w:val="30"/>
        </w:rPr>
        <w:t>住建局</w:t>
      </w:r>
      <w:r>
        <w:rPr>
          <w:rFonts w:ascii="仿宋_GB2312" w:hAnsi="微软雅黑" w:eastAsia="仿宋_GB2312" w:cs="宋体"/>
          <w:spacing w:val="15"/>
          <w:sz w:val="30"/>
          <w:szCs w:val="30"/>
        </w:rPr>
        <w:t>应当定期组织有关部门和专家对城市更新</w:t>
      </w:r>
      <w:r>
        <w:rPr>
          <w:rFonts w:hint="eastAsia" w:ascii="仿宋_GB2312" w:hAnsi="微软雅黑" w:eastAsia="仿宋_GB2312" w:cs="宋体"/>
          <w:spacing w:val="15"/>
          <w:sz w:val="30"/>
          <w:szCs w:val="30"/>
        </w:rPr>
        <w:t>专项规划</w:t>
      </w:r>
      <w:r>
        <w:rPr>
          <w:rFonts w:ascii="仿宋_GB2312" w:hAnsi="微软雅黑" w:eastAsia="仿宋_GB2312" w:cs="宋体"/>
          <w:spacing w:val="15"/>
          <w:sz w:val="30"/>
          <w:szCs w:val="30"/>
        </w:rPr>
        <w:t>实施情况进行评估，并根据评估情况和城市更新需求对规划进行动态调整。</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jc w:val="both"/>
        <w:textAlignment w:val="auto"/>
        <w:rPr>
          <w:rFonts w:hint="eastAsia" w:ascii="仿宋_GB2312" w:hAnsi="微软雅黑" w:eastAsia="仿宋_GB2312" w:cs="宋体"/>
          <w:color w:val="FF0000"/>
          <w:spacing w:val="15"/>
          <w:sz w:val="30"/>
          <w:szCs w:val="30"/>
        </w:rPr>
      </w:pPr>
    </w:p>
    <w:p>
      <w:pPr>
        <w:pStyle w:val="2"/>
        <w:keepNext w:val="0"/>
        <w:keepLines w:val="0"/>
        <w:pageBreakBefore w:val="0"/>
        <w:numPr>
          <w:ilvl w:val="0"/>
          <w:numId w:val="0"/>
        </w:numPr>
        <w:kinsoku/>
        <w:wordWrap/>
        <w:overflowPunct/>
        <w:topLinePunct w:val="0"/>
        <w:autoSpaceDE/>
        <w:autoSpaceDN/>
        <w:bidi w:val="0"/>
        <w:adjustRightInd w:val="0"/>
        <w:snapToGrid w:val="0"/>
        <w:spacing w:before="0" w:beforeLines="0" w:line="520" w:lineRule="exact"/>
        <w:ind w:left="0"/>
        <w:jc w:val="center"/>
        <w:textAlignment w:val="auto"/>
        <w:rPr>
          <w:rFonts w:hint="eastAsia"/>
        </w:rPr>
      </w:pPr>
      <w:bookmarkStart w:id="25" w:name="_Toc145344340"/>
      <w:bookmarkStart w:id="26" w:name="_Toc145144554"/>
      <w:bookmarkStart w:id="27" w:name="_Toc145278102"/>
      <w:bookmarkStart w:id="28" w:name="_Toc146272465"/>
      <w:bookmarkStart w:id="29" w:name="_Toc145346974"/>
      <w:bookmarkStart w:id="30" w:name="_Toc145340697"/>
      <w:bookmarkStart w:id="31" w:name="_Toc145320660"/>
      <w:bookmarkStart w:id="32" w:name="_Toc145340792"/>
      <w:bookmarkStart w:id="33" w:name="_Toc145340881"/>
      <w:bookmarkStart w:id="34" w:name="_Toc145347562"/>
      <w:bookmarkStart w:id="35" w:name="_Toc7394"/>
      <w:r>
        <w:rPr>
          <w:rFonts w:hint="eastAsia"/>
        </w:rPr>
        <w:t>第三章 项目实施</w:t>
      </w:r>
      <w:bookmarkEnd w:id="25"/>
      <w:bookmarkEnd w:id="26"/>
      <w:bookmarkEnd w:id="27"/>
      <w:bookmarkEnd w:id="28"/>
      <w:bookmarkEnd w:id="29"/>
      <w:bookmarkEnd w:id="30"/>
      <w:bookmarkEnd w:id="31"/>
      <w:bookmarkEnd w:id="32"/>
      <w:bookmarkEnd w:id="33"/>
      <w:bookmarkEnd w:id="34"/>
      <w:bookmarkEnd w:id="35"/>
    </w:p>
    <w:p>
      <w:pPr>
        <w:rPr>
          <w:rFonts w:hint="eastAsia"/>
        </w:rPr>
      </w:pP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FF0000"/>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城市更新项目库</w:t>
      </w: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spacing w:val="15"/>
          <w:sz w:val="30"/>
          <w:szCs w:val="30"/>
        </w:rPr>
        <w:t>建立市级统一的城市更新项目库，对全市城市更新项目进行统筹管理。由</w:t>
      </w:r>
      <w:r>
        <w:rPr>
          <w:rFonts w:ascii="仿宋_GB2312" w:hAnsi="微软雅黑" w:eastAsia="仿宋_GB2312"/>
          <w:color w:val="333333"/>
          <w:spacing w:val="15"/>
          <w:sz w:val="30"/>
          <w:szCs w:val="30"/>
        </w:rPr>
        <w:t>市住房城乡建设部门</w:t>
      </w:r>
      <w:r>
        <w:rPr>
          <w:rFonts w:hint="eastAsia" w:ascii="仿宋_GB2312" w:hAnsi="微软雅黑" w:eastAsia="仿宋_GB2312"/>
          <w:color w:val="333333"/>
          <w:spacing w:val="15"/>
          <w:sz w:val="30"/>
          <w:szCs w:val="30"/>
        </w:rPr>
        <w:t>牵头，会同有关部门，建立中央、自治区等上级支持项目、城市更新规划生成项目、市场招商项目、群众诉求项目等项目生成机制，</w:t>
      </w:r>
      <w:r>
        <w:rPr>
          <w:rFonts w:ascii="仿宋_GB2312" w:hAnsi="微软雅黑" w:eastAsia="仿宋_GB2312"/>
          <w:color w:val="333333"/>
          <w:spacing w:val="15"/>
          <w:sz w:val="30"/>
          <w:szCs w:val="30"/>
        </w:rPr>
        <w:t>并</w:t>
      </w:r>
      <w:r>
        <w:rPr>
          <w:rFonts w:hint="eastAsia" w:ascii="仿宋_GB2312" w:hAnsi="微软雅黑" w:eastAsia="仿宋_GB2312"/>
          <w:color w:val="333333"/>
          <w:spacing w:val="15"/>
          <w:sz w:val="30"/>
          <w:szCs w:val="30"/>
        </w:rPr>
        <w:t>实行城市更新项目常态申报和动态调整机制。</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年度计划</w:t>
      </w:r>
      <w:r>
        <w:rPr>
          <w:rFonts w:hint="eastAsia" w:ascii="仿宋_GB2312" w:hAnsi="微软雅黑" w:eastAsia="仿宋_GB2312" w:cs="宋体"/>
          <w:color w:val="333333"/>
          <w:spacing w:val="15"/>
          <w:sz w:val="30"/>
          <w:szCs w:val="30"/>
          <w:lang w:eastAsia="zh-CN"/>
        </w:rPr>
        <w:t>】</w:t>
      </w:r>
      <w:r>
        <w:rPr>
          <w:rFonts w:ascii="仿宋_GB2312" w:hAnsi="微软雅黑" w:eastAsia="仿宋_GB2312" w:cs="宋体"/>
          <w:color w:val="333333"/>
          <w:spacing w:val="15"/>
          <w:sz w:val="30"/>
          <w:szCs w:val="30"/>
        </w:rPr>
        <w:t>市住房城乡建设部门负责组织编制城市更新项目</w:t>
      </w:r>
      <w:r>
        <w:rPr>
          <w:rFonts w:hint="eastAsia" w:ascii="仿宋_GB2312" w:hAnsi="微软雅黑" w:eastAsia="仿宋_GB2312" w:cs="宋体"/>
          <w:color w:val="333333"/>
          <w:spacing w:val="15"/>
          <w:sz w:val="30"/>
          <w:szCs w:val="30"/>
        </w:rPr>
        <w:t>计划</w:t>
      </w:r>
      <w:r>
        <w:rPr>
          <w:rFonts w:ascii="仿宋_GB2312" w:hAnsi="微软雅黑" w:eastAsia="仿宋_GB2312" w:cs="宋体"/>
          <w:color w:val="333333"/>
          <w:spacing w:val="15"/>
          <w:sz w:val="30"/>
          <w:szCs w:val="30"/>
        </w:rPr>
        <w:t>。</w:t>
      </w:r>
      <w:r>
        <w:rPr>
          <w:rFonts w:hint="eastAsia" w:ascii="仿宋_GB2312" w:hAnsi="微软雅黑" w:eastAsia="仿宋_GB2312" w:cs="宋体"/>
          <w:color w:val="333333"/>
          <w:spacing w:val="15"/>
          <w:sz w:val="30"/>
          <w:szCs w:val="30"/>
        </w:rPr>
        <w:t>具备实施条件的项目，应当及时纳入城市更新计划。制定</w:t>
      </w:r>
      <w:r>
        <w:rPr>
          <w:rFonts w:ascii="仿宋_GB2312" w:hAnsi="微软雅黑" w:eastAsia="仿宋_GB2312" w:cs="宋体"/>
          <w:color w:val="333333"/>
          <w:spacing w:val="15"/>
          <w:sz w:val="30"/>
          <w:szCs w:val="30"/>
        </w:rPr>
        <w:t>年度计划，应当优先考虑居住环境差、市政基础设施和公共服务设施薄弱、存在重大安全隐患、历史风貌整体提升需求强烈以及现有土地用途、建筑物使用功能、产业结构不适应经济社会发展等区域。</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实施主体</w:t>
      </w: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rPr>
        <w:t>根据城市更新项目类型和管理权限，</w:t>
      </w:r>
      <w:r>
        <w:rPr>
          <w:rFonts w:hint="eastAsia" w:ascii="仿宋_GB2312" w:hAnsi="微软雅黑" w:eastAsia="仿宋_GB2312" w:cs="宋体"/>
          <w:color w:val="333333"/>
          <w:spacing w:val="15"/>
          <w:sz w:val="30"/>
          <w:szCs w:val="30"/>
          <w:lang w:val="en-US" w:eastAsia="zh-CN"/>
        </w:rPr>
        <w:t>市人民政府</w:t>
      </w:r>
      <w:r>
        <w:rPr>
          <w:rFonts w:hint="eastAsia" w:ascii="仿宋_GB2312" w:hAnsi="微软雅黑" w:eastAsia="仿宋_GB2312" w:cs="宋体"/>
          <w:color w:val="333333"/>
          <w:spacing w:val="15"/>
          <w:sz w:val="30"/>
          <w:szCs w:val="30"/>
        </w:rPr>
        <w:t>按照公开、公平、公正的原则</w:t>
      </w:r>
      <w:r>
        <w:rPr>
          <w:rFonts w:ascii="仿宋_GB2312" w:hAnsi="微软雅黑" w:eastAsia="仿宋_GB2312" w:cs="宋体"/>
          <w:color w:val="333333"/>
          <w:spacing w:val="15"/>
          <w:sz w:val="30"/>
          <w:szCs w:val="30"/>
        </w:rPr>
        <w:t>，确定与区域范围内城市更新活动相适应的</w:t>
      </w:r>
      <w:r>
        <w:rPr>
          <w:rFonts w:hint="eastAsia" w:ascii="仿宋_GB2312" w:hAnsi="微软雅黑" w:eastAsia="仿宋_GB2312" w:cs="宋体"/>
          <w:color w:val="333333"/>
          <w:spacing w:val="15"/>
          <w:sz w:val="30"/>
          <w:szCs w:val="30"/>
        </w:rPr>
        <w:t>实施主体</w:t>
      </w:r>
      <w:r>
        <w:rPr>
          <w:rFonts w:hint="eastAsia" w:ascii="仿宋_GB2312" w:hAnsi="微软雅黑" w:eastAsia="仿宋_GB2312" w:cs="宋体"/>
          <w:color w:val="auto"/>
          <w:spacing w:val="15"/>
          <w:sz w:val="30"/>
          <w:szCs w:val="30"/>
          <w:lang w:eastAsia="zh-CN"/>
        </w:rPr>
        <w:t>。</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rPr>
        <w:t>实施</w:t>
      </w:r>
      <w:r>
        <w:rPr>
          <w:rFonts w:ascii="仿宋_GB2312" w:hAnsi="微软雅黑" w:eastAsia="仿宋_GB2312" w:cs="宋体"/>
          <w:color w:val="333333"/>
          <w:spacing w:val="15"/>
          <w:sz w:val="30"/>
          <w:szCs w:val="30"/>
        </w:rPr>
        <w:t>主体</w:t>
      </w:r>
      <w:r>
        <w:rPr>
          <w:rFonts w:hint="eastAsia" w:ascii="仿宋_GB2312" w:hAnsi="微软雅黑" w:eastAsia="仿宋_GB2312" w:cs="宋体"/>
          <w:color w:val="333333"/>
          <w:spacing w:val="15"/>
          <w:sz w:val="30"/>
          <w:szCs w:val="30"/>
        </w:rPr>
        <w:t>组织开展</w:t>
      </w:r>
      <w:r>
        <w:rPr>
          <w:rFonts w:ascii="仿宋_GB2312" w:hAnsi="微软雅黑" w:eastAsia="仿宋_GB2312" w:cs="宋体"/>
          <w:color w:val="333333"/>
          <w:spacing w:val="15"/>
          <w:sz w:val="30"/>
          <w:szCs w:val="30"/>
        </w:rPr>
        <w:t>更新区域内的</w:t>
      </w:r>
      <w:r>
        <w:rPr>
          <w:rFonts w:hint="eastAsia" w:ascii="仿宋_GB2312" w:hAnsi="微软雅黑" w:eastAsia="仿宋_GB2312" w:cs="宋体"/>
          <w:color w:val="333333"/>
          <w:spacing w:val="15"/>
          <w:sz w:val="30"/>
          <w:szCs w:val="30"/>
        </w:rPr>
        <w:t>城市更新活动。实施</w:t>
      </w:r>
      <w:r>
        <w:rPr>
          <w:rFonts w:ascii="仿宋_GB2312" w:hAnsi="微软雅黑" w:eastAsia="仿宋_GB2312" w:cs="宋体"/>
          <w:color w:val="333333"/>
          <w:spacing w:val="15"/>
          <w:sz w:val="30"/>
          <w:szCs w:val="30"/>
        </w:rPr>
        <w:t>主体负责推动达成区域更新意愿、整合市场资源、推进更新项目的实施</w:t>
      </w:r>
      <w:r>
        <w:rPr>
          <w:rFonts w:hint="eastAsia" w:ascii="仿宋_GB2312" w:hAnsi="微软雅黑" w:eastAsia="仿宋_GB2312" w:cs="宋体"/>
          <w:color w:val="333333"/>
          <w:spacing w:val="15"/>
          <w:sz w:val="30"/>
          <w:szCs w:val="30"/>
        </w:rPr>
        <w:t>；组织编制、上报项目实施方案；依法办理土地、规划、立项、建设等手续；通过协议腾迁、租赁、购买、置换、作价出资（入股）、公房让渡等多种方式归集产权；组织项目实施；按照更新协议约定，移交、运营、管理建筑或设施。</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综合实施方案</w:t>
      </w: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rPr>
        <w:t>项目纳入城市更新计划后，由实施主体编制项目综合实施方案。项目综合实施方案应当包括更新方式、供地方式、规划设计（含规划调整）方案、</w:t>
      </w:r>
      <w:r>
        <w:rPr>
          <w:rFonts w:hint="eastAsia" w:ascii="仿宋_GB2312" w:hAnsi="微软雅黑" w:eastAsia="仿宋_GB2312" w:cs="宋体"/>
          <w:color w:val="333333"/>
          <w:spacing w:val="15"/>
          <w:sz w:val="30"/>
          <w:szCs w:val="30"/>
          <w:lang w:val="en-US" w:eastAsia="zh-CN"/>
        </w:rPr>
        <w:t>建设计划、</w:t>
      </w:r>
      <w:r>
        <w:rPr>
          <w:rFonts w:hint="eastAsia" w:ascii="仿宋_GB2312" w:hAnsi="微软雅黑" w:eastAsia="仿宋_GB2312" w:cs="宋体"/>
          <w:color w:val="333333"/>
          <w:spacing w:val="15"/>
          <w:sz w:val="30"/>
          <w:szCs w:val="30"/>
        </w:rPr>
        <w:t>安置补偿方案</w:t>
      </w: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涉及</w:t>
      </w:r>
      <w:r>
        <w:rPr>
          <w:rFonts w:hint="eastAsia" w:ascii="仿宋_GB2312" w:hAnsi="微软雅黑" w:eastAsia="仿宋_GB2312" w:cs="宋体"/>
          <w:color w:val="333333"/>
          <w:spacing w:val="15"/>
          <w:sz w:val="30"/>
          <w:szCs w:val="30"/>
        </w:rPr>
        <w:t>安置补偿</w:t>
      </w:r>
      <w:r>
        <w:rPr>
          <w:rFonts w:hint="eastAsia" w:ascii="仿宋_GB2312" w:hAnsi="微软雅黑" w:eastAsia="仿宋_GB2312" w:cs="宋体"/>
          <w:color w:val="333333"/>
          <w:spacing w:val="15"/>
          <w:sz w:val="30"/>
          <w:szCs w:val="30"/>
          <w:lang w:val="en-US" w:eastAsia="zh-CN"/>
        </w:rPr>
        <w:t>的</w:t>
      </w: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rPr>
        <w:t>、资金筹措方式、运营管理模式、产权办理、社会稳定风险评估等内容。</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b w:val="0"/>
          <w:bCs w:val="0"/>
          <w:color w:val="auto"/>
          <w:spacing w:val="15"/>
          <w:sz w:val="30"/>
          <w:szCs w:val="30"/>
        </w:rPr>
      </w:pPr>
      <w:r>
        <w:rPr>
          <w:rFonts w:hint="eastAsia" w:ascii="仿宋_GB2312" w:hAnsi="微软雅黑" w:eastAsia="仿宋_GB2312" w:cs="宋体"/>
          <w:b w:val="0"/>
          <w:bCs w:val="0"/>
          <w:color w:val="auto"/>
          <w:spacing w:val="15"/>
          <w:sz w:val="30"/>
          <w:szCs w:val="30"/>
        </w:rPr>
        <w:t>项目综合实施方案由实施主体报市住建局审</w:t>
      </w:r>
      <w:r>
        <w:rPr>
          <w:rFonts w:hint="eastAsia" w:ascii="仿宋_GB2312" w:hAnsi="微软雅黑" w:eastAsia="仿宋_GB2312" w:cs="宋体"/>
          <w:b w:val="0"/>
          <w:bCs w:val="0"/>
          <w:color w:val="auto"/>
          <w:spacing w:val="15"/>
          <w:sz w:val="30"/>
          <w:szCs w:val="30"/>
          <w:lang w:val="en-US" w:eastAsia="zh-CN"/>
        </w:rPr>
        <w:t>核</w:t>
      </w:r>
      <w:r>
        <w:rPr>
          <w:rFonts w:hint="eastAsia" w:ascii="仿宋_GB2312" w:hAnsi="微软雅黑" w:eastAsia="仿宋_GB2312" w:cs="宋体"/>
          <w:b w:val="0"/>
          <w:bCs w:val="0"/>
          <w:color w:val="auto"/>
          <w:spacing w:val="15"/>
          <w:sz w:val="30"/>
          <w:szCs w:val="30"/>
        </w:rPr>
        <w:t>，重点项目和示范项目实施方案应报</w:t>
      </w:r>
      <w:r>
        <w:rPr>
          <w:rFonts w:hint="eastAsia" w:ascii="仿宋_GB2312" w:hAnsi="微软雅黑" w:eastAsia="仿宋_GB2312" w:cs="宋体"/>
          <w:b w:val="0"/>
          <w:bCs w:val="0"/>
          <w:color w:val="auto"/>
          <w:spacing w:val="15"/>
          <w:sz w:val="30"/>
          <w:szCs w:val="30"/>
          <w:lang w:val="en-US" w:eastAsia="zh-CN"/>
        </w:rPr>
        <w:t>市人民政府</w:t>
      </w:r>
      <w:r>
        <w:rPr>
          <w:rFonts w:hint="eastAsia" w:ascii="仿宋_GB2312" w:hAnsi="微软雅黑" w:eastAsia="仿宋_GB2312" w:cs="宋体"/>
          <w:b w:val="0"/>
          <w:bCs w:val="0"/>
          <w:color w:val="auto"/>
          <w:spacing w:val="15"/>
          <w:sz w:val="30"/>
          <w:szCs w:val="30"/>
        </w:rPr>
        <w:t>审</w:t>
      </w:r>
      <w:r>
        <w:rPr>
          <w:rFonts w:hint="eastAsia" w:ascii="仿宋_GB2312" w:hAnsi="微软雅黑" w:eastAsia="仿宋_GB2312" w:cs="宋体"/>
          <w:b w:val="0"/>
          <w:bCs w:val="0"/>
          <w:color w:val="auto"/>
          <w:spacing w:val="15"/>
          <w:sz w:val="30"/>
          <w:szCs w:val="30"/>
          <w:lang w:val="en-US" w:eastAsia="zh-CN"/>
        </w:rPr>
        <w:t>定</w:t>
      </w:r>
      <w:r>
        <w:rPr>
          <w:rFonts w:hint="eastAsia" w:ascii="仿宋_GB2312" w:hAnsi="微软雅黑" w:eastAsia="仿宋_GB2312" w:cs="宋体"/>
          <w:b w:val="0"/>
          <w:bCs w:val="0"/>
          <w:color w:val="auto"/>
          <w:spacing w:val="15"/>
          <w:sz w:val="30"/>
          <w:szCs w:val="30"/>
        </w:rPr>
        <w:t>。</w:t>
      </w:r>
      <w:r>
        <w:rPr>
          <w:rFonts w:ascii="仿宋_GB2312" w:hAnsi="微软雅黑" w:eastAsia="仿宋_GB2312" w:cs="宋体"/>
          <w:b w:val="0"/>
          <w:bCs w:val="0"/>
          <w:color w:val="auto"/>
          <w:spacing w:val="15"/>
          <w:sz w:val="30"/>
          <w:szCs w:val="30"/>
        </w:rPr>
        <w:t>经审定的项目实施方案需要调整的，应当报原审定机构重新审定。</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FF0000"/>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优化审批流程</w:t>
      </w: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spacing w:val="15"/>
          <w:sz w:val="30"/>
          <w:szCs w:val="30"/>
        </w:rPr>
        <w:t>综合</w:t>
      </w:r>
      <w:r>
        <w:rPr>
          <w:rFonts w:ascii="仿宋_GB2312" w:hAnsi="微软雅黑" w:eastAsia="仿宋_GB2312" w:cs="宋体"/>
          <w:spacing w:val="15"/>
          <w:sz w:val="30"/>
          <w:szCs w:val="30"/>
        </w:rPr>
        <w:t>实施方案经</w:t>
      </w:r>
      <w:r>
        <w:rPr>
          <w:rFonts w:hint="eastAsia" w:ascii="仿宋_GB2312" w:hAnsi="微软雅黑" w:eastAsia="仿宋_GB2312" w:cs="宋体"/>
          <w:spacing w:val="15"/>
          <w:sz w:val="30"/>
          <w:szCs w:val="30"/>
          <w:lang w:val="en-US" w:eastAsia="zh-CN"/>
        </w:rPr>
        <w:t>审定</w:t>
      </w:r>
      <w:r>
        <w:rPr>
          <w:rFonts w:ascii="仿宋_GB2312" w:hAnsi="微软雅黑" w:eastAsia="仿宋_GB2312" w:cs="宋体"/>
          <w:spacing w:val="15"/>
          <w:sz w:val="30"/>
          <w:szCs w:val="30"/>
        </w:rPr>
        <w:t>后，实施主体依法办理立项、土地、规划、建设等手续</w:t>
      </w:r>
      <w:r>
        <w:rPr>
          <w:rFonts w:hint="eastAsia" w:ascii="仿宋_GB2312" w:hAnsi="微软雅黑" w:eastAsia="仿宋_GB2312" w:cs="宋体"/>
          <w:spacing w:val="15"/>
          <w:sz w:val="30"/>
          <w:szCs w:val="30"/>
        </w:rPr>
        <w:t>。</w:t>
      </w:r>
      <w:r>
        <w:rPr>
          <w:rFonts w:hint="eastAsia" w:ascii="仿宋_GB2312" w:hAnsi="微软雅黑" w:eastAsia="仿宋_GB2312" w:cs="宋体"/>
          <w:spacing w:val="15"/>
          <w:sz w:val="30"/>
          <w:szCs w:val="30"/>
          <w:lang w:val="en-US" w:eastAsia="zh-CN"/>
        </w:rPr>
        <w:t>市政府组织相关部门优化</w:t>
      </w:r>
      <w:r>
        <w:rPr>
          <w:rFonts w:ascii="仿宋_GB2312" w:hAnsi="微软雅黑" w:eastAsia="仿宋_GB2312" w:cs="宋体"/>
          <w:spacing w:val="15"/>
          <w:sz w:val="30"/>
          <w:szCs w:val="30"/>
        </w:rPr>
        <w:t>城市更新项目审批服务机制，</w:t>
      </w:r>
      <w:r>
        <w:rPr>
          <w:rFonts w:hint="eastAsia" w:ascii="仿宋_GB2312" w:hAnsi="微软雅黑" w:eastAsia="仿宋_GB2312" w:cs="宋体"/>
          <w:color w:val="auto"/>
          <w:spacing w:val="15"/>
          <w:sz w:val="30"/>
          <w:szCs w:val="30"/>
          <w:lang w:val="en-US" w:eastAsia="zh-CN"/>
        </w:rPr>
        <w:t>探索</w:t>
      </w:r>
      <w:r>
        <w:rPr>
          <w:rFonts w:hint="eastAsia" w:ascii="仿宋_GB2312" w:hAnsi="微软雅黑" w:eastAsia="仿宋_GB2312" w:cs="宋体"/>
          <w:color w:val="auto"/>
          <w:spacing w:val="15"/>
          <w:sz w:val="30"/>
          <w:szCs w:val="30"/>
        </w:rPr>
        <w:t>并联审批</w:t>
      </w:r>
      <w:r>
        <w:rPr>
          <w:rFonts w:hint="eastAsia" w:ascii="仿宋_GB2312" w:hAnsi="微软雅黑" w:eastAsia="仿宋_GB2312" w:cs="宋体"/>
          <w:color w:val="auto"/>
          <w:spacing w:val="15"/>
          <w:sz w:val="30"/>
          <w:szCs w:val="30"/>
          <w:lang w:eastAsia="zh-CN"/>
        </w:rPr>
        <w:t>、全流程集成审批</w:t>
      </w:r>
      <w:r>
        <w:rPr>
          <w:rFonts w:hint="eastAsia" w:ascii="仿宋_GB2312" w:hAnsi="微软雅黑" w:eastAsia="仿宋_GB2312" w:cs="宋体"/>
          <w:color w:val="auto"/>
          <w:spacing w:val="15"/>
          <w:sz w:val="30"/>
          <w:szCs w:val="30"/>
          <w:lang w:val="en-US" w:eastAsia="zh-CN"/>
        </w:rPr>
        <w:t>机制</w:t>
      </w:r>
      <w:r>
        <w:rPr>
          <w:rFonts w:hint="eastAsia" w:ascii="仿宋_GB2312" w:hAnsi="微软雅黑" w:eastAsia="仿宋_GB2312" w:cs="宋体"/>
          <w:color w:val="auto"/>
          <w:spacing w:val="15"/>
          <w:sz w:val="30"/>
          <w:szCs w:val="30"/>
        </w:rPr>
        <w:t>，简</w:t>
      </w:r>
      <w:r>
        <w:rPr>
          <w:rFonts w:hint="eastAsia" w:ascii="仿宋_GB2312" w:hAnsi="微软雅黑" w:eastAsia="仿宋_GB2312" w:cs="宋体"/>
          <w:spacing w:val="15"/>
          <w:sz w:val="30"/>
          <w:szCs w:val="30"/>
        </w:rPr>
        <w:t>化审批材料、优化审批环节、缩减审批时限、</w:t>
      </w:r>
      <w:r>
        <w:rPr>
          <w:rFonts w:ascii="仿宋_GB2312" w:hAnsi="微软雅黑" w:eastAsia="仿宋_GB2312" w:cs="宋体"/>
          <w:spacing w:val="15"/>
          <w:sz w:val="30"/>
          <w:szCs w:val="30"/>
        </w:rPr>
        <w:t>提高审批效能。</w:t>
      </w:r>
    </w:p>
    <w:p>
      <w:pPr>
        <w:pStyle w:val="2"/>
        <w:keepNext w:val="0"/>
        <w:keepLines w:val="0"/>
        <w:pageBreakBefore w:val="0"/>
        <w:numPr>
          <w:ilvl w:val="0"/>
          <w:numId w:val="0"/>
        </w:numPr>
        <w:kinsoku/>
        <w:wordWrap/>
        <w:overflowPunct/>
        <w:topLinePunct w:val="0"/>
        <w:autoSpaceDE/>
        <w:autoSpaceDN/>
        <w:bidi w:val="0"/>
        <w:adjustRightInd w:val="0"/>
        <w:snapToGrid w:val="0"/>
        <w:spacing w:before="0" w:beforeLines="0" w:line="520" w:lineRule="exact"/>
        <w:ind w:left="0"/>
        <w:jc w:val="center"/>
        <w:textAlignment w:val="auto"/>
        <w:rPr>
          <w:rFonts w:hint="eastAsia"/>
        </w:rPr>
      </w:pPr>
      <w:bookmarkStart w:id="36" w:name="_Toc145278103"/>
      <w:bookmarkStart w:id="37" w:name="_Toc145340882"/>
      <w:bookmarkStart w:id="38" w:name="_Toc145340793"/>
      <w:bookmarkStart w:id="39" w:name="_Toc145347563"/>
      <w:bookmarkStart w:id="40" w:name="_Toc145144555"/>
      <w:bookmarkStart w:id="41" w:name="_Toc145340698"/>
      <w:bookmarkStart w:id="42" w:name="_Toc145346975"/>
      <w:bookmarkStart w:id="43" w:name="_Toc146272466"/>
      <w:bookmarkStart w:id="44" w:name="_Toc145344341"/>
      <w:bookmarkStart w:id="45" w:name="_Toc145320661"/>
    </w:p>
    <w:p>
      <w:pPr>
        <w:pStyle w:val="2"/>
        <w:keepNext w:val="0"/>
        <w:keepLines w:val="0"/>
        <w:pageBreakBefore w:val="0"/>
        <w:numPr>
          <w:ilvl w:val="0"/>
          <w:numId w:val="0"/>
        </w:numPr>
        <w:kinsoku/>
        <w:wordWrap/>
        <w:overflowPunct/>
        <w:topLinePunct w:val="0"/>
        <w:autoSpaceDE/>
        <w:autoSpaceDN/>
        <w:bidi w:val="0"/>
        <w:adjustRightInd w:val="0"/>
        <w:snapToGrid w:val="0"/>
        <w:spacing w:before="0" w:beforeLines="0" w:line="520" w:lineRule="exact"/>
        <w:ind w:left="0"/>
        <w:jc w:val="center"/>
        <w:textAlignment w:val="auto"/>
        <w:rPr>
          <w:rFonts w:hint="eastAsia"/>
        </w:rPr>
      </w:pPr>
      <w:bookmarkStart w:id="46" w:name="_Toc23438"/>
      <w:r>
        <w:rPr>
          <w:rFonts w:hint="eastAsia"/>
        </w:rPr>
        <w:t>第四章</w:t>
      </w:r>
      <w:bookmarkEnd w:id="36"/>
      <w:bookmarkEnd w:id="37"/>
      <w:bookmarkEnd w:id="38"/>
      <w:bookmarkEnd w:id="39"/>
      <w:bookmarkEnd w:id="40"/>
      <w:bookmarkEnd w:id="41"/>
      <w:bookmarkEnd w:id="42"/>
      <w:bookmarkEnd w:id="43"/>
      <w:bookmarkEnd w:id="44"/>
      <w:bookmarkEnd w:id="45"/>
      <w:r>
        <w:rPr>
          <w:rFonts w:hint="eastAsia"/>
        </w:rPr>
        <w:t xml:space="preserve"> 政策支持</w:t>
      </w:r>
      <w:bookmarkEnd w:id="46"/>
    </w:p>
    <w:p>
      <w:pPr>
        <w:rPr>
          <w:rFonts w:hint="eastAsia"/>
        </w:rPr>
      </w:pP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土地政策</w:t>
      </w: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rPr>
        <w:t>鼓励利用存量土地房屋转型发展文化创意、健康养老、科技创新等政府扶持产业；转型升级后，在符合规划的条件下，产权人可按有关规定完善用地和产权手续。</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用地兼容</w:t>
      </w: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rPr>
        <w:t>城市更新项目中的“边角地”“夹心地”“插花地”等零星土地，以及不具备单独建设条件的土地，可与周边用地整合实施。重点用于完善片区公共服务设施，可以按照划拨方式办理供地手续；涉及经营性用途的以协议出让方式办理供地手续。</w:t>
      </w:r>
    </w:p>
    <w:p>
      <w:pPr>
        <w:pStyle w:val="8"/>
        <w:keepNext w:val="0"/>
        <w:keepLines w:val="0"/>
        <w:pageBreakBefore w:val="0"/>
        <w:shd w:val="clear" w:color="auto" w:fill="FFFFFF"/>
        <w:kinsoku/>
        <w:wordWrap/>
        <w:overflowPunct/>
        <w:topLinePunct w:val="0"/>
        <w:autoSpaceDE/>
        <w:autoSpaceDN/>
        <w:bidi w:val="0"/>
        <w:adjustRightInd w:val="0"/>
        <w:snapToGrid w:val="0"/>
        <w:spacing w:beforeAutospacing="0" w:afterAutospacing="0" w:line="520" w:lineRule="exact"/>
        <w:ind w:left="0" w:firstLine="660" w:firstLineChars="200"/>
        <w:textAlignment w:val="auto"/>
        <w:rPr>
          <w:rFonts w:hint="eastAsia" w:ascii="仿宋_GB2312" w:hAnsi="微软雅黑" w:eastAsia="仿宋_GB2312"/>
          <w:color w:val="333333"/>
          <w:spacing w:val="15"/>
          <w:sz w:val="30"/>
          <w:szCs w:val="30"/>
        </w:rPr>
      </w:pPr>
      <w:r>
        <w:rPr>
          <w:rFonts w:hint="eastAsia" w:ascii="仿宋_GB2312" w:hAnsi="微软雅黑" w:eastAsia="仿宋_GB2312" w:cs="宋体"/>
          <w:color w:val="333333"/>
          <w:spacing w:val="15"/>
          <w:sz w:val="30"/>
          <w:szCs w:val="30"/>
        </w:rPr>
        <w:t>鼓励</w:t>
      </w:r>
      <w:r>
        <w:rPr>
          <w:rFonts w:ascii="仿宋_GB2312" w:hAnsi="微软雅黑" w:eastAsia="仿宋_GB2312" w:cs="宋体"/>
          <w:color w:val="333333"/>
          <w:spacing w:val="15"/>
          <w:sz w:val="30"/>
          <w:szCs w:val="30"/>
        </w:rPr>
        <w:t>用地性质兼容</w:t>
      </w:r>
      <w:r>
        <w:rPr>
          <w:rFonts w:hint="eastAsia" w:ascii="仿宋_GB2312" w:hAnsi="微软雅黑" w:eastAsia="仿宋_GB2312" w:cs="宋体"/>
          <w:color w:val="333333"/>
          <w:spacing w:val="15"/>
          <w:sz w:val="30"/>
          <w:szCs w:val="30"/>
        </w:rPr>
        <w:t>，城市</w:t>
      </w:r>
      <w:r>
        <w:rPr>
          <w:rFonts w:ascii="仿宋_GB2312" w:hAnsi="微软雅黑" w:eastAsia="仿宋_GB2312" w:cs="宋体"/>
          <w:color w:val="333333"/>
          <w:spacing w:val="15"/>
          <w:sz w:val="30"/>
          <w:szCs w:val="30"/>
        </w:rPr>
        <w:t>更新</w:t>
      </w:r>
      <w:r>
        <w:rPr>
          <w:rFonts w:hint="eastAsia" w:ascii="仿宋_GB2312" w:hAnsi="微软雅黑" w:eastAsia="仿宋_GB2312" w:cs="宋体"/>
          <w:color w:val="333333"/>
          <w:spacing w:val="15"/>
          <w:sz w:val="30"/>
          <w:szCs w:val="30"/>
        </w:rPr>
        <w:t>单元</w:t>
      </w:r>
      <w:r>
        <w:rPr>
          <w:rFonts w:ascii="仿宋_GB2312" w:hAnsi="微软雅黑" w:eastAsia="仿宋_GB2312" w:cs="宋体"/>
          <w:color w:val="333333"/>
          <w:spacing w:val="15"/>
          <w:sz w:val="30"/>
          <w:szCs w:val="30"/>
        </w:rPr>
        <w:t>导则</w:t>
      </w:r>
      <w:r>
        <w:rPr>
          <w:rFonts w:hint="eastAsia" w:ascii="仿宋_GB2312" w:hAnsi="微软雅黑" w:eastAsia="仿宋_GB2312" w:cs="宋体"/>
          <w:color w:val="333333"/>
          <w:spacing w:val="15"/>
          <w:sz w:val="30"/>
          <w:szCs w:val="30"/>
        </w:rPr>
        <w:t>可明确用途转换和兼容使用的正负面清单、比例管控等政策要求和技术标准。</w:t>
      </w:r>
      <w:r>
        <w:rPr>
          <w:rFonts w:hint="eastAsia" w:ascii="仿宋_GB2312" w:hAnsi="微软雅黑" w:eastAsia="仿宋_GB2312"/>
          <w:color w:val="333333"/>
          <w:spacing w:val="15"/>
          <w:sz w:val="30"/>
          <w:szCs w:val="30"/>
        </w:rPr>
        <w:t>存量建筑用途转换经批准后依法办理规划建设手续。符合正面清单和比例管控要求的，按照不改变规划用地性质和土地用途管理；符合正面清单，但是超过比例管控要求的，应当依法办理土地用途变更手续，按照不同建筑用途的建筑规模比例或者功能重要性确定主用途，按照主用途确定土地配置方式、使用年期，结合兼容用途及其建筑规模比例综合确定地价。</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容积率奖励</w:t>
      </w: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rPr>
        <w:t>在满足国土空间详细规划指标约束条件下</w:t>
      </w:r>
      <w:r>
        <w:rPr>
          <w:rFonts w:ascii="仿宋_GB2312" w:hAnsi="微软雅黑" w:eastAsia="仿宋_GB2312" w:cs="宋体"/>
          <w:color w:val="333333"/>
          <w:spacing w:val="15"/>
          <w:sz w:val="30"/>
          <w:szCs w:val="30"/>
        </w:rPr>
        <w:t>，对无偿提供政府储备用地、超出规定提供公共服务设施用地或者对历史文化保护作出贡献的城市更新项目，市人民政府可以给予容积率奖励</w:t>
      </w:r>
      <w:r>
        <w:rPr>
          <w:rFonts w:hint="eastAsia" w:ascii="仿宋_GB2312" w:hAnsi="微软雅黑" w:eastAsia="仿宋_GB2312" w:cs="宋体"/>
          <w:color w:val="333333"/>
          <w:spacing w:val="15"/>
          <w:sz w:val="30"/>
          <w:szCs w:val="30"/>
        </w:rPr>
        <w:t>，或采取容积率转移等方式予以奖励安排</w:t>
      </w:r>
      <w:r>
        <w:rPr>
          <w:rFonts w:ascii="仿宋_GB2312" w:hAnsi="微软雅黑" w:eastAsia="仿宋_GB2312" w:cs="宋体"/>
          <w:color w:val="333333"/>
          <w:spacing w:val="15"/>
          <w:sz w:val="30"/>
          <w:szCs w:val="30"/>
        </w:rPr>
        <w:t>。</w:t>
      </w:r>
      <w:r>
        <w:rPr>
          <w:rFonts w:hint="eastAsia" w:ascii="仿宋_GB2312" w:hAnsi="微软雅黑" w:eastAsia="仿宋_GB2312" w:cs="宋体"/>
          <w:color w:val="333333"/>
          <w:spacing w:val="15"/>
          <w:sz w:val="30"/>
          <w:szCs w:val="30"/>
        </w:rPr>
        <w:t>容积率</w:t>
      </w:r>
      <w:r>
        <w:rPr>
          <w:rFonts w:ascii="仿宋_GB2312" w:hAnsi="微软雅黑" w:eastAsia="仿宋_GB2312" w:cs="宋体"/>
          <w:color w:val="333333"/>
          <w:spacing w:val="15"/>
          <w:sz w:val="30"/>
          <w:szCs w:val="30"/>
        </w:rPr>
        <w:t>奖励</w:t>
      </w:r>
      <w:r>
        <w:rPr>
          <w:rFonts w:hint="eastAsia" w:ascii="仿宋_GB2312" w:hAnsi="微软雅黑" w:eastAsia="仿宋_GB2312" w:cs="宋体"/>
          <w:color w:val="333333"/>
          <w:spacing w:val="15"/>
          <w:sz w:val="30"/>
          <w:szCs w:val="30"/>
        </w:rPr>
        <w:t>具体</w:t>
      </w:r>
      <w:r>
        <w:rPr>
          <w:rFonts w:ascii="仿宋_GB2312" w:hAnsi="微软雅黑" w:eastAsia="仿宋_GB2312" w:cs="宋体"/>
          <w:color w:val="333333"/>
          <w:spacing w:val="15"/>
          <w:sz w:val="30"/>
          <w:szCs w:val="30"/>
        </w:rPr>
        <w:t>政策由</w:t>
      </w:r>
      <w:r>
        <w:rPr>
          <w:rFonts w:hint="eastAsia" w:ascii="仿宋_GB2312" w:hAnsi="微软雅黑" w:eastAsia="仿宋_GB2312" w:cs="宋体"/>
          <w:color w:val="333333"/>
          <w:spacing w:val="15"/>
          <w:sz w:val="30"/>
          <w:szCs w:val="30"/>
          <w:lang w:val="en-US" w:eastAsia="zh-CN"/>
        </w:rPr>
        <w:t>市人民政府</w:t>
      </w:r>
      <w:r>
        <w:rPr>
          <w:rFonts w:ascii="仿宋_GB2312" w:hAnsi="微软雅黑" w:eastAsia="仿宋_GB2312" w:cs="宋体"/>
          <w:color w:val="333333"/>
          <w:spacing w:val="15"/>
          <w:sz w:val="30"/>
          <w:szCs w:val="30"/>
        </w:rPr>
        <w:t>另行制定</w:t>
      </w:r>
      <w:r>
        <w:rPr>
          <w:rFonts w:hint="eastAsia" w:ascii="仿宋_GB2312" w:hAnsi="微软雅黑" w:eastAsia="仿宋_GB2312" w:cs="宋体"/>
          <w:color w:val="333333"/>
          <w:spacing w:val="15"/>
          <w:sz w:val="30"/>
          <w:szCs w:val="30"/>
        </w:rPr>
        <w:t>。</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rPr>
        <w:t>对增加公共服务功能的城市更新项目，有条件的可给予建筑面积支持，增设地上停车库不计算容积率。鼓励老旧厂区转型升级，允许对原有建筑进行隔层改造、增加连廊、电梯等配套设施。</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消防审验</w:t>
      </w: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rPr>
        <w:t>城市更新项目内的消防设施、消防通道等，应当按照有关消防技术标准设置。因特殊情况无法按照标准设置的，应当在项目综合实施方案中制定相应的防火安全保障方案。</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auto"/>
          <w:spacing w:val="15"/>
          <w:sz w:val="30"/>
          <w:szCs w:val="30"/>
          <w:lang w:val="en-US" w:eastAsia="zh-CN"/>
        </w:rPr>
        <w:t>豁免政策</w:t>
      </w: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rPr>
        <w:t>对规模不大、易于整改、不涉及建筑主体结构和使用功能变动的项目，可免于施工图审查，实行“自审承诺制”管理。对“零用地”既有建筑维修改造、拆除翻建且不改变建筑使用功能的项目、既有住宅增设电梯等项目，可由实施主体采用专家论证方式进行施工图设计（方案）质量把关。</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jc w:val="both"/>
        <w:textAlignment w:val="auto"/>
        <w:rPr>
          <w:rFonts w:hint="eastAsia" w:ascii="仿宋_GB2312" w:hAnsi="微软雅黑" w:eastAsia="仿宋_GB2312" w:cs="宋体"/>
          <w:color w:val="333333"/>
          <w:spacing w:val="15"/>
          <w:sz w:val="30"/>
          <w:szCs w:val="30"/>
        </w:rPr>
      </w:pPr>
    </w:p>
    <w:p>
      <w:pPr>
        <w:pStyle w:val="2"/>
        <w:keepNext w:val="0"/>
        <w:keepLines w:val="0"/>
        <w:pageBreakBefore w:val="0"/>
        <w:numPr>
          <w:ilvl w:val="0"/>
          <w:numId w:val="0"/>
        </w:numPr>
        <w:kinsoku/>
        <w:wordWrap/>
        <w:overflowPunct/>
        <w:topLinePunct w:val="0"/>
        <w:autoSpaceDE/>
        <w:autoSpaceDN/>
        <w:bidi w:val="0"/>
        <w:adjustRightInd w:val="0"/>
        <w:snapToGrid w:val="0"/>
        <w:spacing w:before="0" w:beforeLines="0" w:line="520" w:lineRule="exact"/>
        <w:ind w:left="0"/>
        <w:jc w:val="center"/>
        <w:textAlignment w:val="auto"/>
        <w:rPr>
          <w:rFonts w:hint="eastAsia"/>
        </w:rPr>
      </w:pPr>
      <w:bookmarkStart w:id="47" w:name="_Toc145278104"/>
      <w:bookmarkStart w:id="48" w:name="_Toc145346976"/>
      <w:bookmarkStart w:id="49" w:name="_Toc146272467"/>
      <w:bookmarkStart w:id="50" w:name="_Toc145344342"/>
      <w:bookmarkStart w:id="51" w:name="_Toc145340883"/>
      <w:bookmarkStart w:id="52" w:name="_Toc145340699"/>
      <w:bookmarkStart w:id="53" w:name="_Toc145347564"/>
      <w:bookmarkStart w:id="54" w:name="_Toc145144556"/>
      <w:bookmarkStart w:id="55" w:name="_Toc145320662"/>
      <w:bookmarkStart w:id="56" w:name="_Toc145340794"/>
      <w:bookmarkStart w:id="57" w:name="_Toc19774"/>
      <w:r>
        <w:rPr>
          <w:rFonts w:hint="eastAsia"/>
        </w:rPr>
        <w:t>第五章 权益保障</w:t>
      </w:r>
      <w:bookmarkEnd w:id="47"/>
      <w:bookmarkEnd w:id="48"/>
      <w:bookmarkEnd w:id="49"/>
      <w:bookmarkEnd w:id="50"/>
      <w:bookmarkEnd w:id="51"/>
      <w:bookmarkEnd w:id="52"/>
      <w:bookmarkEnd w:id="53"/>
      <w:bookmarkEnd w:id="54"/>
      <w:bookmarkEnd w:id="55"/>
      <w:bookmarkEnd w:id="56"/>
      <w:bookmarkEnd w:id="57"/>
    </w:p>
    <w:p>
      <w:pPr>
        <w:rPr>
          <w:rFonts w:hint="eastAsia"/>
        </w:rPr>
      </w:pP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民意征集</w:t>
      </w: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rPr>
        <w:t>设置民意征集机制，做好</w:t>
      </w:r>
      <w:r>
        <w:rPr>
          <w:rFonts w:ascii="仿宋_GB2312" w:hAnsi="微软雅黑" w:eastAsia="仿宋_GB2312" w:cs="宋体"/>
          <w:color w:val="333333"/>
          <w:spacing w:val="15"/>
          <w:sz w:val="30"/>
          <w:szCs w:val="30"/>
        </w:rPr>
        <w:t>宣传、调研、走访活动，广泛吸纳民意、汇集民智、凝聚民力。</w:t>
      </w:r>
      <w:r>
        <w:rPr>
          <w:rFonts w:hint="eastAsia" w:ascii="仿宋_GB2312" w:hAnsi="微软雅黑" w:eastAsia="仿宋_GB2312" w:cs="宋体"/>
          <w:spacing w:val="15"/>
          <w:sz w:val="30"/>
          <w:szCs w:val="30"/>
        </w:rPr>
        <w:t>政府设立专项资金，解决群众反映的合理城市更新诉求。</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居民权益保障</w:t>
      </w: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rPr>
        <w:t>实施城市更新工作</w:t>
      </w:r>
      <w:r>
        <w:rPr>
          <w:rFonts w:ascii="仿宋_GB2312" w:hAnsi="微软雅黑" w:eastAsia="仿宋_GB2312" w:cs="宋体"/>
          <w:color w:val="333333"/>
          <w:spacing w:val="15"/>
          <w:sz w:val="30"/>
          <w:szCs w:val="30"/>
        </w:rPr>
        <w:t>，应当征求改造区域内权利主体的意见。</w:t>
      </w:r>
      <w:r>
        <w:rPr>
          <w:rFonts w:hint="eastAsia" w:ascii="仿宋_GB2312" w:hAnsi="微软雅黑" w:eastAsia="仿宋_GB2312" w:cs="宋体"/>
          <w:color w:val="333333"/>
          <w:spacing w:val="15"/>
          <w:sz w:val="30"/>
          <w:szCs w:val="30"/>
        </w:rPr>
        <w:t>居民重点关注内容，矛盾集中的事项，政府采取听证会制度，保障居民权益。</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【利害关系人权益保障】</w:t>
      </w:r>
      <w:r>
        <w:rPr>
          <w:rFonts w:ascii="仿宋_GB2312" w:hAnsi="微软雅黑" w:eastAsia="仿宋_GB2312" w:cs="宋体"/>
          <w:color w:val="333333"/>
          <w:spacing w:val="15"/>
          <w:sz w:val="30"/>
          <w:szCs w:val="30"/>
        </w:rPr>
        <w:t>城市更新项目涉及房屋承租人、建设出资人、旧厂股东、抵押权人等利害关系人的，实施主体应当对权利主体给予补偿，由权利主体依法对利害关系人进行补偿。</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ascii="仿宋_GB2312" w:hAnsi="微软雅黑" w:eastAsia="仿宋_GB2312" w:cs="宋体"/>
          <w:color w:val="333333"/>
          <w:spacing w:val="15"/>
          <w:sz w:val="30"/>
          <w:szCs w:val="30"/>
        </w:rPr>
        <w:t>城市更新项目涉及公有房屋的，应当保障公有房屋承租人合法权益，依法补偿、安置。</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住房保障</w:t>
      </w:r>
      <w:r>
        <w:rPr>
          <w:rFonts w:hint="eastAsia" w:ascii="仿宋_GB2312" w:hAnsi="微软雅黑" w:eastAsia="仿宋_GB2312" w:cs="宋体"/>
          <w:color w:val="333333"/>
          <w:spacing w:val="15"/>
          <w:sz w:val="30"/>
          <w:szCs w:val="30"/>
          <w:lang w:eastAsia="zh-CN"/>
        </w:rPr>
        <w:t>】</w:t>
      </w:r>
      <w:r>
        <w:rPr>
          <w:rFonts w:ascii="仿宋_GB2312" w:hAnsi="微软雅黑" w:eastAsia="仿宋_GB2312" w:cs="宋体"/>
          <w:color w:val="333333"/>
          <w:spacing w:val="15"/>
          <w:sz w:val="30"/>
          <w:szCs w:val="30"/>
        </w:rPr>
        <w:t>城市更新应当通过多主体供给、多渠道保障、租购并举方式增加公共租赁住房、共有产权住房等保障性住房建设和供应，引导集体建设用地按照规划建设集体宿舍等租赁住房。</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jc w:val="both"/>
        <w:textAlignment w:val="auto"/>
        <w:rPr>
          <w:rFonts w:hint="eastAsia" w:ascii="仿宋_GB2312" w:hAnsi="微软雅黑" w:eastAsia="仿宋_GB2312" w:cs="宋体"/>
          <w:color w:val="333333"/>
          <w:spacing w:val="15"/>
          <w:sz w:val="30"/>
          <w:szCs w:val="30"/>
        </w:rPr>
      </w:pPr>
    </w:p>
    <w:p>
      <w:pPr>
        <w:pStyle w:val="2"/>
        <w:keepNext w:val="0"/>
        <w:keepLines w:val="0"/>
        <w:pageBreakBefore w:val="0"/>
        <w:numPr>
          <w:ilvl w:val="0"/>
          <w:numId w:val="0"/>
        </w:numPr>
        <w:kinsoku/>
        <w:wordWrap/>
        <w:overflowPunct/>
        <w:topLinePunct w:val="0"/>
        <w:autoSpaceDE/>
        <w:autoSpaceDN/>
        <w:bidi w:val="0"/>
        <w:adjustRightInd w:val="0"/>
        <w:snapToGrid w:val="0"/>
        <w:spacing w:before="0" w:beforeLines="0" w:line="520" w:lineRule="exact"/>
        <w:ind w:left="0"/>
        <w:jc w:val="center"/>
        <w:textAlignment w:val="auto"/>
        <w:rPr>
          <w:rFonts w:hint="eastAsia"/>
        </w:rPr>
      </w:pPr>
      <w:bookmarkStart w:id="58" w:name="_Toc145340884"/>
      <w:bookmarkStart w:id="59" w:name="_Toc145144557"/>
      <w:bookmarkStart w:id="60" w:name="_Toc145346977"/>
      <w:bookmarkStart w:id="61" w:name="_Toc145320663"/>
      <w:bookmarkStart w:id="62" w:name="_Toc145347565"/>
      <w:bookmarkStart w:id="63" w:name="_Toc145344343"/>
      <w:bookmarkStart w:id="64" w:name="_Toc145340700"/>
      <w:bookmarkStart w:id="65" w:name="_Toc146272468"/>
      <w:bookmarkStart w:id="66" w:name="_Toc145278105"/>
      <w:bookmarkStart w:id="67" w:name="_Toc145340795"/>
      <w:bookmarkStart w:id="68" w:name="_Toc31551"/>
      <w:r>
        <w:rPr>
          <w:rFonts w:hint="eastAsia"/>
        </w:rPr>
        <w:t>第六章 实施监督</w:t>
      </w:r>
      <w:bookmarkEnd w:id="58"/>
      <w:bookmarkEnd w:id="59"/>
      <w:bookmarkEnd w:id="60"/>
      <w:bookmarkEnd w:id="61"/>
      <w:bookmarkEnd w:id="62"/>
      <w:bookmarkEnd w:id="63"/>
      <w:bookmarkEnd w:id="64"/>
      <w:bookmarkEnd w:id="65"/>
      <w:bookmarkEnd w:id="66"/>
      <w:bookmarkEnd w:id="67"/>
      <w:bookmarkEnd w:id="68"/>
    </w:p>
    <w:p>
      <w:pPr>
        <w:rPr>
          <w:rFonts w:hint="eastAsia"/>
        </w:rPr>
      </w:pP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监督机制</w:t>
      </w: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rPr>
        <w:t>建立目标考核制度，对城市更新相关工作涉及的市政府相关部门、区县人民政府、有关责任单位工作情况进行监督、检查和考核。</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财审监督</w:t>
      </w:r>
      <w:r>
        <w:rPr>
          <w:rFonts w:hint="eastAsia" w:ascii="仿宋_GB2312" w:hAnsi="微软雅黑" w:eastAsia="仿宋_GB2312" w:cs="宋体"/>
          <w:color w:val="333333"/>
          <w:spacing w:val="15"/>
          <w:sz w:val="30"/>
          <w:szCs w:val="30"/>
          <w:lang w:eastAsia="zh-CN"/>
        </w:rPr>
        <w:t>】</w:t>
      </w:r>
      <w:r>
        <w:rPr>
          <w:rFonts w:ascii="仿宋_GB2312" w:hAnsi="微软雅黑" w:eastAsia="仿宋_GB2312" w:cs="宋体"/>
          <w:color w:val="333333"/>
          <w:spacing w:val="15"/>
          <w:sz w:val="30"/>
          <w:szCs w:val="30"/>
        </w:rPr>
        <w:t>财政、审计等部门按照各自职责和有关规定，对城市更新中的</w:t>
      </w:r>
      <w:r>
        <w:rPr>
          <w:rFonts w:hint="eastAsia" w:ascii="仿宋_GB2312" w:hAnsi="微软雅黑" w:eastAsia="仿宋_GB2312" w:cs="宋体"/>
          <w:color w:val="333333"/>
          <w:spacing w:val="15"/>
          <w:sz w:val="30"/>
          <w:szCs w:val="30"/>
        </w:rPr>
        <w:t>公共资金</w:t>
      </w:r>
      <w:r>
        <w:rPr>
          <w:rFonts w:ascii="仿宋_GB2312" w:hAnsi="微软雅黑" w:eastAsia="仿宋_GB2312" w:cs="宋体"/>
          <w:color w:val="333333"/>
          <w:spacing w:val="15"/>
          <w:sz w:val="30"/>
          <w:szCs w:val="30"/>
        </w:rPr>
        <w:t>使用情况</w:t>
      </w:r>
      <w:r>
        <w:rPr>
          <w:rFonts w:hint="eastAsia" w:ascii="仿宋_GB2312" w:hAnsi="微软雅黑" w:eastAsia="仿宋_GB2312" w:cs="宋体"/>
          <w:color w:val="333333"/>
          <w:spacing w:val="15"/>
          <w:sz w:val="30"/>
          <w:szCs w:val="30"/>
        </w:rPr>
        <w:t>和相关政策落实情况</w:t>
      </w:r>
      <w:r>
        <w:rPr>
          <w:rFonts w:ascii="仿宋_GB2312" w:hAnsi="微软雅黑" w:eastAsia="仿宋_GB2312" w:cs="宋体"/>
          <w:color w:val="333333"/>
          <w:spacing w:val="15"/>
          <w:sz w:val="30"/>
          <w:szCs w:val="30"/>
        </w:rPr>
        <w:t>进行监督</w:t>
      </w:r>
      <w:r>
        <w:rPr>
          <w:rFonts w:hint="eastAsia" w:ascii="仿宋_GB2312" w:hAnsi="微软雅黑" w:eastAsia="仿宋_GB2312" w:cs="宋体"/>
          <w:color w:val="333333"/>
          <w:spacing w:val="15"/>
          <w:sz w:val="30"/>
          <w:szCs w:val="30"/>
        </w:rPr>
        <w:t>。</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社会监督</w:t>
      </w:r>
      <w:r>
        <w:rPr>
          <w:rFonts w:hint="eastAsia" w:ascii="仿宋_GB2312" w:hAnsi="微软雅黑" w:eastAsia="仿宋_GB2312" w:cs="宋体"/>
          <w:color w:val="333333"/>
          <w:spacing w:val="15"/>
          <w:sz w:val="30"/>
          <w:szCs w:val="30"/>
          <w:lang w:eastAsia="zh-CN"/>
        </w:rPr>
        <w:t>】</w:t>
      </w:r>
      <w:r>
        <w:rPr>
          <w:rFonts w:ascii="仿宋_GB2312" w:hAnsi="微软雅黑" w:eastAsia="仿宋_GB2312" w:cs="宋体"/>
          <w:color w:val="333333"/>
          <w:spacing w:val="15"/>
          <w:sz w:val="30"/>
          <w:szCs w:val="30"/>
        </w:rPr>
        <w:t>对于违反城市更新相关规定的行为，任何单位和个人有权向市、区</w:t>
      </w:r>
      <w:r>
        <w:rPr>
          <w:rFonts w:hint="eastAsia" w:ascii="仿宋_GB2312" w:hAnsi="微软雅黑" w:eastAsia="仿宋_GB2312" w:cs="宋体"/>
          <w:color w:val="333333"/>
          <w:spacing w:val="15"/>
          <w:sz w:val="30"/>
          <w:szCs w:val="30"/>
        </w:rPr>
        <w:t>、县</w:t>
      </w:r>
      <w:r>
        <w:rPr>
          <w:rFonts w:ascii="仿宋_GB2312" w:hAnsi="微软雅黑" w:eastAsia="仿宋_GB2312" w:cs="宋体"/>
          <w:color w:val="333333"/>
          <w:spacing w:val="15"/>
          <w:sz w:val="30"/>
          <w:szCs w:val="30"/>
        </w:rPr>
        <w:t>人民政府及其有关部门投诉、举报；市、区</w:t>
      </w:r>
      <w:r>
        <w:rPr>
          <w:rFonts w:hint="eastAsia" w:ascii="仿宋_GB2312" w:hAnsi="微软雅黑" w:eastAsia="仿宋_GB2312" w:cs="宋体"/>
          <w:color w:val="333333"/>
          <w:spacing w:val="15"/>
          <w:sz w:val="30"/>
          <w:szCs w:val="30"/>
        </w:rPr>
        <w:t>、</w:t>
      </w:r>
      <w:r>
        <w:rPr>
          <w:rFonts w:ascii="仿宋_GB2312" w:hAnsi="微软雅黑" w:eastAsia="仿宋_GB2312" w:cs="宋体"/>
          <w:color w:val="333333"/>
          <w:spacing w:val="15"/>
          <w:sz w:val="30"/>
          <w:szCs w:val="30"/>
        </w:rPr>
        <w:t>县人民政府及其有关部门应当按照规定进行处理。</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人大监督</w:t>
      </w:r>
      <w:r>
        <w:rPr>
          <w:rFonts w:hint="eastAsia" w:ascii="仿宋_GB2312" w:hAnsi="微软雅黑" w:eastAsia="仿宋_GB2312" w:cs="宋体"/>
          <w:color w:val="333333"/>
          <w:spacing w:val="15"/>
          <w:sz w:val="30"/>
          <w:szCs w:val="30"/>
          <w:lang w:eastAsia="zh-CN"/>
        </w:rPr>
        <w:t>】</w:t>
      </w:r>
      <w:r>
        <w:rPr>
          <w:rFonts w:ascii="仿宋_GB2312" w:hAnsi="微软雅黑" w:eastAsia="仿宋_GB2312" w:cs="宋体"/>
          <w:color w:val="333333"/>
          <w:spacing w:val="15"/>
          <w:sz w:val="30"/>
          <w:szCs w:val="30"/>
        </w:rPr>
        <w:t>市、区人民代表大会常务委员会通过听取和审议专项工作报告、组织执法检查等方式，加强对本行政区域内城市更新工作的监督。</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333333"/>
          <w:spacing w:val="15"/>
          <w:sz w:val="30"/>
          <w:szCs w:val="30"/>
        </w:rPr>
      </w:pPr>
      <w:r>
        <w:rPr>
          <w:rFonts w:ascii="仿宋_GB2312" w:hAnsi="微软雅黑" w:eastAsia="仿宋_GB2312" w:cs="宋体"/>
          <w:color w:val="333333"/>
          <w:spacing w:val="15"/>
          <w:sz w:val="30"/>
          <w:szCs w:val="30"/>
        </w:rPr>
        <w:t>市、区人民代表大会常务委员会应当充分发挥人大代表作用，汇集、反映人民群众的意见和建议，督促有关方面落实城市更新的各项工作。</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000000" w:themeColor="text1"/>
          <w:spacing w:val="15"/>
          <w:sz w:val="30"/>
          <w:szCs w:val="30"/>
          <w14:textFill>
            <w14:solidFill>
              <w14:schemeClr w14:val="tx1"/>
            </w14:solidFill>
          </w14:textFill>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考核机制</w:t>
      </w: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000000" w:themeColor="text1"/>
          <w:spacing w:val="15"/>
          <w:sz w:val="30"/>
          <w:szCs w:val="30"/>
          <w14:textFill>
            <w14:solidFill>
              <w14:schemeClr w14:val="tx1"/>
            </w14:solidFill>
          </w14:textFill>
        </w:rPr>
        <w:t>建立目标考核激励机制，对城市更新工作涉及的市级相关部门、区县人民政府、有关责任单位进行监督、检查和考核。</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000000" w:themeColor="text1"/>
          <w:spacing w:val="15"/>
          <w:sz w:val="30"/>
          <w:szCs w:val="30"/>
          <w14:textFill>
            <w14:solidFill>
              <w14:schemeClr w14:val="tx1"/>
            </w14:solidFill>
          </w14:textFill>
        </w:rPr>
      </w:pPr>
      <w:bookmarkStart w:id="69" w:name="_Toc145344344"/>
      <w:bookmarkStart w:id="70" w:name="_Toc145346978"/>
      <w:bookmarkStart w:id="71" w:name="_Toc145278106"/>
      <w:bookmarkStart w:id="72" w:name="_Toc146272469"/>
      <w:bookmarkStart w:id="73" w:name="_Toc145340885"/>
      <w:bookmarkStart w:id="74" w:name="_Toc145347566"/>
      <w:bookmarkStart w:id="75" w:name="_Toc145340796"/>
      <w:bookmarkStart w:id="76" w:name="_Toc145144558"/>
      <w:bookmarkStart w:id="77" w:name="_Toc145320664"/>
      <w:bookmarkStart w:id="78" w:name="_Toc145340701"/>
      <w:r>
        <w:rPr>
          <w:rFonts w:hint="eastAsia" w:ascii="仿宋_GB2312" w:hAnsi="微软雅黑" w:eastAsia="仿宋_GB2312" w:cs="宋体"/>
          <w:color w:val="333333"/>
          <w:spacing w:val="15"/>
          <w:sz w:val="30"/>
          <w:szCs w:val="30"/>
          <w:lang w:eastAsia="zh-CN"/>
        </w:rPr>
        <w:t>【</w:t>
      </w:r>
      <w:r>
        <w:rPr>
          <w:rFonts w:ascii="仿宋_GB2312" w:hAnsi="微软雅黑" w:eastAsia="仿宋_GB2312" w:cs="宋体"/>
          <w:color w:val="000000" w:themeColor="text1"/>
          <w:spacing w:val="15"/>
          <w:sz w:val="30"/>
          <w:szCs w:val="30"/>
          <w14:textFill>
            <w14:solidFill>
              <w14:schemeClr w14:val="tx1"/>
            </w14:solidFill>
          </w14:textFill>
        </w:rPr>
        <w:t>行政机关及其工作人员</w:t>
      </w:r>
      <w:r>
        <w:rPr>
          <w:rFonts w:hint="eastAsia" w:ascii="仿宋_GB2312" w:hAnsi="微软雅黑" w:eastAsia="仿宋_GB2312" w:cs="宋体"/>
          <w:color w:val="333333"/>
          <w:spacing w:val="15"/>
          <w:sz w:val="30"/>
          <w:szCs w:val="30"/>
          <w:lang w:val="en-US" w:eastAsia="zh-CN"/>
        </w:rPr>
        <w:t>法律责任</w:t>
      </w:r>
      <w:r>
        <w:rPr>
          <w:rFonts w:hint="eastAsia" w:ascii="仿宋_GB2312" w:hAnsi="微软雅黑" w:eastAsia="仿宋_GB2312" w:cs="宋体"/>
          <w:color w:val="333333"/>
          <w:spacing w:val="15"/>
          <w:sz w:val="30"/>
          <w:szCs w:val="30"/>
          <w:lang w:eastAsia="zh-CN"/>
        </w:rPr>
        <w:t>】</w:t>
      </w:r>
      <w:r>
        <w:rPr>
          <w:rFonts w:ascii="仿宋_GB2312" w:hAnsi="微软雅黑" w:eastAsia="仿宋_GB2312" w:cs="宋体"/>
          <w:color w:val="000000" w:themeColor="text1"/>
          <w:spacing w:val="15"/>
          <w:sz w:val="30"/>
          <w:szCs w:val="30"/>
          <w14:textFill>
            <w14:solidFill>
              <w14:schemeClr w14:val="tx1"/>
            </w14:solidFill>
          </w14:textFill>
        </w:rPr>
        <w:t>行政机关及其工作人员在城市更新工作中不履行本办法规定的职责，滥用职权、玩忽职守、徇私舞弊的，依法给予处分；给他人造成损害的，依法承担赔偿责任；构成犯罪的，依法追究刑事责任。</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000000" w:themeColor="text1"/>
          <w:spacing w:val="15"/>
          <w:sz w:val="30"/>
          <w:szCs w:val="30"/>
          <w14:textFill>
            <w14:solidFill>
              <w14:schemeClr w14:val="tx1"/>
            </w14:solidFill>
          </w14:textFill>
        </w:rPr>
      </w:pPr>
      <w:r>
        <w:rPr>
          <w:rFonts w:hint="eastAsia" w:ascii="仿宋_GB2312" w:hAnsi="微软雅黑" w:eastAsia="仿宋_GB2312" w:cs="宋体"/>
          <w:color w:val="333333"/>
          <w:spacing w:val="15"/>
          <w:sz w:val="30"/>
          <w:szCs w:val="30"/>
          <w:lang w:eastAsia="zh-CN"/>
        </w:rPr>
        <w:t>【</w:t>
      </w:r>
      <w:r>
        <w:rPr>
          <w:rFonts w:hint="eastAsia" w:ascii="仿宋_GB2312" w:hAnsi="微软雅黑" w:eastAsia="仿宋_GB2312" w:cs="宋体"/>
          <w:color w:val="333333"/>
          <w:spacing w:val="15"/>
          <w:sz w:val="30"/>
          <w:szCs w:val="30"/>
          <w:lang w:val="en-US" w:eastAsia="zh-CN"/>
        </w:rPr>
        <w:t>相关组织和个人</w:t>
      </w:r>
      <w:r>
        <w:rPr>
          <w:rFonts w:hint="eastAsia" w:ascii="仿宋_GB2312" w:hAnsi="微软雅黑" w:eastAsia="仿宋_GB2312" w:cs="宋体"/>
          <w:color w:val="000000" w:themeColor="text1"/>
          <w:spacing w:val="15"/>
          <w:sz w:val="30"/>
          <w:szCs w:val="30"/>
          <w:lang w:val="en-US" w:eastAsia="zh-CN"/>
          <w14:textFill>
            <w14:solidFill>
              <w14:schemeClr w14:val="tx1"/>
            </w14:solidFill>
          </w14:textFill>
        </w:rPr>
        <w:t>法律责任</w:t>
      </w:r>
      <w:r>
        <w:rPr>
          <w:rFonts w:hint="eastAsia" w:ascii="仿宋_GB2312" w:hAnsi="微软雅黑" w:eastAsia="仿宋_GB2312" w:cs="宋体"/>
          <w:color w:val="333333"/>
          <w:spacing w:val="15"/>
          <w:sz w:val="30"/>
          <w:szCs w:val="30"/>
          <w:lang w:eastAsia="zh-CN"/>
        </w:rPr>
        <w:t>】</w:t>
      </w:r>
      <w:r>
        <w:rPr>
          <w:rFonts w:ascii="仿宋_GB2312" w:hAnsi="微软雅黑" w:eastAsia="仿宋_GB2312" w:cs="宋体"/>
          <w:color w:val="000000" w:themeColor="text1"/>
          <w:spacing w:val="15"/>
          <w:sz w:val="30"/>
          <w:szCs w:val="30"/>
          <w14:textFill>
            <w14:solidFill>
              <w14:schemeClr w14:val="tx1"/>
            </w14:solidFill>
          </w14:textFill>
        </w:rPr>
        <w:t>自然人、法人和其他组织参与城市更新活动时，有欺诈、胁迫、虚构事实、伪造变造文件、散布虚假信息、侵害个人隐私、泄露商业秘密、受贿、行贿等行为的，由相关部门依法查处，并纳入公共信用信息管理，五年内禁止参与城市更新活动；构成犯罪的，依法追究刑事责任。</w:t>
      </w: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ascii="仿宋_GB2312" w:hAnsi="微软雅黑" w:eastAsia="仿宋_GB2312" w:cs="宋体"/>
          <w:color w:val="000000" w:themeColor="text1"/>
          <w:spacing w:val="15"/>
          <w:sz w:val="30"/>
          <w:szCs w:val="30"/>
          <w14:textFill>
            <w14:solidFill>
              <w14:schemeClr w14:val="tx1"/>
            </w14:solidFill>
          </w14:textFill>
        </w:rPr>
      </w:pPr>
      <w:r>
        <w:rPr>
          <w:rFonts w:hint="eastAsia" w:ascii="仿宋_GB2312" w:hAnsi="微软雅黑" w:eastAsia="仿宋_GB2312" w:cs="宋体"/>
          <w:color w:val="333333"/>
          <w:spacing w:val="15"/>
          <w:sz w:val="30"/>
          <w:szCs w:val="30"/>
          <w:lang w:eastAsia="zh-CN"/>
        </w:rPr>
        <w:t>【责任追究和容错机制】</w:t>
      </w:r>
      <w:r>
        <w:rPr>
          <w:rFonts w:hint="eastAsia" w:ascii="仿宋_GB2312" w:hAnsi="微软雅黑" w:eastAsia="仿宋_GB2312" w:cs="宋体"/>
          <w:color w:val="000000" w:themeColor="text1"/>
          <w:spacing w:val="15"/>
          <w:sz w:val="30"/>
          <w:szCs w:val="30"/>
          <w14:textFill>
            <w14:solidFill>
              <w14:schemeClr w14:val="tx1"/>
            </w14:solidFill>
          </w14:textFill>
        </w:rPr>
        <w:t>相关部门、实施主体及相关人员在城市更新管理中有违法违纪行为的，应当依法依规追究相关责任。建立容错纠错机制，激励广大干部积极作为、敢于担当、攻坚克难、开拓创新。</w:t>
      </w:r>
    </w:p>
    <w:p>
      <w:pPr>
        <w:pStyle w:val="8"/>
        <w:keepNext w:val="0"/>
        <w:keepLines w:val="0"/>
        <w:pageBreakBefore w:val="0"/>
        <w:widowControl/>
        <w:kinsoku/>
        <w:wordWrap/>
        <w:overflowPunct/>
        <w:topLinePunct w:val="0"/>
        <w:autoSpaceDE/>
        <w:autoSpaceDN/>
        <w:bidi w:val="0"/>
        <w:adjustRightInd w:val="0"/>
        <w:snapToGrid w:val="0"/>
        <w:spacing w:beforeAutospacing="0" w:afterAutospacing="0" w:line="520" w:lineRule="exact"/>
        <w:ind w:left="0"/>
        <w:jc w:val="both"/>
        <w:textAlignment w:val="auto"/>
        <w:rPr>
          <w:rFonts w:hint="eastAsia" w:ascii="仿宋_GB2312" w:hAnsi="微软雅黑" w:eastAsia="仿宋_GB2312" w:cs="宋体"/>
          <w:color w:val="FF0000"/>
          <w:spacing w:val="15"/>
          <w:sz w:val="30"/>
          <w:szCs w:val="30"/>
        </w:rPr>
      </w:pPr>
    </w:p>
    <w:p>
      <w:pPr>
        <w:pStyle w:val="2"/>
        <w:keepNext w:val="0"/>
        <w:keepLines w:val="0"/>
        <w:pageBreakBefore w:val="0"/>
        <w:numPr>
          <w:ilvl w:val="0"/>
          <w:numId w:val="0"/>
        </w:numPr>
        <w:kinsoku/>
        <w:wordWrap/>
        <w:overflowPunct/>
        <w:topLinePunct w:val="0"/>
        <w:autoSpaceDE/>
        <w:autoSpaceDN/>
        <w:bidi w:val="0"/>
        <w:adjustRightInd w:val="0"/>
        <w:snapToGrid w:val="0"/>
        <w:spacing w:before="0" w:beforeLines="0" w:line="520" w:lineRule="exact"/>
        <w:ind w:left="0"/>
        <w:jc w:val="center"/>
        <w:textAlignment w:val="auto"/>
        <w:rPr>
          <w:rFonts w:hint="eastAsia"/>
        </w:rPr>
      </w:pPr>
      <w:bookmarkStart w:id="79" w:name="_Toc893"/>
      <w:r>
        <w:rPr>
          <w:rFonts w:hint="eastAsia"/>
        </w:rPr>
        <w:t>第七章 附则</w:t>
      </w:r>
      <w:bookmarkEnd w:id="69"/>
      <w:bookmarkEnd w:id="70"/>
      <w:bookmarkEnd w:id="71"/>
      <w:bookmarkEnd w:id="72"/>
      <w:bookmarkEnd w:id="73"/>
      <w:bookmarkEnd w:id="74"/>
      <w:bookmarkEnd w:id="75"/>
      <w:bookmarkEnd w:id="76"/>
      <w:bookmarkEnd w:id="77"/>
      <w:bookmarkEnd w:id="78"/>
      <w:bookmarkEnd w:id="79"/>
    </w:p>
    <w:p>
      <w:pPr>
        <w:rPr>
          <w:rFonts w:hint="eastAsia"/>
        </w:rPr>
      </w:pPr>
    </w:p>
    <w:p>
      <w:pPr>
        <w:pStyle w:val="8"/>
        <w:keepNext w:val="0"/>
        <w:keepLines w:val="0"/>
        <w:pageBreakBefore w:val="0"/>
        <w:widowControl/>
        <w:numPr>
          <w:ilvl w:val="0"/>
          <w:numId w:val="2"/>
        </w:numPr>
        <w:kinsoku/>
        <w:wordWrap/>
        <w:overflowPunct/>
        <w:topLinePunct w:val="0"/>
        <w:autoSpaceDE/>
        <w:autoSpaceDN/>
        <w:bidi w:val="0"/>
        <w:adjustRightInd w:val="0"/>
        <w:snapToGrid w:val="0"/>
        <w:spacing w:beforeAutospacing="0" w:afterAutospacing="0" w:line="520" w:lineRule="exact"/>
        <w:ind w:left="0" w:firstLine="660" w:firstLineChars="200"/>
        <w:jc w:val="both"/>
        <w:textAlignment w:val="auto"/>
        <w:rPr>
          <w:rFonts w:hint="eastAsia"/>
        </w:rPr>
      </w:pPr>
      <w:r>
        <w:rPr>
          <w:rFonts w:ascii="仿宋_GB2312" w:hAnsi="微软雅黑" w:eastAsia="仿宋_GB2312" w:cs="宋体"/>
          <w:color w:val="333333"/>
          <w:spacing w:val="15"/>
          <w:sz w:val="30"/>
          <w:szCs w:val="30"/>
        </w:rPr>
        <w:t>【施行时间】本办法自X年X月X日起施行。</w:t>
      </w:r>
    </w:p>
    <w:sectPr>
      <w:pgSz w:w="11906" w:h="16838"/>
      <w:pgMar w:top="1814" w:right="1531" w:bottom="1701" w:left="153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5A3A0A"/>
    <w:multiLevelType w:val="multilevel"/>
    <w:tmpl w:val="215A3A0A"/>
    <w:lvl w:ilvl="0" w:tentative="0">
      <w:start w:val="1"/>
      <w:numFmt w:val="chineseCountingThousand"/>
      <w:lvlText w:val="第%1条 "/>
      <w:lvlJc w:val="left"/>
      <w:pPr>
        <w:ind w:left="846" w:hanging="420"/>
      </w:pPr>
      <w:rPr>
        <w:rFonts w:hint="eastAsia" w:eastAsia="黑体"/>
        <w:color w:val="auto"/>
        <w:sz w:val="32"/>
        <w:lang w:val="en-US"/>
      </w:rPr>
    </w:lvl>
    <w:lvl w:ilvl="1" w:tentative="0">
      <w:start w:val="1"/>
      <w:numFmt w:val="lowerLetter"/>
      <w:lvlText w:val="%2)"/>
      <w:lvlJc w:val="left"/>
      <w:pPr>
        <w:ind w:left="1500" w:hanging="420"/>
      </w:pPr>
    </w:lvl>
    <w:lvl w:ilvl="2" w:tentative="0">
      <w:start w:val="1"/>
      <w:numFmt w:val="lowerRoman"/>
      <w:lvlText w:val="%3."/>
      <w:lvlJc w:val="right"/>
      <w:pPr>
        <w:ind w:left="1920" w:hanging="420"/>
      </w:pPr>
    </w:lvl>
    <w:lvl w:ilvl="3" w:tentative="0">
      <w:start w:val="1"/>
      <w:numFmt w:val="decimal"/>
      <w:lvlText w:val="%4."/>
      <w:lvlJc w:val="left"/>
      <w:pPr>
        <w:ind w:left="2340" w:hanging="420"/>
      </w:pPr>
    </w:lvl>
    <w:lvl w:ilvl="4" w:tentative="0">
      <w:start w:val="1"/>
      <w:numFmt w:val="lowerLetter"/>
      <w:lvlText w:val="%5)"/>
      <w:lvlJc w:val="left"/>
      <w:pPr>
        <w:ind w:left="2760" w:hanging="420"/>
      </w:pPr>
    </w:lvl>
    <w:lvl w:ilvl="5" w:tentative="0">
      <w:start w:val="1"/>
      <w:numFmt w:val="lowerRoman"/>
      <w:lvlText w:val="%6."/>
      <w:lvlJc w:val="right"/>
      <w:pPr>
        <w:ind w:left="3180" w:hanging="420"/>
      </w:pPr>
    </w:lvl>
    <w:lvl w:ilvl="6" w:tentative="0">
      <w:start w:val="1"/>
      <w:numFmt w:val="decimal"/>
      <w:lvlText w:val="%7."/>
      <w:lvlJc w:val="left"/>
      <w:pPr>
        <w:ind w:left="3600" w:hanging="420"/>
      </w:pPr>
    </w:lvl>
    <w:lvl w:ilvl="7" w:tentative="0">
      <w:start w:val="1"/>
      <w:numFmt w:val="lowerLetter"/>
      <w:lvlText w:val="%8)"/>
      <w:lvlJc w:val="left"/>
      <w:pPr>
        <w:ind w:left="4020" w:hanging="420"/>
      </w:pPr>
    </w:lvl>
    <w:lvl w:ilvl="8" w:tentative="0">
      <w:start w:val="1"/>
      <w:numFmt w:val="lowerRoman"/>
      <w:lvlText w:val="%9."/>
      <w:lvlJc w:val="right"/>
      <w:pPr>
        <w:ind w:left="4440" w:hanging="420"/>
      </w:pPr>
    </w:lvl>
  </w:abstractNum>
  <w:abstractNum w:abstractNumId="1">
    <w:nsid w:val="48425DC1"/>
    <w:multiLevelType w:val="multilevel"/>
    <w:tmpl w:val="48425DC1"/>
    <w:lvl w:ilvl="0" w:tentative="0">
      <w:start w:val="1"/>
      <w:numFmt w:val="chineseCountingThousand"/>
      <w:pStyle w:val="2"/>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714C3C10"/>
    <w:multiLevelType w:val="multilevel"/>
    <w:tmpl w:val="714C3C10"/>
    <w:lvl w:ilvl="0" w:tentative="0">
      <w:start w:val="1"/>
      <w:numFmt w:val="japaneseCounting"/>
      <w:lvlText w:val="（%1）"/>
      <w:lvlJc w:val="left"/>
      <w:pPr>
        <w:ind w:left="1740" w:hanging="1080"/>
      </w:pPr>
      <w:rPr>
        <w:rFonts w:hint="default"/>
      </w:rPr>
    </w:lvl>
    <w:lvl w:ilvl="1" w:tentative="0">
      <w:start w:val="1"/>
      <w:numFmt w:val="lowerLetter"/>
      <w:lvlText w:val="%2)"/>
      <w:lvlJc w:val="left"/>
      <w:pPr>
        <w:ind w:left="1500" w:hanging="420"/>
      </w:pPr>
    </w:lvl>
    <w:lvl w:ilvl="2" w:tentative="0">
      <w:start w:val="1"/>
      <w:numFmt w:val="lowerRoman"/>
      <w:lvlText w:val="%3."/>
      <w:lvlJc w:val="right"/>
      <w:pPr>
        <w:ind w:left="1920" w:hanging="420"/>
      </w:pPr>
    </w:lvl>
    <w:lvl w:ilvl="3" w:tentative="0">
      <w:start w:val="1"/>
      <w:numFmt w:val="decimal"/>
      <w:lvlText w:val="%4."/>
      <w:lvlJc w:val="left"/>
      <w:pPr>
        <w:ind w:left="2340" w:hanging="420"/>
      </w:pPr>
    </w:lvl>
    <w:lvl w:ilvl="4" w:tentative="0">
      <w:start w:val="1"/>
      <w:numFmt w:val="lowerLetter"/>
      <w:lvlText w:val="%5)"/>
      <w:lvlJc w:val="left"/>
      <w:pPr>
        <w:ind w:left="2760" w:hanging="420"/>
      </w:pPr>
    </w:lvl>
    <w:lvl w:ilvl="5" w:tentative="0">
      <w:start w:val="1"/>
      <w:numFmt w:val="lowerRoman"/>
      <w:lvlText w:val="%6."/>
      <w:lvlJc w:val="right"/>
      <w:pPr>
        <w:ind w:left="3180" w:hanging="420"/>
      </w:pPr>
    </w:lvl>
    <w:lvl w:ilvl="6" w:tentative="0">
      <w:start w:val="1"/>
      <w:numFmt w:val="decimal"/>
      <w:lvlText w:val="%7."/>
      <w:lvlJc w:val="left"/>
      <w:pPr>
        <w:ind w:left="3600" w:hanging="420"/>
      </w:pPr>
    </w:lvl>
    <w:lvl w:ilvl="7" w:tentative="0">
      <w:start w:val="1"/>
      <w:numFmt w:val="lowerLetter"/>
      <w:lvlText w:val="%8)"/>
      <w:lvlJc w:val="left"/>
      <w:pPr>
        <w:ind w:left="4020" w:hanging="420"/>
      </w:pPr>
    </w:lvl>
    <w:lvl w:ilvl="8" w:tentative="0">
      <w:start w:val="1"/>
      <w:numFmt w:val="lowerRoman"/>
      <w:lvlText w:val="%9."/>
      <w:lvlJc w:val="right"/>
      <w:pPr>
        <w:ind w:left="444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VlZTdiNGRhOGI2YWFlMjA2ZjhiZGNiNWNhNTYyYmEifQ=="/>
  </w:docVars>
  <w:rsids>
    <w:rsidRoot w:val="00A434F4"/>
    <w:rsid w:val="00092014"/>
    <w:rsid w:val="000D0772"/>
    <w:rsid w:val="000D2C85"/>
    <w:rsid w:val="000E708B"/>
    <w:rsid w:val="0019632F"/>
    <w:rsid w:val="001E136D"/>
    <w:rsid w:val="00247311"/>
    <w:rsid w:val="00260C8C"/>
    <w:rsid w:val="002751E9"/>
    <w:rsid w:val="002861F8"/>
    <w:rsid w:val="002A497C"/>
    <w:rsid w:val="00307E5E"/>
    <w:rsid w:val="0031387E"/>
    <w:rsid w:val="00324F27"/>
    <w:rsid w:val="00331A94"/>
    <w:rsid w:val="003467DB"/>
    <w:rsid w:val="003600D1"/>
    <w:rsid w:val="00360D39"/>
    <w:rsid w:val="0036649F"/>
    <w:rsid w:val="00382C10"/>
    <w:rsid w:val="003E4B70"/>
    <w:rsid w:val="004347CC"/>
    <w:rsid w:val="004914FA"/>
    <w:rsid w:val="004B193D"/>
    <w:rsid w:val="004C23B6"/>
    <w:rsid w:val="004C6EE2"/>
    <w:rsid w:val="004F0E09"/>
    <w:rsid w:val="005A4F59"/>
    <w:rsid w:val="0063133A"/>
    <w:rsid w:val="006315B8"/>
    <w:rsid w:val="00632B96"/>
    <w:rsid w:val="00633275"/>
    <w:rsid w:val="00650C03"/>
    <w:rsid w:val="006565C9"/>
    <w:rsid w:val="006A6E7E"/>
    <w:rsid w:val="006E6FDB"/>
    <w:rsid w:val="006F75FA"/>
    <w:rsid w:val="00756594"/>
    <w:rsid w:val="007B07BF"/>
    <w:rsid w:val="007E1B76"/>
    <w:rsid w:val="0081124E"/>
    <w:rsid w:val="008472DF"/>
    <w:rsid w:val="00886BE3"/>
    <w:rsid w:val="008B26C1"/>
    <w:rsid w:val="008C1559"/>
    <w:rsid w:val="008C3378"/>
    <w:rsid w:val="008D1970"/>
    <w:rsid w:val="009114CD"/>
    <w:rsid w:val="00916455"/>
    <w:rsid w:val="00923D78"/>
    <w:rsid w:val="009B375E"/>
    <w:rsid w:val="00A434F4"/>
    <w:rsid w:val="00B046ED"/>
    <w:rsid w:val="00B267BB"/>
    <w:rsid w:val="00B667F9"/>
    <w:rsid w:val="00BB4F83"/>
    <w:rsid w:val="00BE5E9E"/>
    <w:rsid w:val="00BF248E"/>
    <w:rsid w:val="00C21395"/>
    <w:rsid w:val="00C4238E"/>
    <w:rsid w:val="00C62B69"/>
    <w:rsid w:val="00CD1D1E"/>
    <w:rsid w:val="00CF0A7D"/>
    <w:rsid w:val="00D45D3D"/>
    <w:rsid w:val="00D52A65"/>
    <w:rsid w:val="00D958E1"/>
    <w:rsid w:val="00DC1EFB"/>
    <w:rsid w:val="00DE5F39"/>
    <w:rsid w:val="00E5536F"/>
    <w:rsid w:val="00E9001B"/>
    <w:rsid w:val="00EA0E3C"/>
    <w:rsid w:val="00EB2EE4"/>
    <w:rsid w:val="00EE7AC8"/>
    <w:rsid w:val="00F9240E"/>
    <w:rsid w:val="0B8306DB"/>
    <w:rsid w:val="21AF24F0"/>
    <w:rsid w:val="25982C3C"/>
    <w:rsid w:val="2C3D4753"/>
    <w:rsid w:val="63AF41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9"/>
    <w:pPr>
      <w:widowControl/>
      <w:numPr>
        <w:ilvl w:val="0"/>
        <w:numId w:val="1"/>
      </w:numPr>
      <w:spacing w:before="156" w:beforeLines="50"/>
      <w:jc w:val="left"/>
      <w:outlineLvl w:val="0"/>
    </w:pPr>
    <w:rPr>
      <w:rFonts w:ascii="黑体" w:hAnsi="黑体" w:eastAsia="黑体" w:cs="黑体"/>
      <w:b/>
      <w:bCs/>
      <w:kern w:val="36"/>
      <w:sz w:val="36"/>
      <w:szCs w:val="36"/>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semiHidden/>
    <w:unhideWhenUsed/>
    <w:qFormat/>
    <w:uiPriority w:val="99"/>
    <w:pPr>
      <w:jc w:val="left"/>
    </w:pPr>
  </w:style>
  <w:style w:type="paragraph" w:styleId="4">
    <w:name w:val="Balloon Text"/>
    <w:basedOn w:val="1"/>
    <w:link w:val="19"/>
    <w:semiHidden/>
    <w:unhideWhenUsed/>
    <w:qFormat/>
    <w:uiPriority w:val="99"/>
    <w:pPr>
      <w:spacing w:line="240" w:lineRule="auto"/>
    </w:pPr>
    <w:rPr>
      <w:sz w:val="18"/>
      <w:szCs w:val="18"/>
    </w:rPr>
  </w:style>
  <w:style w:type="paragraph" w:styleId="5">
    <w:name w:val="footer"/>
    <w:basedOn w:val="1"/>
    <w:link w:val="18"/>
    <w:unhideWhenUsed/>
    <w:qFormat/>
    <w:uiPriority w:val="99"/>
    <w:pPr>
      <w:tabs>
        <w:tab w:val="center" w:pos="4153"/>
        <w:tab w:val="right" w:pos="8306"/>
      </w:tabs>
      <w:spacing w:line="240" w:lineRule="auto"/>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pacing w:line="240" w:lineRule="auto"/>
      <w:jc w:val="center"/>
    </w:pPr>
    <w:rPr>
      <w:sz w:val="18"/>
      <w:szCs w:val="18"/>
    </w:rPr>
  </w:style>
  <w:style w:type="paragraph" w:styleId="7">
    <w:name w:val="toc 1"/>
    <w:basedOn w:val="1"/>
    <w:next w:val="1"/>
    <w:unhideWhenUsed/>
    <w:qFormat/>
    <w:uiPriority w:val="39"/>
    <w:pPr>
      <w:spacing w:before="120" w:after="120"/>
      <w:jc w:val="left"/>
    </w:pPr>
    <w:rPr>
      <w:rFonts w:eastAsiaTheme="minorHAnsi"/>
      <w:b/>
      <w:bCs/>
      <w:caps/>
      <w:sz w:val="20"/>
      <w:szCs w:val="20"/>
    </w:rPr>
  </w:style>
  <w:style w:type="paragraph" w:styleId="8">
    <w:name w:val="Normal (Web)"/>
    <w:basedOn w:val="1"/>
    <w:qFormat/>
    <w:uiPriority w:val="99"/>
    <w:pPr>
      <w:spacing w:beforeAutospacing="1" w:afterAutospacing="1"/>
      <w:jc w:val="left"/>
    </w:pPr>
    <w:rPr>
      <w:rFonts w:cs="Times New Roman"/>
      <w:kern w:val="0"/>
      <w:sz w:val="24"/>
      <w:szCs w:val="24"/>
    </w:rPr>
  </w:style>
  <w:style w:type="paragraph" w:styleId="9">
    <w:name w:val="annotation subject"/>
    <w:basedOn w:val="3"/>
    <w:next w:val="3"/>
    <w:link w:val="22"/>
    <w:semiHidden/>
    <w:unhideWhenUsed/>
    <w:qFormat/>
    <w:uiPriority w:val="99"/>
    <w:rPr>
      <w:b/>
      <w:bCs/>
    </w:rPr>
  </w:style>
  <w:style w:type="table" w:styleId="11">
    <w:name w:val="Table Grid"/>
    <w:basedOn w:val="10"/>
    <w:qFormat/>
    <w:uiPriority w:val="3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unhideWhenUsed/>
    <w:qFormat/>
    <w:uiPriority w:val="99"/>
    <w:rPr>
      <w:color w:val="0563C1" w:themeColor="hyperlink"/>
      <w:u w:val="single"/>
      <w14:textFill>
        <w14:solidFill>
          <w14:schemeClr w14:val="hlink"/>
        </w14:solidFill>
      </w14:textFill>
    </w:rPr>
  </w:style>
  <w:style w:type="character" w:styleId="15">
    <w:name w:val="annotation reference"/>
    <w:basedOn w:val="12"/>
    <w:semiHidden/>
    <w:unhideWhenUsed/>
    <w:qFormat/>
    <w:uiPriority w:val="99"/>
    <w:rPr>
      <w:sz w:val="21"/>
      <w:szCs w:val="21"/>
    </w:rPr>
  </w:style>
  <w:style w:type="character" w:customStyle="1" w:styleId="16">
    <w:name w:val="标题 1 字符"/>
    <w:basedOn w:val="12"/>
    <w:link w:val="2"/>
    <w:qFormat/>
    <w:uiPriority w:val="9"/>
    <w:rPr>
      <w:rFonts w:ascii="黑体" w:hAnsi="黑体" w:eastAsia="黑体" w:cs="黑体"/>
      <w:b/>
      <w:bCs/>
      <w:kern w:val="36"/>
      <w:sz w:val="36"/>
      <w:szCs w:val="36"/>
    </w:rPr>
  </w:style>
  <w:style w:type="character" w:customStyle="1" w:styleId="17">
    <w:name w:val="页眉 字符"/>
    <w:basedOn w:val="12"/>
    <w:link w:val="6"/>
    <w:qFormat/>
    <w:uiPriority w:val="99"/>
    <w:rPr>
      <w:sz w:val="18"/>
      <w:szCs w:val="18"/>
    </w:rPr>
  </w:style>
  <w:style w:type="character" w:customStyle="1" w:styleId="18">
    <w:name w:val="页脚 字符"/>
    <w:basedOn w:val="12"/>
    <w:link w:val="5"/>
    <w:qFormat/>
    <w:uiPriority w:val="99"/>
    <w:rPr>
      <w:sz w:val="18"/>
      <w:szCs w:val="18"/>
    </w:rPr>
  </w:style>
  <w:style w:type="character" w:customStyle="1" w:styleId="19">
    <w:name w:val="批注框文本 字符"/>
    <w:basedOn w:val="12"/>
    <w:link w:val="4"/>
    <w:semiHidden/>
    <w:qFormat/>
    <w:uiPriority w:val="99"/>
    <w:rPr>
      <w:sz w:val="18"/>
      <w:szCs w:val="18"/>
    </w:rPr>
  </w:style>
  <w:style w:type="paragraph" w:styleId="20">
    <w:name w:val="List Paragraph"/>
    <w:basedOn w:val="1"/>
    <w:qFormat/>
    <w:uiPriority w:val="34"/>
    <w:pPr>
      <w:ind w:firstLine="420" w:firstLineChars="200"/>
    </w:pPr>
  </w:style>
  <w:style w:type="character" w:customStyle="1" w:styleId="21">
    <w:name w:val="批注文字 字符"/>
    <w:basedOn w:val="12"/>
    <w:link w:val="3"/>
    <w:semiHidden/>
    <w:qFormat/>
    <w:uiPriority w:val="99"/>
  </w:style>
  <w:style w:type="character" w:customStyle="1" w:styleId="22">
    <w:name w:val="批注主题 字符"/>
    <w:basedOn w:val="21"/>
    <w:link w:val="9"/>
    <w:semiHidden/>
    <w:qFormat/>
    <w:uiPriority w:val="99"/>
    <w:rPr>
      <w:b/>
      <w:bCs/>
    </w:rPr>
  </w:style>
  <w:style w:type="paragraph" w:customStyle="1" w:styleId="23">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679F4-CF8B-43DE-9210-AA8C2A8D1543}">
  <ds:schemaRefs/>
</ds:datastoreItem>
</file>

<file path=docProps/app.xml><?xml version="1.0" encoding="utf-8"?>
<Properties xmlns="http://schemas.openxmlformats.org/officeDocument/2006/extended-properties" xmlns:vt="http://schemas.openxmlformats.org/officeDocument/2006/docPropsVTypes">
  <Template>Normal</Template>
  <Pages>13</Pages>
  <Words>5055</Words>
  <Characters>5058</Characters>
  <Lines>39</Lines>
  <Paragraphs>11</Paragraphs>
  <TotalTime>5</TotalTime>
  <ScaleCrop>false</ScaleCrop>
  <LinksUpToDate>false</LinksUpToDate>
  <CharactersWithSpaces>5152</CharactersWithSpaces>
  <Application>WPS Office_11.8.2.12162_F1E327BC-269C-435d-A152-05C5408002CA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2023-10-08T07:42:00Z</dcterms:created>
  <dc:creator>FH14684</dc:creator>
  <cp:lastModifiedBy>10504</cp:lastModifiedBy>
  <cp:lastPrinted>2024-08-07T03:46:02Z</cp:lastPrinted>
  <dcterms:modified xsi:type="dcterms:W3CDTF">2024-08-07T04:13:08Z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2052-11.8.2.12162</vt:lpwstr>
  </property>
  <property fmtid="{D5CDD505-2E9C-101B-9397-08002B2CF9AE}" pid="3" name="ICV">
    <vt:lpwstr>014B34BE1D3E448CA326F0B053F22C01</vt:lpwstr>
  </property>
</Properties>
</file>