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00" w:lineRule="exact"/>
        <w:jc w:val="left"/>
        <w:rPr>
          <w:rFonts w:ascii="黑体" w:hAnsi="黑体" w:eastAsia="黑体"/>
          <w:sz w:val="32"/>
          <w:szCs w:val="32"/>
        </w:rPr>
      </w:pPr>
      <w:bookmarkStart w:id="0" w:name="_Toc22339"/>
      <w:bookmarkStart w:id="1" w:name="_Toc1752"/>
      <w:bookmarkStart w:id="2" w:name="_Toc11252"/>
      <w:bookmarkStart w:id="3" w:name="_Toc18188"/>
      <w:bookmarkStart w:id="4" w:name="_Toc5715"/>
      <w:bookmarkStart w:id="5" w:name="_Toc4724"/>
      <w:bookmarkStart w:id="6" w:name="_Toc29439"/>
      <w:bookmarkStart w:id="7" w:name="_Toc10697"/>
      <w:bookmarkStart w:id="8" w:name="_Toc24556"/>
      <w:bookmarkStart w:id="9" w:name="_Toc30360"/>
      <w:bookmarkStart w:id="10" w:name="_Toc14209"/>
      <w:bookmarkStart w:id="11" w:name="_Toc913"/>
      <w:bookmarkStart w:id="12" w:name="_Toc20459"/>
      <w:bookmarkStart w:id="13" w:name="_Toc22484"/>
      <w:bookmarkStart w:id="14" w:name="_Toc30975"/>
      <w:r>
        <w:rPr>
          <w:rFonts w:hint="eastAsia" w:ascii="黑体" w:hAnsi="黑体" w:eastAsia="黑体" w:cs="黑体"/>
          <w:sz w:val="32"/>
          <w:szCs w:val="32"/>
        </w:rPr>
        <w:t>附件</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Fonts w:ascii="黑体" w:hAnsi="黑体" w:eastAsia="黑体" w:cs="黑体"/>
          <w:sz w:val="32"/>
          <w:szCs w:val="32"/>
        </w:rPr>
        <w:t>10</w:t>
      </w:r>
    </w:p>
    <w:p>
      <w:pPr>
        <w:widowControl/>
        <w:spacing w:line="500" w:lineRule="exact"/>
        <w:jc w:val="left"/>
        <w:rPr>
          <w:rFonts w:ascii="黑体" w:hAnsi="黑体" w:eastAsia="黑体"/>
          <w:sz w:val="32"/>
          <w:szCs w:val="32"/>
        </w:rPr>
      </w:pPr>
    </w:p>
    <w:p>
      <w:pPr>
        <w:spacing w:line="520" w:lineRule="exact"/>
        <w:jc w:val="center"/>
        <w:rPr>
          <w:rFonts w:ascii="方正小标宋简体" w:hAnsi="方正小标宋_GBK" w:eastAsia="方正小标宋简体"/>
          <w:sz w:val="40"/>
          <w:szCs w:val="40"/>
        </w:rPr>
      </w:pPr>
      <w:bookmarkStart w:id="15" w:name="_GoBack"/>
      <w:r>
        <w:rPr>
          <w:rFonts w:hint="eastAsia" w:ascii="方正小标宋简体" w:hAnsi="方正小标宋_GBK" w:eastAsia="方正小标宋简体" w:cs="方正小标宋简体"/>
          <w:b w:val="0"/>
          <w:color w:val="000000"/>
          <w:kern w:val="2"/>
          <w:sz w:val="44"/>
          <w:szCs w:val="44"/>
          <w:lang w:val="en-US" w:eastAsia="zh-CN" w:bidi="ar-SA"/>
        </w:rPr>
        <w:t>第四届“中国创翼”创业创新大赛新疆赛区</w:t>
      </w:r>
      <w:r>
        <w:rPr>
          <w:rFonts w:hint="eastAsia" w:ascii="方正小标宋简体" w:hAnsi="方正小标宋简体" w:eastAsia="方正小标宋简体" w:cs="方正小标宋简体"/>
          <w:b w:val="0"/>
          <w:bCs/>
          <w:sz w:val="44"/>
          <w:szCs w:val="44"/>
        </w:rPr>
        <w:t>选拔赛</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rPr>
        <w:t>2020年自治区创业</w:t>
      </w:r>
      <w:r>
        <w:rPr>
          <w:rFonts w:hint="eastAsia" w:ascii="方正小标宋简体" w:hAnsi="方正小标宋简体" w:eastAsia="方正小标宋简体" w:cs="方正小标宋简体"/>
          <w:b w:val="0"/>
          <w:bCs/>
          <w:color w:val="000000"/>
          <w:sz w:val="44"/>
          <w:szCs w:val="44"/>
        </w:rPr>
        <w:t>创新大赛</w:t>
      </w:r>
      <w:r>
        <w:rPr>
          <w:rFonts w:hint="eastAsia" w:ascii="方正小标宋简体" w:hAnsi="方正小标宋简体" w:eastAsia="方正小标宋简体" w:cs="方正小标宋简体"/>
          <w:b w:val="0"/>
          <w:bCs/>
          <w:color w:val="000000"/>
          <w:sz w:val="44"/>
          <w:szCs w:val="44"/>
          <w:lang w:val="en-US" w:eastAsia="zh-CN"/>
        </w:rPr>
        <w:t>暨哈密市第五届青年创业创新大赛</w:t>
      </w:r>
      <w:r>
        <w:rPr>
          <w:rFonts w:hint="eastAsia" w:ascii="方正小标宋简体" w:hAnsi="方正小标宋_GBK" w:eastAsia="方正小标宋简体" w:cs="方正小标宋简体"/>
          <w:sz w:val="40"/>
          <w:szCs w:val="40"/>
        </w:rPr>
        <w:t>评委打分表</w:t>
      </w:r>
    </w:p>
    <w:bookmarkEnd w:id="15"/>
    <w:p>
      <w:pPr>
        <w:spacing w:afterLines="50" w:line="520" w:lineRule="exact"/>
        <w:jc w:val="center"/>
        <w:rPr>
          <w:rFonts w:hint="eastAsia" w:ascii="仿宋_GB2312" w:hAnsi="仿宋" w:eastAsia="仿宋_GB2312"/>
          <w:sz w:val="32"/>
          <w:szCs w:val="32"/>
        </w:rPr>
      </w:pPr>
      <w:r>
        <w:rPr>
          <w:rFonts w:hint="eastAsia" w:ascii="仿宋_GB2312" w:hAnsi="仿宋" w:eastAsia="仿宋_GB2312" w:cs="仿宋_GB2312"/>
          <w:sz w:val="32"/>
          <w:szCs w:val="32"/>
        </w:rPr>
        <w:t>（创业扶贫专项赛）</w:t>
      </w:r>
    </w:p>
    <w:tbl>
      <w:tblPr>
        <w:tblStyle w:val="3"/>
        <w:tblW w:w="9682" w:type="dxa"/>
        <w:jc w:val="center"/>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7065"/>
        <w:gridCol w:w="873"/>
        <w:gridCol w:w="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0"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指标</w:t>
            </w:r>
          </w:p>
        </w:tc>
        <w:tc>
          <w:tcPr>
            <w:tcW w:w="7065"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描述</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各项</w:t>
            </w: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满分</w:t>
            </w:r>
          </w:p>
        </w:tc>
        <w:tc>
          <w:tcPr>
            <w:tcW w:w="954" w:type="dxa"/>
            <w:vAlign w:val="top"/>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评委</w:t>
            </w: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jc w:val="center"/>
        </w:trPr>
        <w:tc>
          <w:tcPr>
            <w:tcW w:w="790" w:type="dxa"/>
            <w:vMerge w:val="restart"/>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创新性</w:t>
            </w: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20分</w:t>
            </w:r>
          </w:p>
        </w:tc>
        <w:tc>
          <w:tcPr>
            <w:tcW w:w="7065" w:type="dxa"/>
            <w:vAlign w:val="center"/>
          </w:tcPr>
          <w:p>
            <w:pPr>
              <w:spacing w:line="360" w:lineRule="exact"/>
              <w:rPr>
                <w:rFonts w:hint="eastAsia" w:ascii="仿宋_GB2312" w:hAnsi="仿宋" w:eastAsia="仿宋_GB2312"/>
                <w:kern w:val="0"/>
                <w:sz w:val="24"/>
                <w:szCs w:val="24"/>
              </w:rPr>
            </w:pPr>
            <w:r>
              <w:rPr>
                <w:rFonts w:hint="eastAsia" w:ascii="仿宋_GB2312" w:hAnsi="仿宋" w:eastAsia="仿宋_GB2312" w:cs="仿宋_GB2312"/>
                <w:kern w:val="0"/>
                <w:sz w:val="24"/>
                <w:szCs w:val="24"/>
              </w:rPr>
              <w:t>1.技术和产品具有原创性、创新性。</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10分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jc w:val="center"/>
        </w:trPr>
        <w:tc>
          <w:tcPr>
            <w:tcW w:w="790" w:type="dxa"/>
            <w:vMerge w:val="continue"/>
            <w:vAlign w:val="center"/>
          </w:tcPr>
          <w:p>
            <w:pPr>
              <w:spacing w:line="360" w:lineRule="exact"/>
              <w:jc w:val="center"/>
              <w:rPr>
                <w:rFonts w:hint="eastAsia" w:ascii="仿宋_GB2312" w:hAnsi="仿宋" w:eastAsia="仿宋_GB2312"/>
                <w:kern w:val="0"/>
                <w:sz w:val="24"/>
                <w:szCs w:val="24"/>
              </w:rPr>
            </w:pPr>
          </w:p>
        </w:tc>
        <w:tc>
          <w:tcPr>
            <w:tcW w:w="7065" w:type="dxa"/>
            <w:vAlign w:val="center"/>
          </w:tcPr>
          <w:p>
            <w:pPr>
              <w:spacing w:line="360" w:lineRule="exact"/>
              <w:rPr>
                <w:rFonts w:hint="eastAsia" w:ascii="仿宋_GB2312" w:hAnsi="仿宋" w:eastAsia="仿宋_GB2312"/>
                <w:kern w:val="0"/>
                <w:sz w:val="24"/>
                <w:szCs w:val="24"/>
              </w:rPr>
            </w:pPr>
            <w:r>
              <w:rPr>
                <w:rFonts w:hint="eastAsia" w:ascii="仿宋_GB2312" w:hAnsi="仿宋" w:eastAsia="仿宋_GB2312" w:cs="仿宋_GB2312"/>
                <w:kern w:val="0"/>
                <w:sz w:val="24"/>
                <w:szCs w:val="24"/>
              </w:rPr>
              <w:t>2.技术和产品具有行业领先性或取得了专利等知识产权成果，能填补国内外空白，项目在某个行业或领域具有示范性和引领性。</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5分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790" w:type="dxa"/>
            <w:vMerge w:val="continue"/>
            <w:vAlign w:val="center"/>
          </w:tcPr>
          <w:p>
            <w:pPr>
              <w:spacing w:line="360" w:lineRule="exact"/>
              <w:jc w:val="center"/>
              <w:rPr>
                <w:rFonts w:hint="eastAsia" w:ascii="仿宋_GB2312" w:hAnsi="仿宋" w:eastAsia="仿宋_GB2312"/>
                <w:kern w:val="0"/>
                <w:sz w:val="24"/>
                <w:szCs w:val="24"/>
              </w:rPr>
            </w:pPr>
          </w:p>
        </w:tc>
        <w:tc>
          <w:tcPr>
            <w:tcW w:w="7065" w:type="dxa"/>
            <w:vAlign w:val="center"/>
          </w:tcPr>
          <w:p>
            <w:pPr>
              <w:spacing w:line="360" w:lineRule="exact"/>
              <w:rPr>
                <w:rFonts w:hint="eastAsia" w:ascii="仿宋_GB2312" w:hAnsi="仿宋" w:eastAsia="仿宋_GB2312"/>
                <w:kern w:val="0"/>
                <w:sz w:val="24"/>
                <w:szCs w:val="24"/>
              </w:rPr>
            </w:pPr>
            <w:r>
              <w:rPr>
                <w:rFonts w:hint="eastAsia" w:ascii="仿宋_GB2312" w:hAnsi="仿宋" w:eastAsia="仿宋_GB2312" w:cs="仿宋_GB2312"/>
                <w:kern w:val="0"/>
                <w:sz w:val="24"/>
                <w:szCs w:val="24"/>
              </w:rPr>
              <w:t>3.项目商业模式具有创新性、项目管理和服务方式具有创新性。</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5分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3" w:hRule="atLeast"/>
          <w:jc w:val="center"/>
        </w:trPr>
        <w:tc>
          <w:tcPr>
            <w:tcW w:w="790" w:type="dxa"/>
            <w:vMerge w:val="restart"/>
            <w:vAlign w:val="center"/>
          </w:tcPr>
          <w:p>
            <w:pPr>
              <w:spacing w:line="360" w:lineRule="exact"/>
              <w:jc w:val="center"/>
              <w:rPr>
                <w:rFonts w:hint="eastAsia" w:ascii="仿宋_GB2312" w:hAnsi="仿宋" w:eastAsia="仿宋_GB2312"/>
                <w:kern w:val="0"/>
                <w:sz w:val="24"/>
                <w:szCs w:val="24"/>
              </w:rPr>
            </w:pP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社会</w:t>
            </w: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价值</w:t>
            </w: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30分</w:t>
            </w:r>
          </w:p>
          <w:p>
            <w:pPr>
              <w:spacing w:line="360" w:lineRule="exact"/>
              <w:jc w:val="center"/>
              <w:rPr>
                <w:rFonts w:hint="eastAsia" w:ascii="仿宋_GB2312" w:hAnsi="仿宋" w:eastAsia="仿宋_GB2312"/>
                <w:kern w:val="0"/>
                <w:sz w:val="24"/>
                <w:szCs w:val="24"/>
              </w:rPr>
            </w:pPr>
          </w:p>
        </w:tc>
        <w:tc>
          <w:tcPr>
            <w:tcW w:w="7065" w:type="dxa"/>
            <w:vAlign w:val="center"/>
          </w:tcPr>
          <w:p>
            <w:pPr>
              <w:spacing w:line="360" w:lineRule="exact"/>
              <w:rPr>
                <w:rFonts w:hint="eastAsia" w:ascii="仿宋_GB2312" w:hAnsi="仿宋" w:eastAsia="仿宋_GB2312"/>
                <w:kern w:val="0"/>
                <w:sz w:val="24"/>
                <w:szCs w:val="24"/>
              </w:rPr>
            </w:pPr>
            <w:r>
              <w:rPr>
                <w:rFonts w:hint="eastAsia" w:ascii="仿宋_GB2312" w:hAnsi="仿宋" w:eastAsia="仿宋_GB2312" w:cs="仿宋_GB2312"/>
                <w:kern w:val="0"/>
                <w:sz w:val="24"/>
                <w:szCs w:val="24"/>
              </w:rPr>
              <w:t>1.项目直接带动就业数量(晋级全国决赛的项目须提供县级以上人社部门或乡镇人民政府出具的证明)，间接带动就业数量，预计未来3年将创造就业岗位的数量规模。</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10分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0" w:hRule="atLeast"/>
          <w:jc w:val="center"/>
        </w:trPr>
        <w:tc>
          <w:tcPr>
            <w:tcW w:w="790" w:type="dxa"/>
            <w:vMerge w:val="continue"/>
            <w:vAlign w:val="center"/>
          </w:tcPr>
          <w:p>
            <w:pPr>
              <w:spacing w:line="360" w:lineRule="exact"/>
              <w:jc w:val="center"/>
              <w:rPr>
                <w:rFonts w:hint="eastAsia" w:ascii="仿宋_GB2312" w:hAnsi="仿宋" w:eastAsia="仿宋_GB2312"/>
                <w:kern w:val="0"/>
                <w:sz w:val="24"/>
                <w:szCs w:val="24"/>
              </w:rPr>
            </w:pPr>
          </w:p>
        </w:tc>
        <w:tc>
          <w:tcPr>
            <w:tcW w:w="7065" w:type="dxa"/>
            <w:vAlign w:val="center"/>
          </w:tcPr>
          <w:p>
            <w:pPr>
              <w:spacing w:line="360" w:lineRule="exact"/>
              <w:rPr>
                <w:rFonts w:hint="eastAsia" w:ascii="仿宋_GB2312" w:hAnsi="仿宋" w:eastAsia="仿宋_GB2312"/>
                <w:kern w:val="0"/>
                <w:sz w:val="24"/>
                <w:szCs w:val="24"/>
              </w:rPr>
            </w:pPr>
            <w:r>
              <w:rPr>
                <w:rFonts w:hint="eastAsia" w:ascii="仿宋_GB2312" w:hAnsi="仿宋" w:eastAsia="仿宋_GB2312" w:cs="仿宋_GB2312"/>
                <w:kern w:val="0"/>
                <w:sz w:val="24"/>
                <w:szCs w:val="24"/>
              </w:rPr>
              <w:t>2.项目的社会贡献，带动</w:t>
            </w:r>
            <w:r>
              <w:rPr>
                <w:rFonts w:hint="eastAsia" w:ascii="仿宋_GB2312" w:hAnsi="仿宋" w:eastAsia="仿宋_GB2312" w:cs="仿宋_GB2312"/>
                <w:sz w:val="24"/>
                <w:szCs w:val="24"/>
              </w:rPr>
              <w:t>当地产业发展、资源利用、</w:t>
            </w:r>
            <w:r>
              <w:rPr>
                <w:rFonts w:hint="eastAsia" w:ascii="仿宋_GB2312" w:hAnsi="仿宋" w:eastAsia="仿宋_GB2312" w:cs="仿宋_GB2312"/>
                <w:kern w:val="0"/>
                <w:sz w:val="24"/>
                <w:szCs w:val="24"/>
              </w:rPr>
              <w:t>民族文化传承，带动特殊群体或困难群体就业创业，促进建档立卡困难家庭和群众增收等。</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10分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790" w:type="dxa"/>
            <w:vMerge w:val="continue"/>
            <w:vAlign w:val="center"/>
          </w:tcPr>
          <w:p>
            <w:pPr>
              <w:spacing w:line="360" w:lineRule="exact"/>
              <w:jc w:val="center"/>
              <w:rPr>
                <w:rFonts w:hint="eastAsia" w:ascii="仿宋_GB2312" w:hAnsi="仿宋" w:eastAsia="仿宋_GB2312"/>
                <w:kern w:val="0"/>
                <w:sz w:val="24"/>
                <w:szCs w:val="24"/>
              </w:rPr>
            </w:pPr>
          </w:p>
        </w:tc>
        <w:tc>
          <w:tcPr>
            <w:tcW w:w="7065" w:type="dxa"/>
            <w:vAlign w:val="center"/>
          </w:tcPr>
          <w:p>
            <w:pPr>
              <w:spacing w:line="360" w:lineRule="exact"/>
              <w:rPr>
                <w:rFonts w:hint="eastAsia" w:ascii="仿宋_GB2312" w:hAnsi="仿宋" w:eastAsia="仿宋_GB2312"/>
                <w:kern w:val="0"/>
                <w:sz w:val="24"/>
                <w:szCs w:val="24"/>
              </w:rPr>
            </w:pPr>
            <w:r>
              <w:rPr>
                <w:rFonts w:hint="eastAsia" w:ascii="仿宋_GB2312" w:hAnsi="仿宋" w:eastAsia="仿宋_GB2312" w:cs="仿宋_GB2312"/>
                <w:kern w:val="0"/>
                <w:sz w:val="24"/>
                <w:szCs w:val="24"/>
              </w:rPr>
              <w:t>3.促进节能减排、环境保护、推动绿色发展。</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10分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90" w:type="dxa"/>
            <w:vMerge w:val="restart"/>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项目</w:t>
            </w: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团队</w:t>
            </w: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20分</w:t>
            </w:r>
          </w:p>
        </w:tc>
        <w:tc>
          <w:tcPr>
            <w:tcW w:w="7065" w:type="dxa"/>
            <w:vAlign w:val="center"/>
          </w:tcPr>
          <w:p>
            <w:pPr>
              <w:pStyle w:val="4"/>
              <w:widowControl/>
              <w:adjustRightInd w:val="0"/>
              <w:snapToGrid w:val="0"/>
              <w:spacing w:line="360" w:lineRule="exact"/>
              <w:ind w:right="-53" w:rightChars="-25" w:firstLine="0" w:firstLineChars="0"/>
              <w:jc w:val="left"/>
              <w:rPr>
                <w:rFonts w:hint="eastAsia" w:ascii="仿宋_GB2312" w:hAnsi="仿宋" w:eastAsia="仿宋_GB2312" w:cs="Times New Roman"/>
                <w:kern w:val="0"/>
                <w:sz w:val="24"/>
                <w:szCs w:val="24"/>
              </w:rPr>
            </w:pPr>
            <w:r>
              <w:rPr>
                <w:rFonts w:hint="eastAsia" w:ascii="仿宋_GB2312" w:hAnsi="仿宋" w:eastAsia="仿宋_GB2312" w:cs="仿宋_GB2312"/>
                <w:kern w:val="0"/>
                <w:sz w:val="24"/>
                <w:szCs w:val="24"/>
              </w:rPr>
              <w:t>1.项目第一创始人的素质、能力、背景和经历。</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10分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 w:hRule="atLeast"/>
          <w:jc w:val="center"/>
        </w:trPr>
        <w:tc>
          <w:tcPr>
            <w:tcW w:w="790" w:type="dxa"/>
            <w:vMerge w:val="continue"/>
            <w:vAlign w:val="center"/>
          </w:tcPr>
          <w:p>
            <w:pPr>
              <w:spacing w:line="360" w:lineRule="exact"/>
              <w:jc w:val="center"/>
              <w:rPr>
                <w:rFonts w:hint="eastAsia" w:ascii="仿宋_GB2312" w:hAnsi="仿宋" w:eastAsia="仿宋_GB2312"/>
                <w:kern w:val="0"/>
                <w:sz w:val="24"/>
                <w:szCs w:val="24"/>
              </w:rPr>
            </w:pPr>
          </w:p>
        </w:tc>
        <w:tc>
          <w:tcPr>
            <w:tcW w:w="7065" w:type="dxa"/>
            <w:vAlign w:val="center"/>
          </w:tcPr>
          <w:p>
            <w:pPr>
              <w:pStyle w:val="4"/>
              <w:widowControl/>
              <w:adjustRightInd w:val="0"/>
              <w:snapToGrid w:val="0"/>
              <w:spacing w:line="360" w:lineRule="exact"/>
              <w:ind w:right="-53" w:rightChars="-25" w:firstLine="0" w:firstLineChars="0"/>
              <w:jc w:val="left"/>
              <w:rPr>
                <w:rFonts w:hint="eastAsia" w:ascii="仿宋_GB2312" w:hAnsi="仿宋" w:eastAsia="仿宋_GB2312" w:cs="Times New Roman"/>
                <w:kern w:val="0"/>
                <w:sz w:val="24"/>
                <w:szCs w:val="24"/>
              </w:rPr>
            </w:pPr>
            <w:r>
              <w:rPr>
                <w:rFonts w:hint="eastAsia" w:ascii="仿宋_GB2312" w:hAnsi="仿宋" w:eastAsia="仿宋_GB2312" w:cs="仿宋_GB2312"/>
                <w:kern w:val="0"/>
                <w:sz w:val="24"/>
                <w:szCs w:val="24"/>
              </w:rPr>
              <w:t>2.团队其他成员配备的科学性、完整性和互补性。</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5分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 w:hRule="atLeast"/>
          <w:jc w:val="center"/>
        </w:trPr>
        <w:tc>
          <w:tcPr>
            <w:tcW w:w="790" w:type="dxa"/>
            <w:vMerge w:val="continue"/>
            <w:vAlign w:val="center"/>
          </w:tcPr>
          <w:p>
            <w:pPr>
              <w:spacing w:line="360" w:lineRule="exact"/>
              <w:jc w:val="center"/>
              <w:rPr>
                <w:rFonts w:hint="eastAsia" w:ascii="仿宋_GB2312" w:hAnsi="仿宋" w:eastAsia="仿宋_GB2312"/>
                <w:kern w:val="0"/>
                <w:sz w:val="24"/>
                <w:szCs w:val="24"/>
              </w:rPr>
            </w:pPr>
          </w:p>
        </w:tc>
        <w:tc>
          <w:tcPr>
            <w:tcW w:w="7065" w:type="dxa"/>
            <w:vAlign w:val="center"/>
          </w:tcPr>
          <w:p>
            <w:pPr>
              <w:pStyle w:val="4"/>
              <w:widowControl/>
              <w:adjustRightInd w:val="0"/>
              <w:snapToGrid w:val="0"/>
              <w:spacing w:line="360" w:lineRule="exact"/>
              <w:ind w:right="-53" w:rightChars="-25" w:firstLine="0" w:firstLineChars="0"/>
              <w:jc w:val="left"/>
              <w:rPr>
                <w:rFonts w:hint="eastAsia" w:ascii="仿宋_GB2312" w:hAnsi="仿宋" w:eastAsia="仿宋_GB2312" w:cs="Times New Roman"/>
                <w:kern w:val="0"/>
                <w:sz w:val="24"/>
                <w:szCs w:val="24"/>
              </w:rPr>
            </w:pPr>
            <w:r>
              <w:rPr>
                <w:rFonts w:hint="eastAsia" w:ascii="仿宋_GB2312" w:hAnsi="仿宋" w:eastAsia="仿宋_GB2312" w:cs="仿宋_GB2312"/>
                <w:kern w:val="0"/>
                <w:sz w:val="24"/>
                <w:szCs w:val="24"/>
              </w:rPr>
              <w:t>3.团队的整体运营能力和执行能力。</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5分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790" w:type="dxa"/>
            <w:vMerge w:val="restart"/>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发展现状和前景</w:t>
            </w: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30分</w:t>
            </w:r>
          </w:p>
        </w:tc>
        <w:tc>
          <w:tcPr>
            <w:tcW w:w="7065" w:type="dxa"/>
            <w:vAlign w:val="center"/>
          </w:tcPr>
          <w:p>
            <w:pPr>
              <w:pStyle w:val="4"/>
              <w:spacing w:line="360" w:lineRule="exact"/>
              <w:ind w:firstLine="0" w:firstLineChars="0"/>
              <w:rPr>
                <w:rFonts w:hint="eastAsia" w:ascii="仿宋_GB2312" w:hAnsi="仿宋" w:eastAsia="仿宋_GB2312" w:cs="Times New Roman"/>
                <w:kern w:val="0"/>
                <w:sz w:val="24"/>
                <w:szCs w:val="24"/>
              </w:rPr>
            </w:pPr>
            <w:r>
              <w:rPr>
                <w:rFonts w:hint="eastAsia" w:ascii="仿宋_GB2312" w:hAnsi="仿宋" w:eastAsia="仿宋_GB2312" w:cs="仿宋_GB2312"/>
                <w:kern w:val="0"/>
                <w:sz w:val="24"/>
                <w:szCs w:val="24"/>
              </w:rPr>
              <w:t>1.项目是否具有广阔的市场前景，具备大范围推广的可行性和条件。</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10分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90" w:type="dxa"/>
            <w:vMerge w:val="continue"/>
            <w:vAlign w:val="center"/>
          </w:tcPr>
          <w:p>
            <w:pPr>
              <w:spacing w:line="360" w:lineRule="exact"/>
              <w:jc w:val="center"/>
              <w:rPr>
                <w:rFonts w:hint="eastAsia" w:ascii="仿宋_GB2312" w:hAnsi="仿宋" w:eastAsia="仿宋_GB2312"/>
                <w:kern w:val="0"/>
                <w:sz w:val="24"/>
                <w:szCs w:val="24"/>
              </w:rPr>
            </w:pPr>
          </w:p>
        </w:tc>
        <w:tc>
          <w:tcPr>
            <w:tcW w:w="7065" w:type="dxa"/>
            <w:vAlign w:val="center"/>
          </w:tcPr>
          <w:p>
            <w:pPr>
              <w:pStyle w:val="4"/>
              <w:widowControl/>
              <w:adjustRightInd w:val="0"/>
              <w:snapToGrid w:val="0"/>
              <w:spacing w:line="360" w:lineRule="exact"/>
              <w:ind w:firstLine="0" w:firstLineChars="0"/>
              <w:jc w:val="left"/>
              <w:rPr>
                <w:rFonts w:hint="eastAsia" w:ascii="仿宋_GB2312" w:hAnsi="仿宋" w:eastAsia="仿宋_GB2312" w:cs="Times New Roman"/>
                <w:kern w:val="0"/>
                <w:sz w:val="24"/>
                <w:szCs w:val="24"/>
              </w:rPr>
            </w:pPr>
            <w:r>
              <w:rPr>
                <w:rFonts w:hint="eastAsia" w:ascii="仿宋_GB2312" w:hAnsi="仿宋" w:eastAsia="仿宋_GB2312" w:cs="仿宋_GB2312"/>
                <w:kern w:val="0"/>
                <w:sz w:val="24"/>
                <w:szCs w:val="24"/>
              </w:rPr>
              <w:t>2.项目可持续发展的能力，及经济价值。</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10分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jc w:val="center"/>
        </w:trPr>
        <w:tc>
          <w:tcPr>
            <w:tcW w:w="790" w:type="dxa"/>
            <w:vMerge w:val="continue"/>
            <w:vAlign w:val="center"/>
          </w:tcPr>
          <w:p>
            <w:pPr>
              <w:spacing w:line="360" w:lineRule="exact"/>
              <w:jc w:val="center"/>
              <w:rPr>
                <w:rFonts w:hint="eastAsia" w:ascii="仿宋_GB2312" w:hAnsi="仿宋" w:eastAsia="仿宋_GB2312"/>
                <w:kern w:val="0"/>
                <w:sz w:val="24"/>
                <w:szCs w:val="24"/>
              </w:rPr>
            </w:pPr>
          </w:p>
        </w:tc>
        <w:tc>
          <w:tcPr>
            <w:tcW w:w="7065" w:type="dxa"/>
            <w:vAlign w:val="center"/>
          </w:tcPr>
          <w:p>
            <w:pPr>
              <w:pStyle w:val="4"/>
              <w:spacing w:line="360" w:lineRule="exact"/>
              <w:ind w:firstLine="0" w:firstLineChars="0"/>
              <w:rPr>
                <w:rFonts w:hint="eastAsia" w:ascii="仿宋_GB2312" w:hAnsi="仿宋" w:eastAsia="仿宋_GB2312" w:cs="Times New Roman"/>
                <w:kern w:val="0"/>
                <w:sz w:val="24"/>
                <w:szCs w:val="24"/>
              </w:rPr>
            </w:pPr>
            <w:r>
              <w:rPr>
                <w:rFonts w:hint="eastAsia" w:ascii="仿宋_GB2312" w:hAnsi="仿宋" w:eastAsia="仿宋_GB2312" w:cs="仿宋_GB2312"/>
                <w:kern w:val="0"/>
                <w:sz w:val="24"/>
                <w:szCs w:val="24"/>
              </w:rPr>
              <w:t>3.项目运营现状和财务状况，取得的进展和成绩。</w:t>
            </w:r>
          </w:p>
        </w:tc>
        <w:tc>
          <w:tcPr>
            <w:tcW w:w="873"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10分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5" w:hRule="atLeast"/>
          <w:jc w:val="center"/>
        </w:trPr>
        <w:tc>
          <w:tcPr>
            <w:tcW w:w="790"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总分</w:t>
            </w:r>
          </w:p>
        </w:tc>
        <w:tc>
          <w:tcPr>
            <w:tcW w:w="7065" w:type="dxa"/>
            <w:vAlign w:val="center"/>
          </w:tcPr>
          <w:p>
            <w:pPr>
              <w:tabs>
                <w:tab w:val="left" w:pos="2065"/>
              </w:tabs>
              <w:bidi w:val="0"/>
              <w:jc w:val="left"/>
              <w:rPr>
                <w:rFonts w:hint="eastAsia" w:ascii="Calibri" w:hAnsi="Calibri" w:eastAsia="宋体" w:cs="Times New Roman"/>
                <w:kern w:val="2"/>
                <w:sz w:val="21"/>
                <w:szCs w:val="24"/>
                <w:lang w:val="en-US" w:eastAsia="zh-CN" w:bidi="ar-SA"/>
              </w:rPr>
            </w:pPr>
          </w:p>
        </w:tc>
        <w:tc>
          <w:tcPr>
            <w:tcW w:w="873" w:type="dxa"/>
            <w:vAlign w:val="center"/>
          </w:tcPr>
          <w:p>
            <w:pPr>
              <w:spacing w:line="360" w:lineRule="exact"/>
              <w:jc w:val="both"/>
              <w:rPr>
                <w:rFonts w:hint="eastAsia" w:ascii="仿宋_GB2312" w:hAnsi="仿宋" w:eastAsia="仿宋_GB2312"/>
                <w:kern w:val="0"/>
                <w:sz w:val="24"/>
                <w:szCs w:val="24"/>
              </w:rPr>
            </w:pPr>
            <w:r>
              <w:rPr>
                <w:rFonts w:hint="eastAsia" w:ascii="仿宋_GB2312" w:hAnsi="仿宋" w:eastAsia="仿宋_GB2312" w:cs="仿宋_GB2312"/>
                <w:kern w:val="0"/>
                <w:sz w:val="24"/>
                <w:szCs w:val="24"/>
              </w:rPr>
              <w:t>10</w:t>
            </w:r>
            <w:r>
              <w:rPr>
                <w:rFonts w:hint="eastAsia" w:ascii="仿宋_GB2312" w:hAnsi="仿宋" w:eastAsia="仿宋_GB2312" w:cs="仿宋_GB2312"/>
                <w:kern w:val="0"/>
                <w:sz w:val="24"/>
                <w:szCs w:val="24"/>
                <w:lang w:val="en-US" w:eastAsia="zh-CN"/>
              </w:rPr>
              <w:t>0</w:t>
            </w:r>
            <w:r>
              <w:rPr>
                <w:rFonts w:hint="eastAsia" w:ascii="仿宋_GB2312" w:hAnsi="仿宋" w:eastAsia="仿宋_GB2312" w:cs="仿宋_GB2312"/>
                <w:kern w:val="0"/>
                <w:sz w:val="24"/>
                <w:szCs w:val="24"/>
              </w:rPr>
              <w:t>分</w:t>
            </w:r>
          </w:p>
        </w:tc>
        <w:tc>
          <w:tcPr>
            <w:tcW w:w="954" w:type="dxa"/>
            <w:vAlign w:val="top"/>
          </w:tcPr>
          <w:p>
            <w:pPr>
              <w:spacing w:line="360" w:lineRule="exact"/>
              <w:jc w:val="center"/>
              <w:rPr>
                <w:rFonts w:hint="eastAsia" w:ascii="仿宋_GB2312" w:hAnsi="仿宋"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790" w:type="dxa"/>
            <w:vAlign w:val="center"/>
          </w:tcPr>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评委</w:t>
            </w: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签字</w:t>
            </w:r>
          </w:p>
        </w:tc>
        <w:tc>
          <w:tcPr>
            <w:tcW w:w="8892" w:type="dxa"/>
            <w:gridSpan w:val="3"/>
            <w:vAlign w:val="center"/>
          </w:tcPr>
          <w:p>
            <w:pPr>
              <w:spacing w:line="360" w:lineRule="exact"/>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建议:</w:t>
            </w:r>
          </w:p>
          <w:p>
            <w:pPr>
              <w:spacing w:line="360" w:lineRule="exact"/>
              <w:ind w:firstLine="2280" w:firstLineChars="950"/>
              <w:rPr>
                <w:rFonts w:hint="eastAsia" w:ascii="仿宋_GB2312" w:hAnsi="仿宋" w:eastAsia="仿宋_GB2312"/>
                <w:kern w:val="0"/>
                <w:sz w:val="24"/>
                <w:szCs w:val="24"/>
              </w:rPr>
            </w:pPr>
            <w:r>
              <w:rPr>
                <w:rFonts w:hint="eastAsia" w:ascii="仿宋_GB2312" w:hAnsi="仿宋" w:eastAsia="仿宋_GB2312" w:cs="仿宋_GB2312"/>
                <w:kern w:val="0"/>
                <w:sz w:val="24"/>
                <w:szCs w:val="24"/>
              </w:rPr>
              <w:t>评委签名：</w:t>
            </w:r>
          </w:p>
          <w:p>
            <w:pPr>
              <w:spacing w:line="360" w:lineRule="exact"/>
              <w:jc w:val="center"/>
              <w:rPr>
                <w:rFonts w:hint="eastAsia" w:ascii="仿宋_GB2312" w:hAnsi="仿宋" w:eastAsia="仿宋_GB2312"/>
                <w:kern w:val="0"/>
                <w:sz w:val="24"/>
                <w:szCs w:val="24"/>
              </w:rPr>
            </w:pPr>
            <w:r>
              <w:rPr>
                <w:rFonts w:hint="eastAsia" w:ascii="仿宋_GB2312" w:hAnsi="仿宋" w:eastAsia="仿宋_GB2312" w:cs="仿宋_GB2312"/>
                <w:kern w:val="0"/>
                <w:sz w:val="24"/>
                <w:szCs w:val="24"/>
              </w:rPr>
              <w:t xml:space="preserve"> 日期：    年    月   日</w:t>
            </w:r>
          </w:p>
        </w:tc>
      </w:tr>
    </w:tbl>
    <w:p>
      <w:pPr>
        <w:spacing w:beforeLines="50" w:line="340" w:lineRule="exact"/>
        <w:ind w:left="-420" w:leftChars="-200" w:firstLine="240" w:firstLineChars="100"/>
        <w:jc w:val="left"/>
        <w:rPr>
          <w:rFonts w:hint="eastAsia" w:ascii="仿宋_GB2312" w:hAnsi="仿宋" w:eastAsia="仿宋_GB2312"/>
          <w:kern w:val="0"/>
          <w:sz w:val="24"/>
          <w:szCs w:val="24"/>
        </w:rPr>
      </w:pPr>
      <w:r>
        <w:rPr>
          <w:rFonts w:hint="eastAsia" w:ascii="仿宋_GB2312" w:hAnsi="仿宋" w:eastAsia="仿宋_GB2312" w:cs="仿宋_GB2312"/>
          <w:kern w:val="0"/>
          <w:sz w:val="24"/>
          <w:szCs w:val="24"/>
        </w:rPr>
        <w:t>【打分规则】评委打分保留小数点后两位。</w:t>
      </w:r>
    </w:p>
    <w:p>
      <w:pPr>
        <w:spacing w:line="340" w:lineRule="exact"/>
        <w:ind w:left="-420" w:leftChars="-200" w:firstLine="240" w:firstLineChars="100"/>
        <w:jc w:val="left"/>
        <w:rPr>
          <w:rFonts w:hint="eastAsia" w:ascii="仿宋_GB2312" w:hAnsi="仿宋" w:eastAsia="仿宋_GB2312"/>
          <w:color w:val="FF0000"/>
          <w:kern w:val="0"/>
          <w:sz w:val="24"/>
          <w:szCs w:val="24"/>
        </w:rPr>
      </w:pPr>
      <w:r>
        <w:rPr>
          <w:rFonts w:hint="eastAsia" w:ascii="仿宋_GB2312" w:hAnsi="仿宋" w:eastAsia="仿宋_GB2312" w:cs="仿宋_GB2312"/>
          <w:kern w:val="0"/>
          <w:sz w:val="24"/>
          <w:szCs w:val="24"/>
        </w:rPr>
        <w:t>【总分区间】优：90分及以上；良：80</w:t>
      </w:r>
      <w:r>
        <w:rPr>
          <w:rFonts w:hint="eastAsia" w:ascii="仿宋_GB2312" w:hAnsi="宋体" w:eastAsia="仿宋_GB2312" w:cs="仿宋_GB2312"/>
          <w:kern w:val="0"/>
          <w:sz w:val="24"/>
          <w:szCs w:val="24"/>
        </w:rPr>
        <w:t>－</w:t>
      </w:r>
      <w:r>
        <w:rPr>
          <w:rFonts w:hint="eastAsia" w:ascii="仿宋_GB2312" w:hAnsi="仿宋" w:eastAsia="仿宋_GB2312" w:cs="仿宋_GB2312"/>
          <w:kern w:val="0"/>
          <w:sz w:val="24"/>
          <w:szCs w:val="24"/>
        </w:rPr>
        <w:t>90分；中：70</w:t>
      </w:r>
      <w:r>
        <w:rPr>
          <w:rFonts w:hint="eastAsia" w:ascii="仿宋_GB2312" w:hAnsi="宋体" w:eastAsia="仿宋_GB2312" w:cs="仿宋_GB2312"/>
          <w:kern w:val="0"/>
          <w:sz w:val="24"/>
          <w:szCs w:val="24"/>
        </w:rPr>
        <w:t>－</w:t>
      </w:r>
      <w:r>
        <w:rPr>
          <w:rFonts w:hint="eastAsia" w:ascii="仿宋_GB2312" w:hAnsi="仿宋" w:eastAsia="仿宋_GB2312" w:cs="仿宋_GB2312"/>
          <w:kern w:val="0"/>
          <w:sz w:val="24"/>
          <w:szCs w:val="24"/>
        </w:rPr>
        <w:t>80分；差：70分以下。</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7A"/>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A04971"/>
    <w:rsid w:val="64A04971"/>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4">
    <w:name w:val="列出段落1"/>
    <w:basedOn w:val="1"/>
    <w:qFormat/>
    <w:uiPriority w:val="99"/>
    <w:pPr>
      <w:ind w:firstLine="420" w:firstLineChars="200"/>
    </w:pPr>
    <w:rPr>
      <w:rFonts w:ascii="Calibri" w:hAnsi="Calibri" w:cs="Calibr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2020-07-13T12:08:00Z</dcterms:created>
  <dc:creator>Administrator</dc:creator>
  <cp:lastModifiedBy>Administrator</cp:lastModifiedBy>
  <dcterms:modified xsi:type="dcterms:W3CDTF">2020-07-13T12:08:25Z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